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BE92" w14:textId="77777777" w:rsidR="00FE4348" w:rsidRPr="00FE4348" w:rsidRDefault="00FE4348" w:rsidP="00FE4348">
      <w:pPr>
        <w:spacing w:line="240" w:lineRule="auto"/>
        <w:rPr>
          <w:rFonts w:ascii="Arial" w:eastAsia="Times New Roman" w:hAnsi="Arial" w:cs="Times New Roman"/>
          <w:sz w:val="20"/>
          <w:szCs w:val="24"/>
          <w:lang w:val="en-GB"/>
        </w:rPr>
      </w:pPr>
      <w:r w:rsidRPr="00FE4348">
        <w:rPr>
          <w:rFonts w:ascii="Arial" w:eastAsia="Times New Roman" w:hAnsi="Arial" w:cs="Times New Roman"/>
          <w:sz w:val="20"/>
          <w:szCs w:val="24"/>
          <w:lang w:val="en-GB"/>
        </w:rPr>
        <w:t>No.0438 - 2023: Fifth Session, Sixth Legislature</w:t>
      </w:r>
    </w:p>
    <w:p w14:paraId="72A3E7C3" w14:textId="77777777" w:rsidR="00FE4348" w:rsidRPr="00FE4348" w:rsidRDefault="00FE4348" w:rsidP="00FE4348">
      <w:pPr>
        <w:spacing w:line="240" w:lineRule="auto"/>
        <w:rPr>
          <w:rFonts w:ascii="Arial" w:eastAsia="Times New Roman" w:hAnsi="Arial" w:cs="Times New Roman"/>
          <w:sz w:val="20"/>
          <w:szCs w:val="24"/>
          <w:lang w:val="en-GB"/>
        </w:rPr>
      </w:pPr>
    </w:p>
    <w:p w14:paraId="14FF264B" w14:textId="77777777" w:rsidR="00FE4348" w:rsidRPr="00FE4348" w:rsidRDefault="00FE4348" w:rsidP="00FE4348">
      <w:pPr>
        <w:spacing w:line="240" w:lineRule="auto"/>
        <w:rPr>
          <w:rFonts w:ascii="Arial" w:eastAsia="Times New Roman" w:hAnsi="Arial" w:cs="Times New Roman"/>
          <w:sz w:val="20"/>
          <w:szCs w:val="24"/>
          <w:lang w:val="en-GB"/>
        </w:rPr>
      </w:pPr>
    </w:p>
    <w:p w14:paraId="1B6CC7DE" w14:textId="77777777" w:rsidR="00FE4348" w:rsidRPr="00FE4348" w:rsidRDefault="00FE4348" w:rsidP="00FE4348">
      <w:pPr>
        <w:spacing w:line="240" w:lineRule="auto"/>
        <w:rPr>
          <w:rFonts w:ascii="Arial" w:eastAsia="Times New Roman" w:hAnsi="Arial" w:cs="Times New Roman"/>
          <w:sz w:val="20"/>
          <w:szCs w:val="24"/>
          <w:lang w:val="en-GB"/>
        </w:rPr>
      </w:pPr>
    </w:p>
    <w:p w14:paraId="373C411A" w14:textId="77777777" w:rsidR="00FE4348" w:rsidRPr="00FE4348" w:rsidRDefault="00FE4348" w:rsidP="00FE4348">
      <w:pPr>
        <w:spacing w:line="240" w:lineRule="auto"/>
        <w:rPr>
          <w:rFonts w:ascii="Arial" w:eastAsia="Times New Roman" w:hAnsi="Arial" w:cs="Times New Roman"/>
          <w:sz w:val="20"/>
          <w:szCs w:val="24"/>
          <w:lang w:val="en-GB"/>
        </w:rPr>
      </w:pPr>
    </w:p>
    <w:p w14:paraId="1D9A57CB" w14:textId="77777777" w:rsidR="00FE4348" w:rsidRPr="00FE4348" w:rsidRDefault="00FE4348" w:rsidP="00FE4348">
      <w:pPr>
        <w:spacing w:line="240" w:lineRule="auto"/>
        <w:jc w:val="center"/>
        <w:rPr>
          <w:rFonts w:ascii="Times New Roman" w:eastAsia="Times New Roman" w:hAnsi="Times New Roman" w:cs="Times New Roman"/>
          <w:sz w:val="28"/>
          <w:szCs w:val="24"/>
          <w:lang w:val="en-GB"/>
        </w:rPr>
      </w:pPr>
      <w:r w:rsidRPr="00FE4348">
        <w:rPr>
          <w:rFonts w:ascii="Times New Roman" w:eastAsia="Times New Roman" w:hAnsi="Times New Roman" w:cs="Times New Roman"/>
          <w:b/>
          <w:sz w:val="33"/>
          <w:szCs w:val="24"/>
          <w:lang w:val="en-GB"/>
        </w:rPr>
        <w:t>GAUTENG PROVINCIAL LEGISLATURE</w:t>
      </w:r>
    </w:p>
    <w:p w14:paraId="4526B5F3" w14:textId="77777777" w:rsidR="00FE4348" w:rsidRPr="00FE4348" w:rsidRDefault="00FE4348" w:rsidP="00FE4348">
      <w:pPr>
        <w:spacing w:line="240" w:lineRule="auto"/>
        <w:jc w:val="center"/>
        <w:rPr>
          <w:rFonts w:ascii="Times New Roman" w:eastAsia="Times New Roman" w:hAnsi="Times New Roman" w:cs="Times New Roman"/>
          <w:sz w:val="28"/>
          <w:szCs w:val="24"/>
          <w:lang w:val="en-GB"/>
        </w:rPr>
      </w:pPr>
    </w:p>
    <w:p w14:paraId="791F15BF" w14:textId="77777777" w:rsidR="00FE4348" w:rsidRPr="00FE4348" w:rsidRDefault="00FE4348" w:rsidP="00FE4348">
      <w:pPr>
        <w:spacing w:line="240" w:lineRule="auto"/>
        <w:jc w:val="center"/>
        <w:rPr>
          <w:rFonts w:ascii="Times New Roman" w:eastAsia="Times New Roman" w:hAnsi="Times New Roman" w:cs="Times New Roman"/>
          <w:sz w:val="28"/>
          <w:szCs w:val="24"/>
          <w:lang w:val="en-GB"/>
        </w:rPr>
      </w:pPr>
    </w:p>
    <w:p w14:paraId="389244DC" w14:textId="77777777" w:rsidR="00FE4348" w:rsidRPr="00FE4348" w:rsidRDefault="00FE4348" w:rsidP="00FE4348">
      <w:pPr>
        <w:spacing w:line="240" w:lineRule="auto"/>
        <w:jc w:val="center"/>
        <w:rPr>
          <w:rFonts w:ascii="Times New Roman" w:eastAsia="Times New Roman" w:hAnsi="Times New Roman" w:cs="Times New Roman"/>
          <w:b/>
          <w:spacing w:val="-20"/>
          <w:sz w:val="24"/>
          <w:szCs w:val="24"/>
          <w:lang w:val="en-GB"/>
        </w:rPr>
      </w:pPr>
      <w:r w:rsidRPr="00FE4348">
        <w:rPr>
          <w:rFonts w:ascii="Times New Roman" w:eastAsia="Times New Roman" w:hAnsi="Times New Roman" w:cs="Times New Roman"/>
          <w:b/>
          <w:spacing w:val="-20"/>
          <w:sz w:val="24"/>
          <w:szCs w:val="24"/>
          <w:lang w:val="en-GB"/>
        </w:rPr>
        <w:t xml:space="preserve">======================== </w:t>
      </w:r>
    </w:p>
    <w:p w14:paraId="5E688B27" w14:textId="77777777" w:rsidR="00FE4348" w:rsidRPr="00FE4348" w:rsidRDefault="00FE4348" w:rsidP="00FE4348">
      <w:pPr>
        <w:spacing w:line="240" w:lineRule="auto"/>
        <w:jc w:val="center"/>
        <w:rPr>
          <w:rFonts w:ascii="Times New Roman" w:eastAsia="Times New Roman" w:hAnsi="Times New Roman" w:cs="Times New Roman"/>
          <w:sz w:val="28"/>
          <w:szCs w:val="24"/>
          <w:lang w:val="en-GB"/>
        </w:rPr>
      </w:pPr>
    </w:p>
    <w:p w14:paraId="6BAF5233" w14:textId="77777777" w:rsidR="00FE4348" w:rsidRPr="00FE4348" w:rsidRDefault="00FE4348" w:rsidP="00FE4348">
      <w:pPr>
        <w:spacing w:line="240" w:lineRule="auto"/>
        <w:jc w:val="center"/>
        <w:rPr>
          <w:rFonts w:ascii="Times New Roman" w:eastAsia="Times New Roman" w:hAnsi="Times New Roman" w:cs="Times New Roman"/>
          <w:b/>
          <w:sz w:val="56"/>
          <w:szCs w:val="24"/>
          <w:lang w:val="en-GB"/>
        </w:rPr>
      </w:pPr>
      <w:r w:rsidRPr="00FE4348">
        <w:rPr>
          <w:rFonts w:ascii="Times New Roman" w:eastAsia="Times New Roman" w:hAnsi="Times New Roman" w:cs="Times New Roman"/>
          <w:b/>
          <w:sz w:val="56"/>
          <w:szCs w:val="24"/>
          <w:lang w:val="en-GB"/>
        </w:rPr>
        <w:t>ANNOUNCEMENTS,</w:t>
      </w:r>
    </w:p>
    <w:p w14:paraId="3FF1521B" w14:textId="77777777" w:rsidR="00FE4348" w:rsidRPr="00FE4348" w:rsidRDefault="00FE4348" w:rsidP="00FE4348">
      <w:pPr>
        <w:spacing w:line="240" w:lineRule="auto"/>
        <w:jc w:val="center"/>
        <w:rPr>
          <w:rFonts w:ascii="Times New Roman" w:eastAsia="Times New Roman" w:hAnsi="Times New Roman" w:cs="Times New Roman"/>
          <w:b/>
          <w:sz w:val="56"/>
          <w:szCs w:val="24"/>
          <w:lang w:val="en-GB"/>
        </w:rPr>
      </w:pPr>
      <w:r w:rsidRPr="00FE4348">
        <w:rPr>
          <w:rFonts w:ascii="Times New Roman" w:eastAsia="Times New Roman" w:hAnsi="Times New Roman" w:cs="Times New Roman"/>
          <w:b/>
          <w:sz w:val="56"/>
          <w:szCs w:val="24"/>
          <w:lang w:val="en-GB"/>
        </w:rPr>
        <w:t>TABLINGS AND</w:t>
      </w:r>
    </w:p>
    <w:p w14:paraId="27E7BF16" w14:textId="77777777" w:rsidR="00FE4348" w:rsidRPr="00FE4348" w:rsidRDefault="00FE4348" w:rsidP="00FE4348">
      <w:pPr>
        <w:spacing w:line="240" w:lineRule="auto"/>
        <w:jc w:val="center"/>
        <w:rPr>
          <w:rFonts w:ascii="Times New Roman" w:eastAsia="Times New Roman" w:hAnsi="Times New Roman" w:cs="Times New Roman"/>
          <w:b/>
          <w:sz w:val="56"/>
          <w:szCs w:val="24"/>
          <w:lang w:val="en-GB"/>
        </w:rPr>
      </w:pPr>
      <w:r w:rsidRPr="00FE4348">
        <w:rPr>
          <w:rFonts w:ascii="Times New Roman" w:eastAsia="Times New Roman" w:hAnsi="Times New Roman" w:cs="Times New Roman"/>
          <w:b/>
          <w:sz w:val="56"/>
          <w:szCs w:val="24"/>
          <w:lang w:val="en-GB"/>
        </w:rPr>
        <w:t>COMMITTEE REPORTS</w:t>
      </w:r>
    </w:p>
    <w:p w14:paraId="009A6A57" w14:textId="77777777" w:rsidR="00FE4348" w:rsidRPr="00FE4348" w:rsidRDefault="00FE4348" w:rsidP="00FE4348">
      <w:pPr>
        <w:spacing w:line="240" w:lineRule="auto"/>
        <w:jc w:val="center"/>
        <w:rPr>
          <w:rFonts w:ascii="Times New Roman" w:eastAsia="Times New Roman" w:hAnsi="Times New Roman" w:cs="Times New Roman"/>
          <w:b/>
          <w:spacing w:val="-20"/>
          <w:sz w:val="24"/>
          <w:szCs w:val="24"/>
          <w:lang w:val="en-GB"/>
        </w:rPr>
      </w:pPr>
    </w:p>
    <w:p w14:paraId="3EEE39B0" w14:textId="77777777" w:rsidR="00FE4348" w:rsidRPr="00FE4348" w:rsidRDefault="00FE4348" w:rsidP="00FE4348">
      <w:pPr>
        <w:spacing w:line="240" w:lineRule="auto"/>
        <w:jc w:val="center"/>
        <w:rPr>
          <w:rFonts w:ascii="Times New Roman" w:eastAsia="Times New Roman" w:hAnsi="Times New Roman" w:cs="Times New Roman"/>
          <w:b/>
          <w:spacing w:val="-20"/>
          <w:sz w:val="24"/>
          <w:szCs w:val="24"/>
          <w:lang w:val="en-GB"/>
        </w:rPr>
      </w:pPr>
      <w:r w:rsidRPr="00FE4348">
        <w:rPr>
          <w:rFonts w:ascii="Times New Roman" w:eastAsia="Times New Roman" w:hAnsi="Times New Roman" w:cs="Times New Roman"/>
          <w:b/>
          <w:spacing w:val="-20"/>
          <w:sz w:val="24"/>
          <w:szCs w:val="24"/>
          <w:lang w:val="en-GB"/>
        </w:rPr>
        <w:t>========================</w:t>
      </w:r>
    </w:p>
    <w:p w14:paraId="5427E39D" w14:textId="77777777" w:rsidR="00FE4348" w:rsidRPr="00FE4348" w:rsidRDefault="00FE4348" w:rsidP="00FE4348">
      <w:pPr>
        <w:spacing w:line="240" w:lineRule="auto"/>
        <w:jc w:val="center"/>
        <w:rPr>
          <w:rFonts w:ascii="Arial" w:eastAsia="Times New Roman" w:hAnsi="Arial" w:cs="Times New Roman"/>
          <w:sz w:val="20"/>
          <w:szCs w:val="24"/>
          <w:lang w:val="en-GB"/>
        </w:rPr>
      </w:pPr>
    </w:p>
    <w:p w14:paraId="1953D8B3" w14:textId="77777777" w:rsidR="00FE4348" w:rsidRPr="00FE4348" w:rsidRDefault="00FE4348" w:rsidP="00FE4348">
      <w:pPr>
        <w:spacing w:line="240" w:lineRule="auto"/>
        <w:jc w:val="center"/>
        <w:rPr>
          <w:rFonts w:ascii="Arial" w:eastAsia="Times New Roman" w:hAnsi="Arial" w:cs="Times New Roman"/>
          <w:sz w:val="20"/>
          <w:szCs w:val="24"/>
          <w:lang w:val="en-GB"/>
        </w:rPr>
      </w:pPr>
      <w:r w:rsidRPr="00FE4348">
        <w:rPr>
          <w:rFonts w:ascii="Arial" w:eastAsia="Times New Roman" w:hAnsi="Arial" w:cs="Times New Roman"/>
          <w:sz w:val="20"/>
          <w:szCs w:val="24"/>
          <w:lang w:val="en-GB"/>
        </w:rPr>
        <w:t>Monday, 04 December 2023</w:t>
      </w:r>
    </w:p>
    <w:p w14:paraId="40AD1CA0" w14:textId="77777777" w:rsidR="00FE4348" w:rsidRPr="00FE4348" w:rsidRDefault="00FE4348" w:rsidP="00FE4348">
      <w:pPr>
        <w:spacing w:line="240" w:lineRule="auto"/>
        <w:jc w:val="center"/>
        <w:rPr>
          <w:rFonts w:ascii="Arial" w:eastAsia="Times New Roman" w:hAnsi="Arial" w:cs="Times New Roman"/>
          <w:sz w:val="20"/>
          <w:szCs w:val="24"/>
          <w:lang w:val="en-GB"/>
        </w:rPr>
      </w:pPr>
    </w:p>
    <w:p w14:paraId="4C2FF88C" w14:textId="77777777" w:rsidR="00FE4348" w:rsidRPr="00FE4348" w:rsidRDefault="00FE4348" w:rsidP="00FE4348">
      <w:pPr>
        <w:tabs>
          <w:tab w:val="left" w:pos="2127"/>
        </w:tabs>
        <w:spacing w:line="240" w:lineRule="auto"/>
        <w:jc w:val="center"/>
        <w:rPr>
          <w:rFonts w:ascii="Arial" w:eastAsia="Times New Roman" w:hAnsi="Arial" w:cs="Times New Roman"/>
          <w:sz w:val="20"/>
          <w:szCs w:val="24"/>
          <w:lang w:val="en-GB"/>
        </w:rPr>
      </w:pPr>
    </w:p>
    <w:p w14:paraId="675EE534" w14:textId="77777777" w:rsidR="00FE4348" w:rsidRPr="00FE4348" w:rsidRDefault="00FE4348" w:rsidP="00FE4348">
      <w:pPr>
        <w:keepNext/>
        <w:widowControl w:val="0"/>
        <w:tabs>
          <w:tab w:val="center" w:pos="4489"/>
        </w:tabs>
        <w:spacing w:line="240" w:lineRule="auto"/>
        <w:jc w:val="left"/>
        <w:outlineLvl w:val="0"/>
        <w:rPr>
          <w:rFonts w:ascii="Arial" w:eastAsia="Times New Roman" w:hAnsi="Arial" w:cs="Arial"/>
          <w:b/>
          <w:snapToGrid w:val="0"/>
          <w:sz w:val="24"/>
          <w:szCs w:val="24"/>
          <w:lang w:val="en-GB"/>
        </w:rPr>
      </w:pPr>
    </w:p>
    <w:p w14:paraId="3E8BEDA2" w14:textId="77777777" w:rsidR="00FE4348" w:rsidRPr="00FE4348" w:rsidRDefault="00FE4348" w:rsidP="00FE4348">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FE4348">
        <w:rPr>
          <w:rFonts w:ascii="Arial" w:eastAsia="Times New Roman" w:hAnsi="Arial" w:cs="Arial"/>
          <w:b/>
          <w:snapToGrid w:val="0"/>
          <w:sz w:val="24"/>
          <w:szCs w:val="24"/>
          <w:lang w:val="en-GB"/>
        </w:rPr>
        <w:t>ANNOUNCEMENTS</w:t>
      </w:r>
    </w:p>
    <w:p w14:paraId="19282F5A" w14:textId="77777777" w:rsidR="00FE4348" w:rsidRPr="00FE4348" w:rsidRDefault="00FE4348" w:rsidP="00FE4348">
      <w:pPr>
        <w:spacing w:line="240" w:lineRule="auto"/>
        <w:ind w:right="-694" w:firstLine="720"/>
        <w:rPr>
          <w:rFonts w:ascii="Arial" w:eastAsia="Times New Roman" w:hAnsi="Arial" w:cs="Arial"/>
          <w:sz w:val="20"/>
          <w:szCs w:val="20"/>
          <w:lang w:val="en-GB"/>
        </w:rPr>
      </w:pPr>
      <w:r w:rsidRPr="00FE4348">
        <w:rPr>
          <w:rFonts w:ascii="Arial" w:eastAsia="Times New Roman" w:hAnsi="Arial" w:cs="Arial"/>
          <w:sz w:val="20"/>
          <w:szCs w:val="20"/>
          <w:lang w:val="en-GB"/>
        </w:rPr>
        <w:t>none</w:t>
      </w:r>
    </w:p>
    <w:p w14:paraId="35AD5ED2" w14:textId="77777777" w:rsidR="00FE4348" w:rsidRPr="00FE4348" w:rsidRDefault="00FE4348" w:rsidP="00FE4348">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571B70EF" w14:textId="77777777" w:rsidR="00FE4348" w:rsidRPr="00FE4348" w:rsidRDefault="00FE4348" w:rsidP="00FE434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52C86813" w14:textId="77777777" w:rsidR="00FE4348" w:rsidRPr="00FE4348" w:rsidRDefault="00FE4348" w:rsidP="00FE434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FE4348">
        <w:rPr>
          <w:rFonts w:ascii="Arial" w:eastAsia="Times New Roman" w:hAnsi="Arial" w:cs="Times New Roman"/>
          <w:b/>
          <w:snapToGrid w:val="0"/>
          <w:sz w:val="24"/>
          <w:szCs w:val="20"/>
          <w:lang w:val="en-GB"/>
        </w:rPr>
        <w:t>TABLINGS</w:t>
      </w:r>
    </w:p>
    <w:p w14:paraId="6D4D8647" w14:textId="77777777" w:rsidR="00FE4348" w:rsidRPr="00FE4348" w:rsidRDefault="00FE4348" w:rsidP="00FE4348">
      <w:pPr>
        <w:spacing w:line="240" w:lineRule="auto"/>
        <w:ind w:firstLine="720"/>
        <w:jc w:val="left"/>
        <w:rPr>
          <w:rFonts w:ascii="Arial" w:eastAsia="Times New Roman" w:hAnsi="Arial" w:cs="Arial"/>
          <w:sz w:val="20"/>
          <w:szCs w:val="20"/>
          <w:lang w:val="en-GB"/>
        </w:rPr>
      </w:pPr>
      <w:r w:rsidRPr="00FE4348">
        <w:rPr>
          <w:rFonts w:ascii="Arial" w:eastAsia="Times New Roman" w:hAnsi="Arial" w:cs="Arial"/>
          <w:bCs/>
          <w:sz w:val="20"/>
          <w:szCs w:val="20"/>
          <w:lang w:val="en-GB"/>
        </w:rPr>
        <w:t>none</w:t>
      </w:r>
    </w:p>
    <w:p w14:paraId="522548C7" w14:textId="77777777" w:rsidR="00FE4348" w:rsidRPr="00FE4348" w:rsidRDefault="00FE4348" w:rsidP="00FE4348">
      <w:pPr>
        <w:spacing w:line="240" w:lineRule="auto"/>
        <w:jc w:val="left"/>
        <w:rPr>
          <w:rFonts w:ascii="Times New Roman" w:eastAsia="Times New Roman" w:hAnsi="Times New Roman" w:cs="Times New Roman"/>
          <w:sz w:val="24"/>
          <w:szCs w:val="24"/>
          <w:lang w:val="en-GB"/>
        </w:rPr>
      </w:pPr>
    </w:p>
    <w:p w14:paraId="7B65E536" w14:textId="77777777" w:rsidR="00FE4348" w:rsidRPr="00FE4348" w:rsidRDefault="00FE4348" w:rsidP="00FE4348">
      <w:pPr>
        <w:spacing w:line="240" w:lineRule="auto"/>
        <w:jc w:val="left"/>
        <w:rPr>
          <w:rFonts w:ascii="Times New Roman" w:eastAsia="Times New Roman" w:hAnsi="Times New Roman" w:cs="Times New Roman"/>
          <w:sz w:val="24"/>
          <w:szCs w:val="24"/>
          <w:lang w:val="en-US"/>
        </w:rPr>
      </w:pPr>
    </w:p>
    <w:p w14:paraId="0F17508A" w14:textId="77777777" w:rsidR="00FE4348" w:rsidRPr="00FE4348" w:rsidRDefault="00FE4348" w:rsidP="00FE4348">
      <w:pPr>
        <w:keepNext/>
        <w:widowControl w:val="0"/>
        <w:spacing w:line="240" w:lineRule="auto"/>
        <w:outlineLvl w:val="6"/>
        <w:rPr>
          <w:rFonts w:ascii="Arial" w:eastAsia="Times New Roman" w:hAnsi="Arial" w:cs="Arial"/>
          <w:b/>
          <w:snapToGrid w:val="0"/>
          <w:sz w:val="24"/>
          <w:szCs w:val="20"/>
        </w:rPr>
      </w:pPr>
      <w:r w:rsidRPr="00FE4348">
        <w:rPr>
          <w:rFonts w:ascii="Arial" w:eastAsia="Times New Roman" w:hAnsi="Arial" w:cs="Arial"/>
          <w:b/>
          <w:snapToGrid w:val="0"/>
          <w:sz w:val="24"/>
          <w:szCs w:val="20"/>
        </w:rPr>
        <w:t>COMMITTEE REPORTS</w:t>
      </w:r>
    </w:p>
    <w:p w14:paraId="0C7984CB" w14:textId="77777777" w:rsidR="00FE4348" w:rsidRPr="00FE4348" w:rsidRDefault="00FE4348" w:rsidP="00FE4348">
      <w:pPr>
        <w:spacing w:line="240" w:lineRule="auto"/>
        <w:ind w:left="720" w:hanging="720"/>
        <w:rPr>
          <w:rFonts w:ascii="Arial" w:eastAsia="Times New Roman" w:hAnsi="Arial" w:cs="Arial"/>
          <w:b/>
          <w:bCs/>
          <w:sz w:val="20"/>
          <w:szCs w:val="20"/>
          <w:lang w:val="en-GB"/>
        </w:rPr>
      </w:pPr>
      <w:r w:rsidRPr="00FE4348">
        <w:rPr>
          <w:rFonts w:ascii="Arial" w:eastAsia="Times New Roman" w:hAnsi="Arial" w:cs="Arial"/>
          <w:b/>
          <w:sz w:val="20"/>
          <w:szCs w:val="20"/>
          <w:lang w:val="en-GB"/>
        </w:rPr>
        <w:t>1.</w:t>
      </w:r>
      <w:r w:rsidRPr="00FE4348">
        <w:rPr>
          <w:rFonts w:ascii="Arial" w:eastAsia="Times New Roman" w:hAnsi="Arial" w:cs="Arial"/>
          <w:b/>
          <w:sz w:val="20"/>
          <w:szCs w:val="20"/>
          <w:lang w:val="en-GB"/>
        </w:rPr>
        <w:tab/>
      </w:r>
      <w:r w:rsidRPr="00FE4348">
        <w:rPr>
          <w:rFonts w:ascii="Arial" w:eastAsia="Times New Roman" w:hAnsi="Arial" w:cs="Arial"/>
          <w:b/>
          <w:bCs/>
          <w:sz w:val="20"/>
          <w:szCs w:val="20"/>
          <w:lang w:val="en-GB"/>
        </w:rPr>
        <w:t xml:space="preserve">The Acting-Chairperson of the Economic Development Portfolio Committee, Hon. M J </w:t>
      </w:r>
      <w:proofErr w:type="spellStart"/>
      <w:r w:rsidRPr="00FE4348">
        <w:rPr>
          <w:rFonts w:ascii="Arial" w:eastAsia="Times New Roman" w:hAnsi="Arial" w:cs="Arial"/>
          <w:b/>
          <w:bCs/>
          <w:sz w:val="20"/>
          <w:szCs w:val="20"/>
          <w:lang w:val="en-GB"/>
        </w:rPr>
        <w:t>Kanyane</w:t>
      </w:r>
      <w:proofErr w:type="spellEnd"/>
      <w:r w:rsidRPr="00FE4348">
        <w:rPr>
          <w:rFonts w:ascii="Arial" w:eastAsia="Times New Roman" w:hAnsi="Arial" w:cs="Arial"/>
          <w:b/>
          <w:bCs/>
          <w:sz w:val="20"/>
          <w:szCs w:val="20"/>
          <w:lang w:val="en-GB"/>
        </w:rPr>
        <w:t>, tabled the Committee’s Oversight Report on the Annual Report of the Department of Economic Development incl. Entities for the 2022/2023 financial year, as attached:</w:t>
      </w:r>
    </w:p>
    <w:p w14:paraId="2CE81E3D" w14:textId="77777777" w:rsidR="00FE4348" w:rsidRPr="00FE4348" w:rsidRDefault="00FE4348" w:rsidP="00FE4348">
      <w:pPr>
        <w:spacing w:line="240" w:lineRule="auto"/>
        <w:ind w:right="-694"/>
        <w:rPr>
          <w:rFonts w:ascii="Arial" w:eastAsia="Times New Roman" w:hAnsi="Arial" w:cs="Arial"/>
          <w:b/>
          <w:bCs/>
          <w:lang w:val="en-GB"/>
        </w:rPr>
      </w:pPr>
    </w:p>
    <w:p w14:paraId="1CE99629" w14:textId="77777777" w:rsidR="00FE4348" w:rsidRDefault="00FE4348">
      <w:pPr>
        <w:spacing w:after="200" w:line="276" w:lineRule="auto"/>
        <w:jc w:val="left"/>
        <w:rPr>
          <w:rFonts w:ascii="Arial Narrow" w:hAnsi="Arial Narrow"/>
          <w:b/>
          <w:bCs/>
        </w:rPr>
      </w:pPr>
      <w:r>
        <w:rPr>
          <w:rFonts w:ascii="Arial Narrow" w:hAnsi="Arial Narrow"/>
          <w:b/>
          <w:bCs/>
        </w:rPr>
        <w:br w:type="page"/>
      </w:r>
    </w:p>
    <w:p w14:paraId="037B8BDE" w14:textId="5D478C98" w:rsidR="00ED156E" w:rsidRPr="0079000E" w:rsidRDefault="00FE4348" w:rsidP="00C93456">
      <w:pPr>
        <w:spacing w:line="276" w:lineRule="auto"/>
        <w:rPr>
          <w:rFonts w:ascii="Arial Narrow" w:hAnsi="Arial Narrow"/>
          <w:b/>
          <w:bCs/>
        </w:rPr>
      </w:pPr>
      <w:r>
        <w:rPr>
          <w:rFonts w:ascii="Arial Narrow" w:hAnsi="Arial Narrow"/>
          <w:b/>
          <w:bCs/>
          <w:noProof/>
          <w:lang w:eastAsia="en-ZA" w:bidi="he-IL"/>
        </w:rPr>
        <w:lastRenderedPageBreak/>
        <w:object w:dxaOrig="1440" w:dyaOrig="1440" w14:anchorId="255D9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2050" DrawAspect="Content" ObjectID="_1763189215" r:id="rId9"/>
        </w:object>
      </w:r>
    </w:p>
    <w:p w14:paraId="35B17B05" w14:textId="77777777" w:rsidR="00ED156E" w:rsidRPr="0079000E" w:rsidRDefault="00ED156E" w:rsidP="00C93456">
      <w:pPr>
        <w:spacing w:line="276" w:lineRule="auto"/>
        <w:rPr>
          <w:rFonts w:ascii="Arial Narrow" w:hAnsi="Arial Narrow"/>
          <w:b/>
          <w:bCs/>
        </w:rPr>
      </w:pPr>
    </w:p>
    <w:p w14:paraId="74C95192" w14:textId="77777777" w:rsidR="00ED156E" w:rsidRPr="0079000E" w:rsidRDefault="00ED156E" w:rsidP="00C93456">
      <w:pPr>
        <w:spacing w:line="276" w:lineRule="auto"/>
        <w:rPr>
          <w:rFonts w:ascii="Arial Narrow" w:hAnsi="Arial Narrow"/>
          <w:b/>
          <w:bCs/>
        </w:rPr>
      </w:pPr>
    </w:p>
    <w:p w14:paraId="6A4B3750" w14:textId="77777777" w:rsidR="00ED156E" w:rsidRPr="0079000E" w:rsidRDefault="00ED156E" w:rsidP="00C93456">
      <w:pPr>
        <w:spacing w:line="276" w:lineRule="auto"/>
        <w:rPr>
          <w:rFonts w:ascii="Arial Narrow" w:hAnsi="Arial Narrow"/>
          <w:b/>
          <w:bCs/>
        </w:rPr>
      </w:pPr>
    </w:p>
    <w:p w14:paraId="6295D9D8" w14:textId="77777777" w:rsidR="00881DD8" w:rsidRPr="0079000E" w:rsidRDefault="00881DD8" w:rsidP="00C93456">
      <w:pPr>
        <w:spacing w:line="276" w:lineRule="auto"/>
        <w:rPr>
          <w:rFonts w:ascii="Arial Narrow" w:hAnsi="Arial Narrow"/>
          <w:b/>
          <w:bCs/>
        </w:rPr>
      </w:pPr>
    </w:p>
    <w:p w14:paraId="29D30EE2" w14:textId="77777777" w:rsidR="00881DD8" w:rsidRPr="0079000E" w:rsidRDefault="00881DD8" w:rsidP="00C93456">
      <w:pPr>
        <w:spacing w:line="276" w:lineRule="auto"/>
        <w:rPr>
          <w:rFonts w:ascii="Arial Narrow" w:hAnsi="Arial Narrow"/>
          <w:b/>
          <w:bCs/>
        </w:rPr>
      </w:pPr>
    </w:p>
    <w:p w14:paraId="20EEBEA8" w14:textId="77777777" w:rsidR="004B7663" w:rsidRPr="0079000E" w:rsidRDefault="004B7663" w:rsidP="00C93456">
      <w:pPr>
        <w:spacing w:line="276" w:lineRule="auto"/>
        <w:rPr>
          <w:rFonts w:ascii="Arial Narrow" w:hAnsi="Arial Narrow"/>
          <w:b/>
          <w:bCs/>
        </w:rPr>
      </w:pPr>
    </w:p>
    <w:p w14:paraId="0215029C" w14:textId="77777777" w:rsidR="00A765A1" w:rsidRPr="0079000E" w:rsidRDefault="00A765A1" w:rsidP="00C93456">
      <w:pPr>
        <w:spacing w:line="276" w:lineRule="auto"/>
        <w:rPr>
          <w:rFonts w:ascii="Arial Narrow" w:hAnsi="Arial Narrow"/>
          <w:b/>
          <w:bCs/>
        </w:rPr>
      </w:pPr>
    </w:p>
    <w:p w14:paraId="7B11CA66" w14:textId="77777777" w:rsidR="00A765A1" w:rsidRPr="0079000E" w:rsidRDefault="00A765A1" w:rsidP="00C93456">
      <w:pPr>
        <w:spacing w:line="276" w:lineRule="auto"/>
        <w:rPr>
          <w:rFonts w:ascii="Arial Narrow" w:hAnsi="Arial Narrow"/>
          <w:b/>
          <w:bCs/>
        </w:rPr>
      </w:pPr>
    </w:p>
    <w:p w14:paraId="748E9FF1" w14:textId="77777777" w:rsidR="00663086" w:rsidRPr="0079000E" w:rsidRDefault="00663086" w:rsidP="00C93456">
      <w:pPr>
        <w:spacing w:line="276" w:lineRule="auto"/>
        <w:rPr>
          <w:rFonts w:ascii="Arial Narrow" w:hAnsi="Arial Narrow"/>
          <w:b/>
          <w:bCs/>
        </w:rPr>
      </w:pPr>
    </w:p>
    <w:p w14:paraId="1E9ADF42" w14:textId="77777777" w:rsidR="00663086" w:rsidRPr="0079000E" w:rsidRDefault="00663086" w:rsidP="00C93456">
      <w:pPr>
        <w:spacing w:line="276" w:lineRule="auto"/>
        <w:rPr>
          <w:rFonts w:ascii="Arial Narrow" w:hAnsi="Arial Narrow"/>
          <w:b/>
          <w:bCs/>
        </w:rPr>
      </w:pPr>
    </w:p>
    <w:p w14:paraId="3673A073" w14:textId="77777777" w:rsidR="00663086" w:rsidRPr="0079000E" w:rsidRDefault="00663086" w:rsidP="00C93456">
      <w:pPr>
        <w:spacing w:line="276" w:lineRule="auto"/>
        <w:rPr>
          <w:rFonts w:ascii="Arial Narrow" w:hAnsi="Arial Narrow"/>
          <w:b/>
          <w:bCs/>
        </w:rPr>
      </w:pPr>
    </w:p>
    <w:p w14:paraId="0CDF1B78" w14:textId="77777777" w:rsidR="00663086" w:rsidRPr="0079000E" w:rsidRDefault="00663086" w:rsidP="00C93456">
      <w:pPr>
        <w:spacing w:line="276" w:lineRule="auto"/>
        <w:rPr>
          <w:rFonts w:ascii="Arial Narrow" w:hAnsi="Arial Narrow"/>
          <w:b/>
          <w:bCs/>
        </w:rPr>
      </w:pPr>
    </w:p>
    <w:p w14:paraId="662D8D34" w14:textId="77777777" w:rsidR="00663086" w:rsidRPr="0079000E" w:rsidRDefault="00663086" w:rsidP="00C93456">
      <w:pPr>
        <w:spacing w:line="276" w:lineRule="auto"/>
        <w:rPr>
          <w:rFonts w:ascii="Arial Narrow" w:hAnsi="Arial Narrow"/>
          <w:b/>
          <w:bCs/>
        </w:rPr>
      </w:pPr>
    </w:p>
    <w:p w14:paraId="7C8EF015" w14:textId="77777777" w:rsidR="00663086" w:rsidRPr="0079000E" w:rsidRDefault="00663086" w:rsidP="004F7608">
      <w:pPr>
        <w:spacing w:line="276" w:lineRule="auto"/>
        <w:jc w:val="center"/>
        <w:rPr>
          <w:rFonts w:ascii="Arial Narrow" w:hAnsi="Arial Narrow"/>
          <w:b/>
          <w:bCs/>
        </w:rPr>
      </w:pPr>
    </w:p>
    <w:p w14:paraId="129D60EC" w14:textId="3CE27500" w:rsidR="00EF7123" w:rsidRPr="0079000E" w:rsidRDefault="002A1192" w:rsidP="004F7608">
      <w:pPr>
        <w:spacing w:line="276" w:lineRule="auto"/>
        <w:jc w:val="center"/>
        <w:rPr>
          <w:rFonts w:ascii="Arial Narrow" w:hAnsi="Arial Narrow"/>
          <w:b/>
          <w:bCs/>
        </w:rPr>
      </w:pPr>
      <w:r>
        <w:rPr>
          <w:rFonts w:ascii="Arial Narrow" w:hAnsi="Arial Narrow"/>
          <w:b/>
          <w:bCs/>
        </w:rPr>
        <w:t>Adopted</w:t>
      </w:r>
      <w:r w:rsidR="00B061FB">
        <w:rPr>
          <w:rFonts w:ascii="Arial Narrow" w:hAnsi="Arial Narrow"/>
          <w:b/>
          <w:bCs/>
        </w:rPr>
        <w:t xml:space="preserve"> Portfolio</w:t>
      </w:r>
      <w:r w:rsidR="00EF7123" w:rsidRPr="0079000E">
        <w:rPr>
          <w:rFonts w:ascii="Arial Narrow" w:hAnsi="Arial Narrow"/>
          <w:b/>
          <w:bCs/>
        </w:rPr>
        <w:t xml:space="preserve"> Committee on </w:t>
      </w:r>
      <w:r w:rsidR="00445D5D" w:rsidRPr="0079000E">
        <w:rPr>
          <w:rFonts w:ascii="Arial Narrow" w:hAnsi="Arial Narrow"/>
          <w:b/>
          <w:bCs/>
        </w:rPr>
        <w:t>Economic Development</w:t>
      </w:r>
      <w:r w:rsidR="007712E3">
        <w:rPr>
          <w:rFonts w:ascii="Arial Narrow" w:hAnsi="Arial Narrow"/>
          <w:b/>
          <w:bCs/>
        </w:rPr>
        <w:t xml:space="preserve">’s </w:t>
      </w:r>
      <w:r w:rsidR="00EF7123" w:rsidRPr="0079000E">
        <w:rPr>
          <w:rFonts w:ascii="Arial Narrow" w:hAnsi="Arial Narrow"/>
          <w:b/>
          <w:bCs/>
        </w:rPr>
        <w:t xml:space="preserve">Oversight Report on the </w:t>
      </w:r>
      <w:r w:rsidR="00F108DA" w:rsidRPr="0079000E">
        <w:rPr>
          <w:rFonts w:ascii="Arial Narrow" w:hAnsi="Arial Narrow"/>
          <w:b/>
          <w:bCs/>
        </w:rPr>
        <w:t xml:space="preserve">Annual </w:t>
      </w:r>
      <w:r w:rsidR="00EF7123" w:rsidRPr="0079000E">
        <w:rPr>
          <w:rFonts w:ascii="Arial Narrow" w:hAnsi="Arial Narrow"/>
          <w:b/>
          <w:bCs/>
        </w:rPr>
        <w:t xml:space="preserve">Report of the Gauteng </w:t>
      </w:r>
      <w:r w:rsidR="00445D5D" w:rsidRPr="0079000E">
        <w:rPr>
          <w:rFonts w:ascii="Arial Narrow" w:hAnsi="Arial Narrow"/>
          <w:b/>
          <w:bCs/>
        </w:rPr>
        <w:t>Department of Economic Development</w:t>
      </w:r>
      <w:r w:rsidR="00EF7123" w:rsidRPr="0079000E">
        <w:rPr>
          <w:rFonts w:ascii="Arial Narrow" w:hAnsi="Arial Narrow"/>
          <w:b/>
          <w:bCs/>
        </w:rPr>
        <w:t xml:space="preserve"> for the </w:t>
      </w:r>
      <w:r w:rsidR="00626F66">
        <w:rPr>
          <w:rFonts w:ascii="Arial Narrow" w:hAnsi="Arial Narrow"/>
          <w:b/>
          <w:bCs/>
        </w:rPr>
        <w:t>20</w:t>
      </w:r>
      <w:r w:rsidR="009D6E6F">
        <w:rPr>
          <w:rFonts w:ascii="Arial Narrow" w:hAnsi="Arial Narrow"/>
          <w:b/>
          <w:bCs/>
        </w:rPr>
        <w:t>2</w:t>
      </w:r>
      <w:r w:rsidR="00761B10">
        <w:rPr>
          <w:rFonts w:ascii="Arial Narrow" w:hAnsi="Arial Narrow"/>
          <w:b/>
          <w:bCs/>
        </w:rPr>
        <w:t>2</w:t>
      </w:r>
      <w:r w:rsidR="00626F66">
        <w:rPr>
          <w:rFonts w:ascii="Arial Narrow" w:hAnsi="Arial Narrow"/>
          <w:b/>
          <w:bCs/>
        </w:rPr>
        <w:t>/</w:t>
      </w:r>
      <w:r w:rsidR="00435A26">
        <w:rPr>
          <w:rFonts w:ascii="Arial Narrow" w:hAnsi="Arial Narrow"/>
          <w:b/>
          <w:bCs/>
        </w:rPr>
        <w:t>2</w:t>
      </w:r>
      <w:r w:rsidR="00761B10">
        <w:rPr>
          <w:rFonts w:ascii="Arial Narrow" w:hAnsi="Arial Narrow"/>
          <w:b/>
          <w:bCs/>
        </w:rPr>
        <w:t>3</w:t>
      </w:r>
      <w:r w:rsidR="00EF7123" w:rsidRPr="0079000E">
        <w:rPr>
          <w:rFonts w:ascii="Arial Narrow" w:hAnsi="Arial Narrow"/>
          <w:b/>
          <w:bCs/>
        </w:rPr>
        <w:t xml:space="preserve"> financial </w:t>
      </w:r>
      <w:proofErr w:type="gramStart"/>
      <w:r w:rsidR="00EF7123" w:rsidRPr="0079000E">
        <w:rPr>
          <w:rFonts w:ascii="Arial Narrow" w:hAnsi="Arial Narrow"/>
          <w:b/>
          <w:bCs/>
        </w:rPr>
        <w:t>year</w:t>
      </w:r>
      <w:proofErr w:type="gramEnd"/>
    </w:p>
    <w:p w14:paraId="3A9C0AFC" w14:textId="77777777" w:rsidR="00A765A1" w:rsidRPr="0079000E" w:rsidRDefault="00A765A1" w:rsidP="00C93456">
      <w:pPr>
        <w:spacing w:line="276" w:lineRule="auto"/>
        <w:rPr>
          <w:rFonts w:ascii="Arial Narrow" w:hAnsi="Arial Narrow"/>
          <w:b/>
          <w:bCs/>
        </w:rPr>
      </w:pPr>
    </w:p>
    <w:p w14:paraId="0F5E49CE" w14:textId="77777777" w:rsidR="00663086" w:rsidRPr="0079000E" w:rsidRDefault="00663086" w:rsidP="00C93456">
      <w:pPr>
        <w:spacing w:line="276" w:lineRule="auto"/>
        <w:rPr>
          <w:rFonts w:ascii="Arial Narrow" w:hAnsi="Arial Narrow"/>
          <w:b/>
          <w:bCs/>
        </w:rPr>
      </w:pPr>
    </w:p>
    <w:tbl>
      <w:tblPr>
        <w:tblStyle w:val="TableGrid"/>
        <w:tblW w:w="0" w:type="auto"/>
        <w:tblLook w:val="04A0" w:firstRow="1" w:lastRow="0" w:firstColumn="1" w:lastColumn="0" w:noHBand="0" w:noVBand="1"/>
      </w:tblPr>
      <w:tblGrid>
        <w:gridCol w:w="2182"/>
        <w:gridCol w:w="2484"/>
        <w:gridCol w:w="2431"/>
        <w:gridCol w:w="99"/>
        <w:gridCol w:w="1820"/>
      </w:tblGrid>
      <w:tr w:rsidR="005116D2" w:rsidRPr="0079000E" w14:paraId="71925CB7" w14:textId="77777777" w:rsidTr="005116D2">
        <w:trPr>
          <w:tblHeader/>
        </w:trPr>
        <w:tc>
          <w:tcPr>
            <w:tcW w:w="4786" w:type="dxa"/>
            <w:gridSpan w:val="2"/>
            <w:shd w:val="clear" w:color="auto" w:fill="FDE9D9" w:themeFill="accent6" w:themeFillTint="33"/>
          </w:tcPr>
          <w:p w14:paraId="2F4218A9"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hAnsi="Arial Narrow"/>
                <w:b/>
                <w:bCs/>
                <w:i/>
                <w:iCs/>
              </w:rPr>
              <w:br w:type="page"/>
            </w:r>
            <w:r w:rsidRPr="0079000E">
              <w:rPr>
                <w:rFonts w:ascii="Arial Narrow" w:eastAsiaTheme="majorEastAsia" w:hAnsi="Arial Narrow"/>
                <w:b/>
                <w:bCs/>
                <w:lang w:val="en-GB"/>
              </w:rPr>
              <w:t>Committee Details</w:t>
            </w:r>
          </w:p>
        </w:tc>
        <w:tc>
          <w:tcPr>
            <w:tcW w:w="4456" w:type="dxa"/>
            <w:gridSpan w:val="3"/>
            <w:shd w:val="clear" w:color="auto" w:fill="FDE9D9" w:themeFill="accent6" w:themeFillTint="33"/>
          </w:tcPr>
          <w:p w14:paraId="15B8E769"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Department Details</w:t>
            </w:r>
          </w:p>
        </w:tc>
      </w:tr>
      <w:tr w:rsidR="005116D2" w:rsidRPr="0079000E" w14:paraId="65408FFD" w14:textId="77777777" w:rsidTr="005116D2">
        <w:trPr>
          <w:tblHeader/>
        </w:trPr>
        <w:tc>
          <w:tcPr>
            <w:tcW w:w="2235" w:type="dxa"/>
            <w:shd w:val="clear" w:color="auto" w:fill="F2F2F2" w:themeFill="background1" w:themeFillShade="F2"/>
          </w:tcPr>
          <w:p w14:paraId="16FBD3D1"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Name of Committee</w:t>
            </w:r>
          </w:p>
        </w:tc>
        <w:tc>
          <w:tcPr>
            <w:tcW w:w="2551" w:type="dxa"/>
            <w:shd w:val="clear" w:color="auto" w:fill="auto"/>
          </w:tcPr>
          <w:p w14:paraId="55F9ABCD" w14:textId="2738E9E8" w:rsidR="005116D2" w:rsidRPr="0079000E" w:rsidRDefault="00445D5D"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Economic Development</w:t>
            </w:r>
            <w:r w:rsidR="00B061FB">
              <w:rPr>
                <w:rFonts w:ascii="Arial Narrow" w:eastAsiaTheme="majorEastAsia" w:hAnsi="Arial Narrow"/>
                <w:b/>
                <w:bCs/>
                <w:lang w:val="en-GB"/>
              </w:rPr>
              <w:t xml:space="preserve"> Portfolio Committee </w:t>
            </w:r>
          </w:p>
        </w:tc>
        <w:tc>
          <w:tcPr>
            <w:tcW w:w="2503" w:type="dxa"/>
            <w:shd w:val="clear" w:color="auto" w:fill="F2F2F2" w:themeFill="background1" w:themeFillShade="F2"/>
          </w:tcPr>
          <w:p w14:paraId="6640BE1F"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Name of Department</w:t>
            </w:r>
          </w:p>
        </w:tc>
        <w:tc>
          <w:tcPr>
            <w:tcW w:w="1953" w:type="dxa"/>
            <w:gridSpan w:val="2"/>
            <w:shd w:val="clear" w:color="auto" w:fill="auto"/>
          </w:tcPr>
          <w:p w14:paraId="5CCAA59E" w14:textId="77777777" w:rsidR="005116D2" w:rsidRPr="0079000E" w:rsidRDefault="00445D5D"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 xml:space="preserve">Gauteng Department of Economic Development </w:t>
            </w:r>
          </w:p>
        </w:tc>
      </w:tr>
      <w:tr w:rsidR="005116D2" w:rsidRPr="0079000E" w14:paraId="2BFBBE9A" w14:textId="77777777" w:rsidTr="005116D2">
        <w:trPr>
          <w:tblHeader/>
        </w:trPr>
        <w:tc>
          <w:tcPr>
            <w:tcW w:w="2235" w:type="dxa"/>
            <w:shd w:val="clear" w:color="auto" w:fill="F2F2F2" w:themeFill="background1" w:themeFillShade="F2"/>
          </w:tcPr>
          <w:p w14:paraId="78E0C4D5"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Which Financial Year</w:t>
            </w:r>
          </w:p>
        </w:tc>
        <w:tc>
          <w:tcPr>
            <w:tcW w:w="2551" w:type="dxa"/>
            <w:shd w:val="clear" w:color="auto" w:fill="auto"/>
          </w:tcPr>
          <w:p w14:paraId="61EC1D1B" w14:textId="7AFEDF5A" w:rsidR="005116D2" w:rsidRPr="0079000E" w:rsidRDefault="00445D5D"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 xml:space="preserve">Annual Report for </w:t>
            </w:r>
            <w:r w:rsidR="00626F66">
              <w:rPr>
                <w:rFonts w:ascii="Arial Narrow" w:eastAsiaTheme="majorEastAsia" w:hAnsi="Arial Narrow"/>
                <w:b/>
                <w:bCs/>
                <w:lang w:val="en-GB"/>
              </w:rPr>
              <w:t>the 20</w:t>
            </w:r>
            <w:r w:rsidR="009D6E6F">
              <w:rPr>
                <w:rFonts w:ascii="Arial Narrow" w:eastAsiaTheme="majorEastAsia" w:hAnsi="Arial Narrow"/>
                <w:b/>
                <w:bCs/>
                <w:lang w:val="en-GB"/>
              </w:rPr>
              <w:t>2</w:t>
            </w:r>
            <w:r w:rsidR="00761B10">
              <w:rPr>
                <w:rFonts w:ascii="Arial Narrow" w:eastAsiaTheme="majorEastAsia" w:hAnsi="Arial Narrow"/>
                <w:b/>
                <w:bCs/>
                <w:lang w:val="en-GB"/>
              </w:rPr>
              <w:t>2</w:t>
            </w:r>
            <w:r w:rsidR="00626F66">
              <w:rPr>
                <w:rFonts w:ascii="Arial Narrow" w:eastAsiaTheme="majorEastAsia" w:hAnsi="Arial Narrow"/>
                <w:b/>
                <w:bCs/>
                <w:lang w:val="en-GB"/>
              </w:rPr>
              <w:t>/</w:t>
            </w:r>
            <w:r w:rsidR="009D6E6F">
              <w:rPr>
                <w:rFonts w:ascii="Arial Narrow" w:eastAsiaTheme="majorEastAsia" w:hAnsi="Arial Narrow"/>
                <w:b/>
                <w:bCs/>
                <w:lang w:val="en-GB"/>
              </w:rPr>
              <w:t>2</w:t>
            </w:r>
            <w:r w:rsidR="00761B10">
              <w:rPr>
                <w:rFonts w:ascii="Arial Narrow" w:eastAsiaTheme="majorEastAsia" w:hAnsi="Arial Narrow"/>
                <w:b/>
                <w:bCs/>
                <w:lang w:val="en-GB"/>
              </w:rPr>
              <w:t>3</w:t>
            </w:r>
            <w:r w:rsidRPr="0079000E">
              <w:rPr>
                <w:rFonts w:ascii="Arial Narrow" w:eastAsiaTheme="majorEastAsia" w:hAnsi="Arial Narrow"/>
                <w:b/>
                <w:bCs/>
                <w:lang w:val="en-GB"/>
              </w:rPr>
              <w:t xml:space="preserve"> FY</w:t>
            </w:r>
          </w:p>
        </w:tc>
        <w:tc>
          <w:tcPr>
            <w:tcW w:w="2503" w:type="dxa"/>
            <w:shd w:val="clear" w:color="auto" w:fill="F2F2F2" w:themeFill="background1" w:themeFillShade="F2"/>
          </w:tcPr>
          <w:p w14:paraId="3A258D38" w14:textId="77777777" w:rsidR="005116D2" w:rsidRPr="0079000E" w:rsidRDefault="005116D2"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Dept. Budget Vote Nr.</w:t>
            </w:r>
          </w:p>
        </w:tc>
        <w:tc>
          <w:tcPr>
            <w:tcW w:w="1953" w:type="dxa"/>
            <w:gridSpan w:val="2"/>
            <w:shd w:val="clear" w:color="auto" w:fill="auto"/>
          </w:tcPr>
          <w:p w14:paraId="4DA77336" w14:textId="77777777" w:rsidR="005116D2" w:rsidRPr="0079000E" w:rsidRDefault="00445D5D"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 xml:space="preserve">Vote number 3 </w:t>
            </w:r>
          </w:p>
        </w:tc>
      </w:tr>
      <w:tr w:rsidR="005116D2" w:rsidRPr="0079000E" w14:paraId="246C5D7D" w14:textId="77777777" w:rsidTr="005116D2">
        <w:trPr>
          <w:tblHeader/>
        </w:trPr>
        <w:tc>
          <w:tcPr>
            <w:tcW w:w="2235" w:type="dxa"/>
            <w:shd w:val="clear" w:color="auto" w:fill="F2F2F2" w:themeFill="background1" w:themeFillShade="F2"/>
          </w:tcPr>
          <w:p w14:paraId="73CBE791" w14:textId="77777777" w:rsidR="005116D2" w:rsidRPr="0079000E" w:rsidRDefault="005116D2" w:rsidP="00C93456">
            <w:pPr>
              <w:spacing w:line="276" w:lineRule="auto"/>
              <w:rPr>
                <w:rFonts w:ascii="Arial Narrow" w:eastAsiaTheme="majorEastAsia" w:hAnsi="Arial Narrow"/>
                <w:b/>
                <w:bCs/>
                <w:lang w:val="en-GB"/>
              </w:rPr>
            </w:pPr>
          </w:p>
        </w:tc>
        <w:tc>
          <w:tcPr>
            <w:tcW w:w="2551" w:type="dxa"/>
            <w:shd w:val="clear" w:color="auto" w:fill="auto"/>
          </w:tcPr>
          <w:p w14:paraId="707FACC5" w14:textId="77777777" w:rsidR="005116D2" w:rsidRPr="0079000E" w:rsidRDefault="005116D2" w:rsidP="00C93456">
            <w:pPr>
              <w:spacing w:line="276" w:lineRule="auto"/>
              <w:rPr>
                <w:rFonts w:ascii="Arial Narrow" w:eastAsiaTheme="majorEastAsia" w:hAnsi="Arial Narrow"/>
                <w:b/>
                <w:bCs/>
                <w:lang w:val="en-GB"/>
              </w:rPr>
            </w:pPr>
          </w:p>
        </w:tc>
        <w:tc>
          <w:tcPr>
            <w:tcW w:w="2503" w:type="dxa"/>
            <w:shd w:val="clear" w:color="auto" w:fill="F2F2F2" w:themeFill="background1" w:themeFillShade="F2"/>
          </w:tcPr>
          <w:p w14:paraId="6D13EE96" w14:textId="77777777" w:rsidR="005116D2" w:rsidRPr="0079000E" w:rsidRDefault="001A7721"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 xml:space="preserve">Hon. </w:t>
            </w:r>
            <w:r w:rsidR="005116D2" w:rsidRPr="0079000E">
              <w:rPr>
                <w:rFonts w:ascii="Arial Narrow" w:eastAsiaTheme="majorEastAsia" w:hAnsi="Arial Narrow"/>
                <w:b/>
                <w:bCs/>
                <w:lang w:val="en-GB"/>
              </w:rPr>
              <w:t>MEC</w:t>
            </w:r>
          </w:p>
        </w:tc>
        <w:tc>
          <w:tcPr>
            <w:tcW w:w="1953" w:type="dxa"/>
            <w:gridSpan w:val="2"/>
            <w:shd w:val="clear" w:color="auto" w:fill="auto"/>
          </w:tcPr>
          <w:p w14:paraId="30B4D56C" w14:textId="45BDC914" w:rsidR="005116D2" w:rsidRPr="0079000E" w:rsidRDefault="00445D5D"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MEC</w:t>
            </w:r>
            <w:r w:rsidR="004C0BC0">
              <w:rPr>
                <w:rFonts w:ascii="Arial Narrow" w:eastAsiaTheme="majorEastAsia" w:hAnsi="Arial Narrow"/>
                <w:b/>
                <w:bCs/>
                <w:lang w:val="en-GB"/>
              </w:rPr>
              <w:t xml:space="preserve"> </w:t>
            </w:r>
          </w:p>
        </w:tc>
      </w:tr>
      <w:tr w:rsidR="004B7663" w:rsidRPr="0079000E" w14:paraId="1E3B5F2A" w14:textId="77777777" w:rsidTr="00DE1CE1">
        <w:trPr>
          <w:tblHeader/>
        </w:trPr>
        <w:tc>
          <w:tcPr>
            <w:tcW w:w="9242" w:type="dxa"/>
            <w:gridSpan w:val="5"/>
            <w:shd w:val="clear" w:color="auto" w:fill="FDE9D9" w:themeFill="accent6" w:themeFillTint="33"/>
          </w:tcPr>
          <w:p w14:paraId="6C4B424C" w14:textId="77777777" w:rsidR="004B7663" w:rsidRPr="0079000E" w:rsidRDefault="004B7663"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Committee Approvals</w:t>
            </w:r>
          </w:p>
        </w:tc>
      </w:tr>
      <w:tr w:rsidR="004B7663" w:rsidRPr="0079000E" w14:paraId="24681A41" w14:textId="77777777" w:rsidTr="005B7371">
        <w:trPr>
          <w:tblHeader/>
        </w:trPr>
        <w:tc>
          <w:tcPr>
            <w:tcW w:w="2235" w:type="dxa"/>
            <w:shd w:val="clear" w:color="auto" w:fill="F2F2F2" w:themeFill="background1" w:themeFillShade="F2"/>
          </w:tcPr>
          <w:p w14:paraId="66BE83FB" w14:textId="77777777" w:rsidR="004B7663" w:rsidRPr="0079000E" w:rsidRDefault="004B7663" w:rsidP="00C93456">
            <w:pPr>
              <w:spacing w:line="276" w:lineRule="auto"/>
              <w:rPr>
                <w:rFonts w:ascii="Arial Narrow" w:eastAsiaTheme="majorEastAsia" w:hAnsi="Arial Narrow"/>
                <w:b/>
                <w:bCs/>
                <w:lang w:val="en-GB"/>
              </w:rPr>
            </w:pPr>
          </w:p>
        </w:tc>
        <w:tc>
          <w:tcPr>
            <w:tcW w:w="2551" w:type="dxa"/>
            <w:shd w:val="clear" w:color="auto" w:fill="F2F2F2" w:themeFill="background1" w:themeFillShade="F2"/>
          </w:tcPr>
          <w:p w14:paraId="35DA1717" w14:textId="77777777" w:rsidR="004B7663" w:rsidRPr="0079000E" w:rsidRDefault="004B7663"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Name</w:t>
            </w:r>
          </w:p>
        </w:tc>
        <w:tc>
          <w:tcPr>
            <w:tcW w:w="2602" w:type="dxa"/>
            <w:gridSpan w:val="2"/>
            <w:shd w:val="clear" w:color="auto" w:fill="F2F2F2" w:themeFill="background1" w:themeFillShade="F2"/>
          </w:tcPr>
          <w:p w14:paraId="0AB49E35" w14:textId="77777777" w:rsidR="004B7663" w:rsidRPr="0079000E" w:rsidRDefault="004B7663"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Signed</w:t>
            </w:r>
          </w:p>
        </w:tc>
        <w:tc>
          <w:tcPr>
            <w:tcW w:w="1854" w:type="dxa"/>
            <w:shd w:val="clear" w:color="auto" w:fill="F2F2F2" w:themeFill="background1" w:themeFillShade="F2"/>
          </w:tcPr>
          <w:p w14:paraId="4E260A5B" w14:textId="77777777" w:rsidR="004B7663" w:rsidRPr="0079000E" w:rsidRDefault="004B7663"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Date</w:t>
            </w:r>
          </w:p>
        </w:tc>
      </w:tr>
      <w:tr w:rsidR="004B7663" w:rsidRPr="0079000E" w14:paraId="1337E60C" w14:textId="77777777" w:rsidTr="005B7371">
        <w:trPr>
          <w:tblHeader/>
        </w:trPr>
        <w:tc>
          <w:tcPr>
            <w:tcW w:w="2235" w:type="dxa"/>
            <w:shd w:val="clear" w:color="auto" w:fill="F2F2F2" w:themeFill="background1" w:themeFillShade="F2"/>
          </w:tcPr>
          <w:p w14:paraId="48C3F73F" w14:textId="77777777" w:rsidR="004B7663" w:rsidRPr="0079000E" w:rsidRDefault="004B7663"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Hon. Chairperson</w:t>
            </w:r>
          </w:p>
        </w:tc>
        <w:tc>
          <w:tcPr>
            <w:tcW w:w="2551" w:type="dxa"/>
            <w:shd w:val="clear" w:color="auto" w:fill="auto"/>
          </w:tcPr>
          <w:p w14:paraId="20F0F83E" w14:textId="72254426" w:rsidR="004B7663" w:rsidRPr="0079000E" w:rsidRDefault="00BD0D18" w:rsidP="00C93456">
            <w:pPr>
              <w:spacing w:line="276" w:lineRule="auto"/>
              <w:rPr>
                <w:rFonts w:ascii="Arial Narrow" w:hAnsi="Arial Narrow"/>
              </w:rPr>
            </w:pPr>
            <w:r>
              <w:rPr>
                <w:rFonts w:ascii="Arial Narrow" w:hAnsi="Arial Narrow"/>
              </w:rPr>
              <w:t xml:space="preserve">Mr </w:t>
            </w:r>
            <w:r w:rsidR="00761B10">
              <w:rPr>
                <w:rFonts w:ascii="Arial Narrow" w:hAnsi="Arial Narrow"/>
              </w:rPr>
              <w:t xml:space="preserve">Mpapa Kanyane </w:t>
            </w:r>
            <w:r>
              <w:rPr>
                <w:rFonts w:ascii="Arial Narrow" w:hAnsi="Arial Narrow"/>
              </w:rPr>
              <w:t>(Acting)</w:t>
            </w:r>
          </w:p>
        </w:tc>
        <w:tc>
          <w:tcPr>
            <w:tcW w:w="2602" w:type="dxa"/>
            <w:gridSpan w:val="2"/>
            <w:shd w:val="clear" w:color="auto" w:fill="auto"/>
          </w:tcPr>
          <w:p w14:paraId="57701985" w14:textId="77777777" w:rsidR="004B7663" w:rsidRPr="0079000E" w:rsidRDefault="004B7663" w:rsidP="00C93456">
            <w:pPr>
              <w:spacing w:line="276" w:lineRule="auto"/>
              <w:rPr>
                <w:rFonts w:ascii="Arial Narrow" w:hAnsi="Arial Narrow"/>
              </w:rPr>
            </w:pPr>
          </w:p>
          <w:p w14:paraId="028FE999" w14:textId="77777777" w:rsidR="00F8593E" w:rsidRPr="0079000E" w:rsidRDefault="00F8593E" w:rsidP="00C93456">
            <w:pPr>
              <w:spacing w:line="276" w:lineRule="auto"/>
              <w:rPr>
                <w:rFonts w:ascii="Arial Narrow" w:hAnsi="Arial Narrow"/>
              </w:rPr>
            </w:pPr>
          </w:p>
          <w:p w14:paraId="660143BC" w14:textId="77777777" w:rsidR="00F8593E" w:rsidRPr="0079000E" w:rsidRDefault="00F8593E" w:rsidP="00C93456">
            <w:pPr>
              <w:spacing w:line="276" w:lineRule="auto"/>
              <w:rPr>
                <w:rFonts w:ascii="Arial Narrow" w:hAnsi="Arial Narrow"/>
              </w:rPr>
            </w:pPr>
          </w:p>
        </w:tc>
        <w:tc>
          <w:tcPr>
            <w:tcW w:w="1854" w:type="dxa"/>
            <w:shd w:val="clear" w:color="auto" w:fill="auto"/>
          </w:tcPr>
          <w:p w14:paraId="59906322" w14:textId="77777777" w:rsidR="004B7663" w:rsidRPr="0079000E" w:rsidRDefault="004B7663" w:rsidP="00C93456">
            <w:pPr>
              <w:spacing w:line="276" w:lineRule="auto"/>
              <w:rPr>
                <w:rFonts w:ascii="Arial Narrow" w:hAnsi="Arial Narrow"/>
              </w:rPr>
            </w:pPr>
          </w:p>
        </w:tc>
      </w:tr>
      <w:tr w:rsidR="00351DA4" w:rsidRPr="0079000E" w14:paraId="0CE571F1" w14:textId="77777777" w:rsidTr="00DE1CE1">
        <w:trPr>
          <w:tblHeader/>
        </w:trPr>
        <w:tc>
          <w:tcPr>
            <w:tcW w:w="9242" w:type="dxa"/>
            <w:gridSpan w:val="5"/>
            <w:shd w:val="clear" w:color="auto" w:fill="FDE9D9" w:themeFill="accent6" w:themeFillTint="33"/>
          </w:tcPr>
          <w:p w14:paraId="628113E7" w14:textId="77777777" w:rsidR="00351DA4" w:rsidRPr="0079000E" w:rsidRDefault="00351DA4" w:rsidP="00C93456">
            <w:pPr>
              <w:spacing w:line="276" w:lineRule="auto"/>
              <w:rPr>
                <w:rFonts w:ascii="Arial Narrow" w:eastAsiaTheme="majorEastAsia" w:hAnsi="Arial Narrow"/>
                <w:b/>
                <w:bCs/>
                <w:lang w:val="en-GB"/>
              </w:rPr>
            </w:pPr>
            <w:r w:rsidRPr="0079000E">
              <w:rPr>
                <w:rFonts w:ascii="Arial Narrow" w:eastAsiaTheme="majorEastAsia" w:hAnsi="Arial Narrow"/>
                <w:b/>
                <w:bCs/>
                <w:lang w:val="en-GB"/>
              </w:rPr>
              <w:t>Adoption and Tabling</w:t>
            </w:r>
          </w:p>
        </w:tc>
      </w:tr>
      <w:tr w:rsidR="00351DA4" w:rsidRPr="0079000E" w14:paraId="46E5D94C" w14:textId="77777777" w:rsidTr="00DE1CE1">
        <w:trPr>
          <w:tblHeader/>
        </w:trPr>
        <w:tc>
          <w:tcPr>
            <w:tcW w:w="4786" w:type="dxa"/>
            <w:gridSpan w:val="2"/>
            <w:shd w:val="clear" w:color="auto" w:fill="F2F2F2" w:themeFill="background1" w:themeFillShade="F2"/>
          </w:tcPr>
          <w:p w14:paraId="5950E90A" w14:textId="77777777" w:rsidR="00351DA4" w:rsidRPr="0079000E" w:rsidRDefault="00351DA4" w:rsidP="00C93456">
            <w:pPr>
              <w:spacing w:line="276" w:lineRule="auto"/>
              <w:rPr>
                <w:rFonts w:ascii="Arial Narrow" w:hAnsi="Arial Narrow"/>
              </w:rPr>
            </w:pPr>
            <w:r w:rsidRPr="0079000E">
              <w:rPr>
                <w:rFonts w:ascii="Arial Narrow" w:eastAsiaTheme="majorEastAsia" w:hAnsi="Arial Narrow"/>
                <w:b/>
                <w:bCs/>
                <w:lang w:val="en-GB"/>
              </w:rPr>
              <w:t>Date of Final Adoption</w:t>
            </w:r>
            <w:r w:rsidR="005E0CDA" w:rsidRPr="0079000E">
              <w:rPr>
                <w:rFonts w:ascii="Arial Narrow" w:eastAsiaTheme="majorEastAsia" w:hAnsi="Arial Narrow"/>
                <w:b/>
                <w:bCs/>
                <w:lang w:val="en-GB"/>
              </w:rPr>
              <w:t xml:space="preserve"> by Committee </w:t>
            </w:r>
          </w:p>
        </w:tc>
        <w:tc>
          <w:tcPr>
            <w:tcW w:w="4456" w:type="dxa"/>
            <w:gridSpan w:val="3"/>
            <w:shd w:val="clear" w:color="auto" w:fill="F2F2F2" w:themeFill="background1" w:themeFillShade="F2"/>
          </w:tcPr>
          <w:p w14:paraId="10091135" w14:textId="77777777" w:rsidR="00351DA4" w:rsidRPr="0079000E" w:rsidRDefault="00351DA4" w:rsidP="00C93456">
            <w:pPr>
              <w:spacing w:line="276" w:lineRule="auto"/>
              <w:rPr>
                <w:rFonts w:ascii="Arial Narrow" w:hAnsi="Arial Narrow"/>
              </w:rPr>
            </w:pPr>
            <w:r w:rsidRPr="0079000E">
              <w:rPr>
                <w:rFonts w:ascii="Arial Narrow" w:hAnsi="Arial Narrow"/>
                <w:b/>
              </w:rPr>
              <w:t>Scheduled date of House Tabling</w:t>
            </w:r>
          </w:p>
        </w:tc>
      </w:tr>
      <w:tr w:rsidR="00351DA4" w:rsidRPr="0079000E" w14:paraId="32C110E2" w14:textId="77777777" w:rsidTr="00351DA4">
        <w:trPr>
          <w:tblHeader/>
        </w:trPr>
        <w:tc>
          <w:tcPr>
            <w:tcW w:w="4786" w:type="dxa"/>
            <w:gridSpan w:val="2"/>
            <w:shd w:val="clear" w:color="auto" w:fill="auto"/>
          </w:tcPr>
          <w:p w14:paraId="7ACE178A" w14:textId="59EDFC3F" w:rsidR="00351DA4" w:rsidRPr="0079000E" w:rsidRDefault="00C3194D" w:rsidP="00C93456">
            <w:pPr>
              <w:spacing w:line="276" w:lineRule="auto"/>
              <w:rPr>
                <w:rFonts w:ascii="Arial Narrow" w:eastAsiaTheme="majorEastAsia" w:hAnsi="Arial Narrow"/>
                <w:b/>
                <w:bCs/>
                <w:lang w:val="en-GB"/>
              </w:rPr>
            </w:pPr>
            <w:r>
              <w:rPr>
                <w:rFonts w:ascii="Arial Narrow" w:eastAsiaTheme="majorEastAsia" w:hAnsi="Arial Narrow"/>
                <w:b/>
                <w:bCs/>
                <w:lang w:val="en-GB"/>
              </w:rPr>
              <w:t xml:space="preserve">21 November 2023 </w:t>
            </w:r>
          </w:p>
        </w:tc>
        <w:tc>
          <w:tcPr>
            <w:tcW w:w="4456" w:type="dxa"/>
            <w:gridSpan w:val="3"/>
            <w:shd w:val="clear" w:color="auto" w:fill="auto"/>
          </w:tcPr>
          <w:p w14:paraId="4F6A0EA8" w14:textId="49D5634F" w:rsidR="00351DA4" w:rsidRPr="0079000E" w:rsidRDefault="00472478" w:rsidP="00C93456">
            <w:pPr>
              <w:spacing w:line="276" w:lineRule="auto"/>
              <w:rPr>
                <w:rFonts w:ascii="Arial Narrow" w:hAnsi="Arial Narrow"/>
                <w:b/>
              </w:rPr>
            </w:pPr>
            <w:r>
              <w:rPr>
                <w:rFonts w:ascii="Arial Narrow" w:hAnsi="Arial Narrow"/>
                <w:b/>
              </w:rPr>
              <w:t>5</w:t>
            </w:r>
            <w:r w:rsidR="009D6E6F">
              <w:rPr>
                <w:rFonts w:ascii="Arial Narrow" w:hAnsi="Arial Narrow"/>
                <w:b/>
              </w:rPr>
              <w:t xml:space="preserve"> December</w:t>
            </w:r>
            <w:r w:rsidR="000C3068">
              <w:rPr>
                <w:rFonts w:ascii="Arial Narrow" w:hAnsi="Arial Narrow"/>
                <w:b/>
              </w:rPr>
              <w:t xml:space="preserve"> 202</w:t>
            </w:r>
            <w:r>
              <w:rPr>
                <w:rFonts w:ascii="Arial Narrow" w:hAnsi="Arial Narrow"/>
                <w:b/>
              </w:rPr>
              <w:t>3</w:t>
            </w:r>
            <w:r w:rsidR="000C3068">
              <w:rPr>
                <w:rFonts w:ascii="Arial Narrow" w:hAnsi="Arial Narrow"/>
                <w:b/>
              </w:rPr>
              <w:t xml:space="preserve"> </w:t>
            </w:r>
          </w:p>
        </w:tc>
      </w:tr>
    </w:tbl>
    <w:p w14:paraId="33B17D60" w14:textId="77777777" w:rsidR="00880E01" w:rsidRPr="0079000E" w:rsidRDefault="00880E01" w:rsidP="00C93456">
      <w:pPr>
        <w:spacing w:line="276" w:lineRule="auto"/>
        <w:rPr>
          <w:rFonts w:ascii="Arial Narrow" w:hAnsi="Arial Narrow"/>
          <w:b/>
          <w:bCs/>
        </w:rPr>
      </w:pPr>
    </w:p>
    <w:p w14:paraId="3B23AC75" w14:textId="77777777" w:rsidR="00880E01" w:rsidRPr="0079000E" w:rsidRDefault="00880E01" w:rsidP="00C93456">
      <w:pPr>
        <w:spacing w:after="200" w:line="276" w:lineRule="auto"/>
        <w:rPr>
          <w:rFonts w:ascii="Arial Narrow" w:hAnsi="Arial Narrow"/>
          <w:b/>
          <w:bCs/>
        </w:rPr>
      </w:pPr>
      <w:r w:rsidRPr="0079000E">
        <w:rPr>
          <w:rFonts w:ascii="Arial Narrow" w:hAnsi="Arial Narrow"/>
          <w:b/>
          <w:bCs/>
        </w:rPr>
        <w:br w:type="page"/>
      </w:r>
    </w:p>
    <w:sdt>
      <w:sdtPr>
        <w:rPr>
          <w:rFonts w:ascii="Arial Narrow" w:eastAsiaTheme="minorHAnsi" w:hAnsi="Arial Narrow" w:cstheme="minorBidi"/>
          <w:b w:val="0"/>
          <w:bCs w:val="0"/>
          <w:color w:val="auto"/>
          <w:sz w:val="22"/>
          <w:szCs w:val="22"/>
          <w:highlight w:val="yellow"/>
          <w:lang w:val="en-ZA" w:eastAsia="en-US"/>
        </w:rPr>
        <w:id w:val="-1646807950"/>
        <w:docPartObj>
          <w:docPartGallery w:val="Table of Contents"/>
          <w:docPartUnique/>
        </w:docPartObj>
      </w:sdtPr>
      <w:sdtEndPr>
        <w:rPr>
          <w:noProof/>
          <w:highlight w:val="none"/>
        </w:rPr>
      </w:sdtEndPr>
      <w:sdtContent>
        <w:p w14:paraId="629BE383" w14:textId="77777777" w:rsidR="00644F6A" w:rsidRPr="000F23A9" w:rsidRDefault="00644F6A" w:rsidP="00C93456">
          <w:pPr>
            <w:pStyle w:val="TOCHeading"/>
            <w:shd w:val="clear" w:color="auto" w:fill="F2F2F2" w:themeFill="background1" w:themeFillShade="F2"/>
            <w:jc w:val="both"/>
            <w:rPr>
              <w:rFonts w:ascii="Arial Narrow" w:hAnsi="Arial Narrow"/>
              <w:color w:val="auto"/>
              <w:sz w:val="22"/>
              <w:szCs w:val="22"/>
            </w:rPr>
          </w:pPr>
          <w:r w:rsidRPr="000F23A9">
            <w:rPr>
              <w:rFonts w:ascii="Arial Narrow" w:hAnsi="Arial Narrow"/>
              <w:color w:val="auto"/>
              <w:sz w:val="22"/>
              <w:szCs w:val="22"/>
            </w:rPr>
            <w:t>Contents</w:t>
          </w:r>
        </w:p>
        <w:p w14:paraId="37ED2567" w14:textId="07711540" w:rsidR="008D7127" w:rsidRDefault="00644F6A">
          <w:pPr>
            <w:pStyle w:val="TOC1"/>
            <w:tabs>
              <w:tab w:val="left" w:pos="440"/>
            </w:tabs>
            <w:rPr>
              <w:rFonts w:eastAsiaTheme="minorEastAsia"/>
              <w:noProof/>
              <w:lang w:eastAsia="en-ZA"/>
            </w:rPr>
          </w:pPr>
          <w:r w:rsidRPr="000F23A9">
            <w:rPr>
              <w:rFonts w:ascii="Arial Narrow" w:hAnsi="Arial Narrow"/>
            </w:rPr>
            <w:fldChar w:fldCharType="begin"/>
          </w:r>
          <w:r w:rsidRPr="000F23A9">
            <w:rPr>
              <w:rFonts w:ascii="Arial Narrow" w:hAnsi="Arial Narrow"/>
            </w:rPr>
            <w:instrText xml:space="preserve"> TOC \o "1-3" \h \z \u </w:instrText>
          </w:r>
          <w:r w:rsidRPr="000F23A9">
            <w:rPr>
              <w:rFonts w:ascii="Arial Narrow" w:hAnsi="Arial Narrow"/>
            </w:rPr>
            <w:fldChar w:fldCharType="separate"/>
          </w:r>
          <w:hyperlink w:anchor="_Toc66876360" w:history="1">
            <w:r w:rsidR="008D7127" w:rsidRPr="00033F8D">
              <w:rPr>
                <w:rStyle w:val="Hyperlink"/>
                <w:rFonts w:ascii="Arial Narrow" w:hAnsi="Arial Narrow"/>
                <w:noProof/>
              </w:rPr>
              <w:t>1.</w:t>
            </w:r>
            <w:r w:rsidR="008D7127">
              <w:rPr>
                <w:rFonts w:eastAsiaTheme="minorEastAsia"/>
                <w:noProof/>
                <w:lang w:eastAsia="en-ZA"/>
              </w:rPr>
              <w:tab/>
            </w:r>
            <w:r w:rsidR="008D7127" w:rsidRPr="00033F8D">
              <w:rPr>
                <w:rStyle w:val="Hyperlink"/>
                <w:rFonts w:ascii="Arial Narrow" w:hAnsi="Arial Narrow"/>
                <w:noProof/>
              </w:rPr>
              <w:t>ABBREVIATIONS</w:t>
            </w:r>
            <w:r w:rsidR="008D7127">
              <w:rPr>
                <w:noProof/>
                <w:webHidden/>
              </w:rPr>
              <w:tab/>
            </w:r>
            <w:r w:rsidR="008D7127">
              <w:rPr>
                <w:noProof/>
                <w:webHidden/>
              </w:rPr>
              <w:fldChar w:fldCharType="begin"/>
            </w:r>
            <w:r w:rsidR="008D7127">
              <w:rPr>
                <w:noProof/>
                <w:webHidden/>
              </w:rPr>
              <w:instrText xml:space="preserve"> PAGEREF _Toc66876360 \h </w:instrText>
            </w:r>
            <w:r w:rsidR="008D7127">
              <w:rPr>
                <w:noProof/>
                <w:webHidden/>
              </w:rPr>
            </w:r>
            <w:r w:rsidR="008D7127">
              <w:rPr>
                <w:noProof/>
                <w:webHidden/>
              </w:rPr>
              <w:fldChar w:fldCharType="separate"/>
            </w:r>
            <w:r w:rsidR="00A91614">
              <w:rPr>
                <w:noProof/>
                <w:webHidden/>
              </w:rPr>
              <w:t>3</w:t>
            </w:r>
            <w:r w:rsidR="008D7127">
              <w:rPr>
                <w:noProof/>
                <w:webHidden/>
              </w:rPr>
              <w:fldChar w:fldCharType="end"/>
            </w:r>
          </w:hyperlink>
        </w:p>
        <w:p w14:paraId="1FC0ABA6" w14:textId="2ED307A8" w:rsidR="008D7127" w:rsidRDefault="00FE4348">
          <w:pPr>
            <w:pStyle w:val="TOC1"/>
            <w:tabs>
              <w:tab w:val="left" w:pos="440"/>
            </w:tabs>
            <w:rPr>
              <w:rFonts w:eastAsiaTheme="minorEastAsia"/>
              <w:noProof/>
              <w:lang w:eastAsia="en-ZA"/>
            </w:rPr>
          </w:pPr>
          <w:hyperlink w:anchor="_Toc66876361" w:history="1">
            <w:r w:rsidR="008D7127" w:rsidRPr="00033F8D">
              <w:rPr>
                <w:rStyle w:val="Hyperlink"/>
                <w:rFonts w:ascii="Arial Narrow" w:hAnsi="Arial Narrow"/>
                <w:noProof/>
              </w:rPr>
              <w:t>2.</w:t>
            </w:r>
            <w:r w:rsidR="008D7127">
              <w:rPr>
                <w:rFonts w:eastAsiaTheme="minorEastAsia"/>
                <w:noProof/>
                <w:lang w:eastAsia="en-ZA"/>
              </w:rPr>
              <w:tab/>
            </w:r>
            <w:r w:rsidR="008D7127" w:rsidRPr="00033F8D">
              <w:rPr>
                <w:rStyle w:val="Hyperlink"/>
                <w:rFonts w:ascii="Arial Narrow" w:hAnsi="Arial Narrow"/>
                <w:noProof/>
              </w:rPr>
              <w:t>EXECUTIVE SUMMARY</w:t>
            </w:r>
            <w:r w:rsidR="008D7127">
              <w:rPr>
                <w:noProof/>
                <w:webHidden/>
              </w:rPr>
              <w:tab/>
            </w:r>
            <w:r w:rsidR="008D7127">
              <w:rPr>
                <w:noProof/>
                <w:webHidden/>
              </w:rPr>
              <w:fldChar w:fldCharType="begin"/>
            </w:r>
            <w:r w:rsidR="008D7127">
              <w:rPr>
                <w:noProof/>
                <w:webHidden/>
              </w:rPr>
              <w:instrText xml:space="preserve"> PAGEREF _Toc66876361 \h </w:instrText>
            </w:r>
            <w:r w:rsidR="008D7127">
              <w:rPr>
                <w:noProof/>
                <w:webHidden/>
              </w:rPr>
            </w:r>
            <w:r w:rsidR="008D7127">
              <w:rPr>
                <w:noProof/>
                <w:webHidden/>
              </w:rPr>
              <w:fldChar w:fldCharType="separate"/>
            </w:r>
            <w:r w:rsidR="00A91614">
              <w:rPr>
                <w:noProof/>
                <w:webHidden/>
              </w:rPr>
              <w:t>3</w:t>
            </w:r>
            <w:r w:rsidR="008D7127">
              <w:rPr>
                <w:noProof/>
                <w:webHidden/>
              </w:rPr>
              <w:fldChar w:fldCharType="end"/>
            </w:r>
          </w:hyperlink>
        </w:p>
        <w:p w14:paraId="3D85C0DE" w14:textId="131C6DBA" w:rsidR="008D7127" w:rsidRDefault="00FE4348">
          <w:pPr>
            <w:pStyle w:val="TOC1"/>
            <w:tabs>
              <w:tab w:val="left" w:pos="440"/>
            </w:tabs>
            <w:rPr>
              <w:rFonts w:eastAsiaTheme="minorEastAsia"/>
              <w:noProof/>
              <w:lang w:eastAsia="en-ZA"/>
            </w:rPr>
          </w:pPr>
          <w:hyperlink w:anchor="_Toc66876362" w:history="1">
            <w:r w:rsidR="008D7127" w:rsidRPr="00033F8D">
              <w:rPr>
                <w:rStyle w:val="Hyperlink"/>
                <w:rFonts w:ascii="Arial Narrow" w:hAnsi="Arial Narrow"/>
                <w:noProof/>
              </w:rPr>
              <w:t>3.</w:t>
            </w:r>
            <w:r w:rsidR="008D7127">
              <w:rPr>
                <w:rFonts w:eastAsiaTheme="minorEastAsia"/>
                <w:noProof/>
                <w:lang w:eastAsia="en-ZA"/>
              </w:rPr>
              <w:tab/>
            </w:r>
            <w:r w:rsidR="008D7127" w:rsidRPr="00033F8D">
              <w:rPr>
                <w:rStyle w:val="Hyperlink"/>
                <w:rFonts w:ascii="Arial Narrow" w:hAnsi="Arial Narrow"/>
                <w:noProof/>
              </w:rPr>
              <w:t>INTRODUCTION</w:t>
            </w:r>
            <w:r w:rsidR="008D7127">
              <w:rPr>
                <w:noProof/>
                <w:webHidden/>
              </w:rPr>
              <w:tab/>
            </w:r>
            <w:r w:rsidR="008D7127">
              <w:rPr>
                <w:noProof/>
                <w:webHidden/>
              </w:rPr>
              <w:fldChar w:fldCharType="begin"/>
            </w:r>
            <w:r w:rsidR="008D7127">
              <w:rPr>
                <w:noProof/>
                <w:webHidden/>
              </w:rPr>
              <w:instrText xml:space="preserve"> PAGEREF _Toc66876362 \h </w:instrText>
            </w:r>
            <w:r w:rsidR="008D7127">
              <w:rPr>
                <w:noProof/>
                <w:webHidden/>
              </w:rPr>
            </w:r>
            <w:r w:rsidR="008D7127">
              <w:rPr>
                <w:noProof/>
                <w:webHidden/>
              </w:rPr>
              <w:fldChar w:fldCharType="separate"/>
            </w:r>
            <w:r w:rsidR="00A91614">
              <w:rPr>
                <w:noProof/>
                <w:webHidden/>
              </w:rPr>
              <w:t>4</w:t>
            </w:r>
            <w:r w:rsidR="008D7127">
              <w:rPr>
                <w:noProof/>
                <w:webHidden/>
              </w:rPr>
              <w:fldChar w:fldCharType="end"/>
            </w:r>
          </w:hyperlink>
        </w:p>
        <w:p w14:paraId="4F44DC04" w14:textId="1FA87D0C" w:rsidR="008D7127" w:rsidRDefault="00FE4348">
          <w:pPr>
            <w:pStyle w:val="TOC1"/>
            <w:tabs>
              <w:tab w:val="left" w:pos="440"/>
            </w:tabs>
            <w:rPr>
              <w:rFonts w:eastAsiaTheme="minorEastAsia"/>
              <w:noProof/>
              <w:lang w:eastAsia="en-ZA"/>
            </w:rPr>
          </w:pPr>
          <w:hyperlink w:anchor="_Toc66876363" w:history="1">
            <w:r w:rsidR="008D7127" w:rsidRPr="00033F8D">
              <w:rPr>
                <w:rStyle w:val="Hyperlink"/>
                <w:rFonts w:ascii="Arial Narrow" w:hAnsi="Arial Narrow"/>
                <w:noProof/>
              </w:rPr>
              <w:t>4.</w:t>
            </w:r>
            <w:r w:rsidR="008D7127">
              <w:rPr>
                <w:rFonts w:eastAsiaTheme="minorEastAsia"/>
                <w:noProof/>
                <w:lang w:eastAsia="en-ZA"/>
              </w:rPr>
              <w:tab/>
            </w:r>
            <w:r w:rsidR="008D7127" w:rsidRPr="00033F8D">
              <w:rPr>
                <w:rStyle w:val="Hyperlink"/>
                <w:rFonts w:ascii="Arial Narrow" w:hAnsi="Arial Narrow"/>
                <w:noProof/>
              </w:rPr>
              <w:t>PROCESS FOLLOWED</w:t>
            </w:r>
            <w:r w:rsidR="008D7127">
              <w:rPr>
                <w:noProof/>
                <w:webHidden/>
              </w:rPr>
              <w:tab/>
            </w:r>
            <w:r w:rsidR="008D7127">
              <w:rPr>
                <w:noProof/>
                <w:webHidden/>
              </w:rPr>
              <w:fldChar w:fldCharType="begin"/>
            </w:r>
            <w:r w:rsidR="008D7127">
              <w:rPr>
                <w:noProof/>
                <w:webHidden/>
              </w:rPr>
              <w:instrText xml:space="preserve"> PAGEREF _Toc66876363 \h </w:instrText>
            </w:r>
            <w:r w:rsidR="008D7127">
              <w:rPr>
                <w:noProof/>
                <w:webHidden/>
              </w:rPr>
            </w:r>
            <w:r w:rsidR="008D7127">
              <w:rPr>
                <w:noProof/>
                <w:webHidden/>
              </w:rPr>
              <w:fldChar w:fldCharType="separate"/>
            </w:r>
            <w:r w:rsidR="00A91614">
              <w:rPr>
                <w:noProof/>
                <w:webHidden/>
              </w:rPr>
              <w:t>5</w:t>
            </w:r>
            <w:r w:rsidR="008D7127">
              <w:rPr>
                <w:noProof/>
                <w:webHidden/>
              </w:rPr>
              <w:fldChar w:fldCharType="end"/>
            </w:r>
          </w:hyperlink>
        </w:p>
        <w:p w14:paraId="1FB9575A" w14:textId="6ACF5F86" w:rsidR="008D7127" w:rsidRDefault="00FE4348">
          <w:pPr>
            <w:pStyle w:val="TOC1"/>
            <w:tabs>
              <w:tab w:val="left" w:pos="440"/>
            </w:tabs>
            <w:rPr>
              <w:rFonts w:eastAsiaTheme="minorEastAsia"/>
              <w:noProof/>
              <w:lang w:eastAsia="en-ZA"/>
            </w:rPr>
          </w:pPr>
          <w:hyperlink w:anchor="_Toc66876364" w:history="1">
            <w:r w:rsidR="008D7127" w:rsidRPr="00033F8D">
              <w:rPr>
                <w:rStyle w:val="Hyperlink"/>
                <w:rFonts w:ascii="Arial Narrow" w:hAnsi="Arial Narrow"/>
                <w:noProof/>
              </w:rPr>
              <w:t>5.</w:t>
            </w:r>
            <w:r w:rsidR="008D7127">
              <w:rPr>
                <w:rFonts w:eastAsiaTheme="minorEastAsia"/>
                <w:noProof/>
                <w:lang w:eastAsia="en-ZA"/>
              </w:rPr>
              <w:tab/>
            </w:r>
            <w:r w:rsidR="008D7127" w:rsidRPr="00033F8D">
              <w:rPr>
                <w:rStyle w:val="Hyperlink"/>
                <w:rFonts w:ascii="Arial Narrow" w:hAnsi="Arial Narrow"/>
                <w:noProof/>
              </w:rPr>
              <w:t>COMPLIANCE AND QUALITY</w:t>
            </w:r>
            <w:r w:rsidR="008D7127">
              <w:rPr>
                <w:noProof/>
                <w:webHidden/>
              </w:rPr>
              <w:tab/>
            </w:r>
            <w:r w:rsidR="008D7127">
              <w:rPr>
                <w:noProof/>
                <w:webHidden/>
              </w:rPr>
              <w:fldChar w:fldCharType="begin"/>
            </w:r>
            <w:r w:rsidR="008D7127">
              <w:rPr>
                <w:noProof/>
                <w:webHidden/>
              </w:rPr>
              <w:instrText xml:space="preserve"> PAGEREF _Toc66876364 \h </w:instrText>
            </w:r>
            <w:r w:rsidR="008D7127">
              <w:rPr>
                <w:noProof/>
                <w:webHidden/>
              </w:rPr>
            </w:r>
            <w:r w:rsidR="008D7127">
              <w:rPr>
                <w:noProof/>
                <w:webHidden/>
              </w:rPr>
              <w:fldChar w:fldCharType="separate"/>
            </w:r>
            <w:r w:rsidR="00A91614">
              <w:rPr>
                <w:noProof/>
                <w:webHidden/>
              </w:rPr>
              <w:t>5</w:t>
            </w:r>
            <w:r w:rsidR="008D7127">
              <w:rPr>
                <w:noProof/>
                <w:webHidden/>
              </w:rPr>
              <w:fldChar w:fldCharType="end"/>
            </w:r>
          </w:hyperlink>
        </w:p>
        <w:p w14:paraId="2458DFA1" w14:textId="20ACD965" w:rsidR="008D7127" w:rsidRDefault="00FE4348">
          <w:pPr>
            <w:pStyle w:val="TOC1"/>
            <w:tabs>
              <w:tab w:val="left" w:pos="440"/>
            </w:tabs>
            <w:rPr>
              <w:rFonts w:eastAsiaTheme="minorEastAsia"/>
              <w:noProof/>
              <w:lang w:eastAsia="en-ZA"/>
            </w:rPr>
          </w:pPr>
          <w:hyperlink w:anchor="_Toc66876365" w:history="1">
            <w:r w:rsidR="008D7127" w:rsidRPr="00033F8D">
              <w:rPr>
                <w:rStyle w:val="Hyperlink"/>
                <w:rFonts w:ascii="Arial Narrow" w:hAnsi="Arial Narrow"/>
                <w:noProof/>
              </w:rPr>
              <w:t>6.</w:t>
            </w:r>
            <w:r w:rsidR="008D7127">
              <w:rPr>
                <w:rFonts w:eastAsiaTheme="minorEastAsia"/>
                <w:noProof/>
                <w:lang w:eastAsia="en-ZA"/>
              </w:rPr>
              <w:tab/>
            </w:r>
            <w:r w:rsidR="008D7127" w:rsidRPr="00033F8D">
              <w:rPr>
                <w:rStyle w:val="Hyperlink"/>
                <w:rFonts w:ascii="Arial Narrow" w:hAnsi="Arial Narrow"/>
                <w:noProof/>
              </w:rPr>
              <w:t>OVERSIGHT ON STRATEGIC PRIORITIES</w:t>
            </w:r>
            <w:r w:rsidR="008D7127">
              <w:rPr>
                <w:noProof/>
                <w:webHidden/>
              </w:rPr>
              <w:tab/>
            </w:r>
            <w:r w:rsidR="008D7127">
              <w:rPr>
                <w:noProof/>
                <w:webHidden/>
              </w:rPr>
              <w:fldChar w:fldCharType="begin"/>
            </w:r>
            <w:r w:rsidR="008D7127">
              <w:rPr>
                <w:noProof/>
                <w:webHidden/>
              </w:rPr>
              <w:instrText xml:space="preserve"> PAGEREF _Toc66876365 \h </w:instrText>
            </w:r>
            <w:r w:rsidR="008D7127">
              <w:rPr>
                <w:noProof/>
                <w:webHidden/>
              </w:rPr>
            </w:r>
            <w:r w:rsidR="008D7127">
              <w:rPr>
                <w:noProof/>
                <w:webHidden/>
              </w:rPr>
              <w:fldChar w:fldCharType="separate"/>
            </w:r>
            <w:r w:rsidR="00A91614">
              <w:rPr>
                <w:noProof/>
                <w:webHidden/>
              </w:rPr>
              <w:t>6</w:t>
            </w:r>
            <w:r w:rsidR="008D7127">
              <w:rPr>
                <w:noProof/>
                <w:webHidden/>
              </w:rPr>
              <w:fldChar w:fldCharType="end"/>
            </w:r>
          </w:hyperlink>
        </w:p>
        <w:p w14:paraId="4179B59F" w14:textId="0DA61DFD" w:rsidR="008D7127" w:rsidRDefault="00FE4348">
          <w:pPr>
            <w:pStyle w:val="TOC1"/>
            <w:tabs>
              <w:tab w:val="left" w:pos="440"/>
            </w:tabs>
            <w:rPr>
              <w:rFonts w:eastAsiaTheme="minorEastAsia"/>
              <w:noProof/>
              <w:lang w:eastAsia="en-ZA"/>
            </w:rPr>
          </w:pPr>
          <w:hyperlink w:anchor="_Toc66876375" w:history="1">
            <w:r w:rsidR="008D7127" w:rsidRPr="00033F8D">
              <w:rPr>
                <w:rStyle w:val="Hyperlink"/>
                <w:rFonts w:ascii="Arial Narrow" w:hAnsi="Arial Narrow"/>
                <w:noProof/>
              </w:rPr>
              <w:t>7.</w:t>
            </w:r>
            <w:r w:rsidR="008D7127">
              <w:rPr>
                <w:rFonts w:eastAsiaTheme="minorEastAsia"/>
                <w:noProof/>
                <w:lang w:eastAsia="en-ZA"/>
              </w:rPr>
              <w:tab/>
            </w:r>
            <w:r w:rsidR="008D7127" w:rsidRPr="00033F8D">
              <w:rPr>
                <w:rStyle w:val="Hyperlink"/>
                <w:rFonts w:ascii="Arial Narrow" w:hAnsi="Arial Narrow"/>
                <w:noProof/>
              </w:rPr>
              <w:t>OVERSIGHT ON TECHNICAL PERFORMANCE</w:t>
            </w:r>
            <w:r w:rsidR="008D7127">
              <w:rPr>
                <w:noProof/>
                <w:webHidden/>
              </w:rPr>
              <w:tab/>
            </w:r>
            <w:r w:rsidR="008D7127">
              <w:rPr>
                <w:noProof/>
                <w:webHidden/>
              </w:rPr>
              <w:fldChar w:fldCharType="begin"/>
            </w:r>
            <w:r w:rsidR="008D7127">
              <w:rPr>
                <w:noProof/>
                <w:webHidden/>
              </w:rPr>
              <w:instrText xml:space="preserve"> PAGEREF _Toc66876375 \h </w:instrText>
            </w:r>
            <w:r w:rsidR="008D7127">
              <w:rPr>
                <w:noProof/>
                <w:webHidden/>
              </w:rPr>
            </w:r>
            <w:r w:rsidR="008D7127">
              <w:rPr>
                <w:noProof/>
                <w:webHidden/>
              </w:rPr>
              <w:fldChar w:fldCharType="separate"/>
            </w:r>
            <w:r w:rsidR="00A91614">
              <w:rPr>
                <w:noProof/>
                <w:webHidden/>
              </w:rPr>
              <w:t>7</w:t>
            </w:r>
            <w:r w:rsidR="008D7127">
              <w:rPr>
                <w:noProof/>
                <w:webHidden/>
              </w:rPr>
              <w:fldChar w:fldCharType="end"/>
            </w:r>
          </w:hyperlink>
        </w:p>
        <w:p w14:paraId="753968D4" w14:textId="275B0547" w:rsidR="008D7127" w:rsidRDefault="00FE4348">
          <w:pPr>
            <w:pStyle w:val="TOC1"/>
            <w:tabs>
              <w:tab w:val="left" w:pos="440"/>
            </w:tabs>
            <w:rPr>
              <w:rFonts w:eastAsiaTheme="minorEastAsia"/>
              <w:noProof/>
              <w:lang w:eastAsia="en-ZA"/>
            </w:rPr>
          </w:pPr>
          <w:hyperlink w:anchor="_Toc66876376" w:history="1">
            <w:r w:rsidR="008D7127" w:rsidRPr="00033F8D">
              <w:rPr>
                <w:rStyle w:val="Hyperlink"/>
                <w:rFonts w:ascii="Arial Narrow" w:hAnsi="Arial Narrow"/>
                <w:noProof/>
              </w:rPr>
              <w:t>8.</w:t>
            </w:r>
            <w:r w:rsidR="008D7127">
              <w:rPr>
                <w:rFonts w:eastAsiaTheme="minorEastAsia"/>
                <w:noProof/>
                <w:lang w:eastAsia="en-ZA"/>
              </w:rPr>
              <w:tab/>
            </w:r>
            <w:r w:rsidR="008D7127" w:rsidRPr="00033F8D">
              <w:rPr>
                <w:rStyle w:val="Hyperlink"/>
                <w:rFonts w:ascii="Arial Narrow" w:hAnsi="Arial Narrow"/>
                <w:noProof/>
              </w:rPr>
              <w:t>OVERSIGHT ON BUDGET EXPENDITURE</w:t>
            </w:r>
            <w:r w:rsidR="008D7127">
              <w:rPr>
                <w:noProof/>
                <w:webHidden/>
              </w:rPr>
              <w:tab/>
            </w:r>
            <w:r w:rsidR="008D7127">
              <w:rPr>
                <w:noProof/>
                <w:webHidden/>
              </w:rPr>
              <w:fldChar w:fldCharType="begin"/>
            </w:r>
            <w:r w:rsidR="008D7127">
              <w:rPr>
                <w:noProof/>
                <w:webHidden/>
              </w:rPr>
              <w:instrText xml:space="preserve"> PAGEREF _Toc66876376 \h </w:instrText>
            </w:r>
            <w:r w:rsidR="008D7127">
              <w:rPr>
                <w:noProof/>
                <w:webHidden/>
              </w:rPr>
            </w:r>
            <w:r w:rsidR="008D7127">
              <w:rPr>
                <w:noProof/>
                <w:webHidden/>
              </w:rPr>
              <w:fldChar w:fldCharType="separate"/>
            </w:r>
            <w:r w:rsidR="00A91614">
              <w:rPr>
                <w:noProof/>
                <w:webHidden/>
              </w:rPr>
              <w:t>20</w:t>
            </w:r>
            <w:r w:rsidR="008D7127">
              <w:rPr>
                <w:noProof/>
                <w:webHidden/>
              </w:rPr>
              <w:fldChar w:fldCharType="end"/>
            </w:r>
          </w:hyperlink>
        </w:p>
        <w:p w14:paraId="36778593" w14:textId="0A11FB61" w:rsidR="008D7127" w:rsidRDefault="00FE4348">
          <w:pPr>
            <w:pStyle w:val="TOC1"/>
            <w:tabs>
              <w:tab w:val="left" w:pos="440"/>
            </w:tabs>
            <w:rPr>
              <w:rFonts w:eastAsiaTheme="minorEastAsia"/>
              <w:noProof/>
              <w:lang w:eastAsia="en-ZA"/>
            </w:rPr>
          </w:pPr>
          <w:hyperlink w:anchor="_Toc66876377" w:history="1">
            <w:r w:rsidR="008D7127" w:rsidRPr="00033F8D">
              <w:rPr>
                <w:rStyle w:val="Hyperlink"/>
                <w:rFonts w:ascii="Arial Narrow" w:hAnsi="Arial Narrow"/>
                <w:noProof/>
              </w:rPr>
              <w:t>9.</w:t>
            </w:r>
            <w:r w:rsidR="008D7127">
              <w:rPr>
                <w:rFonts w:eastAsiaTheme="minorEastAsia"/>
                <w:noProof/>
                <w:lang w:eastAsia="en-ZA"/>
              </w:rPr>
              <w:tab/>
            </w:r>
            <w:r w:rsidR="008D7127" w:rsidRPr="00033F8D">
              <w:rPr>
                <w:rStyle w:val="Hyperlink"/>
                <w:rFonts w:ascii="Arial Narrow" w:hAnsi="Arial Narrow"/>
                <w:noProof/>
              </w:rPr>
              <w:t>OVERSIGHT ON PUBLIC INVOLVEMENT</w:t>
            </w:r>
            <w:r w:rsidR="008D7127">
              <w:rPr>
                <w:noProof/>
                <w:webHidden/>
              </w:rPr>
              <w:tab/>
            </w:r>
            <w:r w:rsidR="008D7127">
              <w:rPr>
                <w:noProof/>
                <w:webHidden/>
              </w:rPr>
              <w:fldChar w:fldCharType="begin"/>
            </w:r>
            <w:r w:rsidR="008D7127">
              <w:rPr>
                <w:noProof/>
                <w:webHidden/>
              </w:rPr>
              <w:instrText xml:space="preserve"> PAGEREF _Toc66876377 \h </w:instrText>
            </w:r>
            <w:r w:rsidR="008D7127">
              <w:rPr>
                <w:noProof/>
                <w:webHidden/>
              </w:rPr>
            </w:r>
            <w:r w:rsidR="008D7127">
              <w:rPr>
                <w:noProof/>
                <w:webHidden/>
              </w:rPr>
              <w:fldChar w:fldCharType="separate"/>
            </w:r>
            <w:r w:rsidR="00A91614">
              <w:rPr>
                <w:noProof/>
                <w:webHidden/>
              </w:rPr>
              <w:t>21</w:t>
            </w:r>
            <w:r w:rsidR="008D7127">
              <w:rPr>
                <w:noProof/>
                <w:webHidden/>
              </w:rPr>
              <w:fldChar w:fldCharType="end"/>
            </w:r>
          </w:hyperlink>
        </w:p>
        <w:p w14:paraId="224C3C49" w14:textId="05812229" w:rsidR="008D7127" w:rsidRDefault="00FE4348">
          <w:pPr>
            <w:pStyle w:val="TOC1"/>
            <w:tabs>
              <w:tab w:val="left" w:pos="660"/>
            </w:tabs>
            <w:rPr>
              <w:rFonts w:eastAsiaTheme="minorEastAsia"/>
              <w:noProof/>
              <w:lang w:eastAsia="en-ZA"/>
            </w:rPr>
          </w:pPr>
          <w:hyperlink w:anchor="_Toc66876378" w:history="1">
            <w:r w:rsidR="008D7127" w:rsidRPr="00033F8D">
              <w:rPr>
                <w:rStyle w:val="Hyperlink"/>
                <w:rFonts w:ascii="Arial Narrow" w:hAnsi="Arial Narrow"/>
                <w:noProof/>
              </w:rPr>
              <w:t>10.</w:t>
            </w:r>
            <w:r w:rsidR="008D7127">
              <w:rPr>
                <w:rFonts w:eastAsiaTheme="minorEastAsia"/>
                <w:noProof/>
                <w:lang w:eastAsia="en-ZA"/>
              </w:rPr>
              <w:tab/>
            </w:r>
            <w:r w:rsidR="008D7127" w:rsidRPr="00033F8D">
              <w:rPr>
                <w:rStyle w:val="Hyperlink"/>
                <w:rFonts w:ascii="Arial Narrow" w:hAnsi="Arial Narrow"/>
                <w:noProof/>
              </w:rPr>
              <w:t>OVERSIGHT ON RESOLUTION MANAGEMENT</w:t>
            </w:r>
            <w:r w:rsidR="008D7127">
              <w:rPr>
                <w:noProof/>
                <w:webHidden/>
              </w:rPr>
              <w:tab/>
            </w:r>
            <w:r w:rsidR="008D7127">
              <w:rPr>
                <w:noProof/>
                <w:webHidden/>
              </w:rPr>
              <w:fldChar w:fldCharType="begin"/>
            </w:r>
            <w:r w:rsidR="008D7127">
              <w:rPr>
                <w:noProof/>
                <w:webHidden/>
              </w:rPr>
              <w:instrText xml:space="preserve"> PAGEREF _Toc66876378 \h </w:instrText>
            </w:r>
            <w:r w:rsidR="008D7127">
              <w:rPr>
                <w:noProof/>
                <w:webHidden/>
              </w:rPr>
            </w:r>
            <w:r w:rsidR="008D7127">
              <w:rPr>
                <w:noProof/>
                <w:webHidden/>
              </w:rPr>
              <w:fldChar w:fldCharType="separate"/>
            </w:r>
            <w:r w:rsidR="00A91614">
              <w:rPr>
                <w:noProof/>
                <w:webHidden/>
              </w:rPr>
              <w:t>21</w:t>
            </w:r>
            <w:r w:rsidR="008D7127">
              <w:rPr>
                <w:noProof/>
                <w:webHidden/>
              </w:rPr>
              <w:fldChar w:fldCharType="end"/>
            </w:r>
          </w:hyperlink>
        </w:p>
        <w:p w14:paraId="61B174DD" w14:textId="6D51F6B4" w:rsidR="008D7127" w:rsidRDefault="00FE4348">
          <w:pPr>
            <w:pStyle w:val="TOC1"/>
            <w:tabs>
              <w:tab w:val="left" w:pos="660"/>
            </w:tabs>
            <w:rPr>
              <w:rFonts w:eastAsiaTheme="minorEastAsia"/>
              <w:noProof/>
              <w:lang w:eastAsia="en-ZA"/>
            </w:rPr>
          </w:pPr>
          <w:hyperlink w:anchor="_Toc66876379" w:history="1">
            <w:r w:rsidR="008D7127" w:rsidRPr="00033F8D">
              <w:rPr>
                <w:rStyle w:val="Hyperlink"/>
                <w:rFonts w:ascii="Arial Narrow" w:hAnsi="Arial Narrow"/>
                <w:noProof/>
              </w:rPr>
              <w:t>11.</w:t>
            </w:r>
            <w:r w:rsidR="008D7127">
              <w:rPr>
                <w:rFonts w:eastAsiaTheme="minorEastAsia"/>
                <w:noProof/>
                <w:lang w:eastAsia="en-ZA"/>
              </w:rPr>
              <w:tab/>
            </w:r>
            <w:r w:rsidR="008D7127" w:rsidRPr="00033F8D">
              <w:rPr>
                <w:rStyle w:val="Hyperlink"/>
                <w:rFonts w:ascii="Arial Narrow" w:hAnsi="Arial Narrow"/>
                <w:noProof/>
              </w:rPr>
              <w:t>OVERSIGHT ON PERFORMANCE VERIFICATION</w:t>
            </w:r>
            <w:r w:rsidR="008D7127">
              <w:rPr>
                <w:noProof/>
                <w:webHidden/>
              </w:rPr>
              <w:tab/>
            </w:r>
            <w:r w:rsidR="008D7127">
              <w:rPr>
                <w:noProof/>
                <w:webHidden/>
              </w:rPr>
              <w:fldChar w:fldCharType="begin"/>
            </w:r>
            <w:r w:rsidR="008D7127">
              <w:rPr>
                <w:noProof/>
                <w:webHidden/>
              </w:rPr>
              <w:instrText xml:space="preserve"> PAGEREF _Toc66876379 \h </w:instrText>
            </w:r>
            <w:r w:rsidR="008D7127">
              <w:rPr>
                <w:noProof/>
                <w:webHidden/>
              </w:rPr>
            </w:r>
            <w:r w:rsidR="008D7127">
              <w:rPr>
                <w:noProof/>
                <w:webHidden/>
              </w:rPr>
              <w:fldChar w:fldCharType="separate"/>
            </w:r>
            <w:r w:rsidR="00A91614">
              <w:rPr>
                <w:noProof/>
                <w:webHidden/>
              </w:rPr>
              <w:t>22</w:t>
            </w:r>
            <w:r w:rsidR="008D7127">
              <w:rPr>
                <w:noProof/>
                <w:webHidden/>
              </w:rPr>
              <w:fldChar w:fldCharType="end"/>
            </w:r>
          </w:hyperlink>
        </w:p>
        <w:p w14:paraId="6FDD32E6" w14:textId="33A3A17C" w:rsidR="008D7127" w:rsidRDefault="00FE4348">
          <w:pPr>
            <w:pStyle w:val="TOC1"/>
            <w:tabs>
              <w:tab w:val="left" w:pos="660"/>
            </w:tabs>
            <w:rPr>
              <w:rFonts w:eastAsiaTheme="minorEastAsia"/>
              <w:noProof/>
              <w:lang w:eastAsia="en-ZA"/>
            </w:rPr>
          </w:pPr>
          <w:hyperlink w:anchor="_Toc66876380" w:history="1">
            <w:r w:rsidR="008D7127" w:rsidRPr="00033F8D">
              <w:rPr>
                <w:rStyle w:val="Hyperlink"/>
                <w:rFonts w:ascii="Arial Narrow" w:hAnsi="Arial Narrow"/>
                <w:noProof/>
              </w:rPr>
              <w:t>12.</w:t>
            </w:r>
            <w:r w:rsidR="008D7127">
              <w:rPr>
                <w:rFonts w:eastAsiaTheme="minorEastAsia"/>
                <w:noProof/>
                <w:lang w:eastAsia="en-ZA"/>
              </w:rPr>
              <w:tab/>
            </w:r>
            <w:r w:rsidR="008D7127" w:rsidRPr="00033F8D">
              <w:rPr>
                <w:rStyle w:val="Hyperlink"/>
                <w:rFonts w:ascii="Arial Narrow" w:hAnsi="Arial Narrow"/>
                <w:noProof/>
              </w:rPr>
              <w:t>FINDINGS, RECOMMENDATIONS, AND IMPLICATIONS ON LAW MAKING</w:t>
            </w:r>
            <w:r w:rsidR="008D7127">
              <w:rPr>
                <w:noProof/>
                <w:webHidden/>
              </w:rPr>
              <w:tab/>
            </w:r>
            <w:r w:rsidR="008D7127">
              <w:rPr>
                <w:noProof/>
                <w:webHidden/>
              </w:rPr>
              <w:fldChar w:fldCharType="begin"/>
            </w:r>
            <w:r w:rsidR="008D7127">
              <w:rPr>
                <w:noProof/>
                <w:webHidden/>
              </w:rPr>
              <w:instrText xml:space="preserve"> PAGEREF _Toc66876380 \h </w:instrText>
            </w:r>
            <w:r w:rsidR="008D7127">
              <w:rPr>
                <w:noProof/>
                <w:webHidden/>
              </w:rPr>
            </w:r>
            <w:r w:rsidR="008D7127">
              <w:rPr>
                <w:noProof/>
                <w:webHidden/>
              </w:rPr>
              <w:fldChar w:fldCharType="separate"/>
            </w:r>
            <w:r w:rsidR="00A91614">
              <w:rPr>
                <w:noProof/>
                <w:webHidden/>
              </w:rPr>
              <w:t>23</w:t>
            </w:r>
            <w:r w:rsidR="008D7127">
              <w:rPr>
                <w:noProof/>
                <w:webHidden/>
              </w:rPr>
              <w:fldChar w:fldCharType="end"/>
            </w:r>
          </w:hyperlink>
        </w:p>
        <w:p w14:paraId="13F6A1FC" w14:textId="13EE7AE6" w:rsidR="008D7127" w:rsidRDefault="00FE4348">
          <w:pPr>
            <w:pStyle w:val="TOC1"/>
            <w:tabs>
              <w:tab w:val="left" w:pos="660"/>
            </w:tabs>
            <w:rPr>
              <w:rFonts w:eastAsiaTheme="minorEastAsia"/>
              <w:noProof/>
              <w:lang w:eastAsia="en-ZA"/>
            </w:rPr>
          </w:pPr>
          <w:hyperlink w:anchor="_Toc66876381" w:history="1">
            <w:r w:rsidR="008D7127" w:rsidRPr="00033F8D">
              <w:rPr>
                <w:rStyle w:val="Hyperlink"/>
                <w:rFonts w:ascii="Arial Narrow" w:hAnsi="Arial Narrow"/>
                <w:noProof/>
              </w:rPr>
              <w:t>13.</w:t>
            </w:r>
            <w:r w:rsidR="008D7127">
              <w:rPr>
                <w:rFonts w:eastAsiaTheme="minorEastAsia"/>
                <w:noProof/>
                <w:lang w:eastAsia="en-ZA"/>
              </w:rPr>
              <w:tab/>
            </w:r>
            <w:r w:rsidR="008D7127" w:rsidRPr="00033F8D">
              <w:rPr>
                <w:rStyle w:val="Hyperlink"/>
                <w:rFonts w:ascii="Arial Narrow" w:hAnsi="Arial Narrow"/>
                <w:noProof/>
              </w:rPr>
              <w:t>ACKNOWLEDGEMENTS</w:t>
            </w:r>
            <w:r w:rsidR="008D7127">
              <w:rPr>
                <w:noProof/>
                <w:webHidden/>
              </w:rPr>
              <w:tab/>
            </w:r>
            <w:r w:rsidR="008D7127">
              <w:rPr>
                <w:noProof/>
                <w:webHidden/>
              </w:rPr>
              <w:fldChar w:fldCharType="begin"/>
            </w:r>
            <w:r w:rsidR="008D7127">
              <w:rPr>
                <w:noProof/>
                <w:webHidden/>
              </w:rPr>
              <w:instrText xml:space="preserve"> PAGEREF _Toc66876381 \h </w:instrText>
            </w:r>
            <w:r w:rsidR="008D7127">
              <w:rPr>
                <w:noProof/>
                <w:webHidden/>
              </w:rPr>
            </w:r>
            <w:r w:rsidR="008D7127">
              <w:rPr>
                <w:noProof/>
                <w:webHidden/>
              </w:rPr>
              <w:fldChar w:fldCharType="separate"/>
            </w:r>
            <w:r w:rsidR="00A91614">
              <w:rPr>
                <w:noProof/>
                <w:webHidden/>
              </w:rPr>
              <w:t>25</w:t>
            </w:r>
            <w:r w:rsidR="008D7127">
              <w:rPr>
                <w:noProof/>
                <w:webHidden/>
              </w:rPr>
              <w:fldChar w:fldCharType="end"/>
            </w:r>
          </w:hyperlink>
        </w:p>
        <w:p w14:paraId="77B100E8" w14:textId="02ABBC18" w:rsidR="008D7127" w:rsidRDefault="00FE4348">
          <w:pPr>
            <w:pStyle w:val="TOC1"/>
            <w:tabs>
              <w:tab w:val="left" w:pos="660"/>
            </w:tabs>
            <w:rPr>
              <w:rFonts w:eastAsiaTheme="minorEastAsia"/>
              <w:noProof/>
              <w:lang w:eastAsia="en-ZA"/>
            </w:rPr>
          </w:pPr>
          <w:hyperlink w:anchor="_Toc66876382" w:history="1">
            <w:r w:rsidR="008D7127" w:rsidRPr="00033F8D">
              <w:rPr>
                <w:rStyle w:val="Hyperlink"/>
                <w:rFonts w:ascii="Arial Narrow" w:hAnsi="Arial Narrow"/>
                <w:noProof/>
              </w:rPr>
              <w:t>14.</w:t>
            </w:r>
            <w:r w:rsidR="008D7127">
              <w:rPr>
                <w:rFonts w:eastAsiaTheme="minorEastAsia"/>
                <w:noProof/>
                <w:lang w:eastAsia="en-ZA"/>
              </w:rPr>
              <w:tab/>
            </w:r>
            <w:r w:rsidR="008D7127" w:rsidRPr="00033F8D">
              <w:rPr>
                <w:rStyle w:val="Hyperlink"/>
                <w:rFonts w:ascii="Arial Narrow" w:hAnsi="Arial Narrow"/>
                <w:noProof/>
              </w:rPr>
              <w:t>ADOPTION</w:t>
            </w:r>
            <w:r w:rsidR="008D7127">
              <w:rPr>
                <w:noProof/>
                <w:webHidden/>
              </w:rPr>
              <w:tab/>
            </w:r>
            <w:r w:rsidR="008D7127">
              <w:rPr>
                <w:noProof/>
                <w:webHidden/>
              </w:rPr>
              <w:fldChar w:fldCharType="begin"/>
            </w:r>
            <w:r w:rsidR="008D7127">
              <w:rPr>
                <w:noProof/>
                <w:webHidden/>
              </w:rPr>
              <w:instrText xml:space="preserve"> PAGEREF _Toc66876382 \h </w:instrText>
            </w:r>
            <w:r w:rsidR="008D7127">
              <w:rPr>
                <w:noProof/>
                <w:webHidden/>
              </w:rPr>
            </w:r>
            <w:r w:rsidR="008D7127">
              <w:rPr>
                <w:noProof/>
                <w:webHidden/>
              </w:rPr>
              <w:fldChar w:fldCharType="separate"/>
            </w:r>
            <w:r w:rsidR="00A91614">
              <w:rPr>
                <w:noProof/>
                <w:webHidden/>
              </w:rPr>
              <w:t>26</w:t>
            </w:r>
            <w:r w:rsidR="008D7127">
              <w:rPr>
                <w:noProof/>
                <w:webHidden/>
              </w:rPr>
              <w:fldChar w:fldCharType="end"/>
            </w:r>
          </w:hyperlink>
        </w:p>
        <w:p w14:paraId="0083167A" w14:textId="5C7CC59B" w:rsidR="00644F6A" w:rsidRPr="0079000E" w:rsidRDefault="00644F6A" w:rsidP="00C93456">
          <w:pPr>
            <w:spacing w:line="276" w:lineRule="auto"/>
            <w:rPr>
              <w:rFonts w:ascii="Arial Narrow" w:hAnsi="Arial Narrow"/>
            </w:rPr>
          </w:pPr>
          <w:r w:rsidRPr="000F23A9">
            <w:rPr>
              <w:rFonts w:ascii="Arial Narrow" w:hAnsi="Arial Narrow"/>
              <w:b/>
              <w:bCs/>
              <w:noProof/>
            </w:rPr>
            <w:fldChar w:fldCharType="end"/>
          </w:r>
        </w:p>
      </w:sdtContent>
    </w:sdt>
    <w:p w14:paraId="4001F4ED" w14:textId="77777777" w:rsidR="00A765A1" w:rsidRPr="0079000E" w:rsidRDefault="00A765A1" w:rsidP="00C93456">
      <w:pPr>
        <w:spacing w:line="276" w:lineRule="auto"/>
        <w:rPr>
          <w:rFonts w:ascii="Arial Narrow" w:hAnsi="Arial Narrow" w:cs="Arial Narrow"/>
          <w:bCs/>
          <w:i/>
          <w:color w:val="FF0000"/>
        </w:rPr>
      </w:pPr>
    </w:p>
    <w:p w14:paraId="261E0131" w14:textId="77777777" w:rsidR="00A765A1" w:rsidRPr="0079000E" w:rsidRDefault="00F84F5C" w:rsidP="00C93456">
      <w:pPr>
        <w:tabs>
          <w:tab w:val="left" w:pos="5442"/>
        </w:tabs>
        <w:spacing w:line="276" w:lineRule="auto"/>
        <w:rPr>
          <w:rFonts w:ascii="Arial Narrow" w:hAnsi="Arial Narrow" w:cs="Arial Narrow"/>
          <w:bCs/>
          <w:i/>
          <w:color w:val="FF0000"/>
        </w:rPr>
      </w:pPr>
      <w:r>
        <w:rPr>
          <w:rFonts w:ascii="Arial Narrow" w:hAnsi="Arial Narrow" w:cs="Arial Narrow"/>
          <w:bCs/>
          <w:i/>
          <w:color w:val="FF0000"/>
        </w:rPr>
        <w:tab/>
      </w:r>
    </w:p>
    <w:p w14:paraId="6820729D" w14:textId="77777777" w:rsidR="00A765A1" w:rsidRDefault="00A765A1" w:rsidP="00C93456">
      <w:pPr>
        <w:spacing w:line="276" w:lineRule="auto"/>
        <w:rPr>
          <w:rFonts w:ascii="Arial Narrow" w:hAnsi="Arial Narrow" w:cs="Arial Narrow"/>
          <w:bCs/>
          <w:i/>
          <w:color w:val="FF0000"/>
        </w:rPr>
      </w:pPr>
    </w:p>
    <w:p w14:paraId="3FD9EB9E" w14:textId="77777777" w:rsidR="00C0768B" w:rsidRDefault="00C0768B" w:rsidP="00C93456">
      <w:pPr>
        <w:spacing w:line="276" w:lineRule="auto"/>
        <w:rPr>
          <w:rFonts w:ascii="Arial Narrow" w:hAnsi="Arial Narrow" w:cs="Arial Narrow"/>
          <w:bCs/>
          <w:i/>
          <w:color w:val="FF0000"/>
        </w:rPr>
      </w:pPr>
    </w:p>
    <w:p w14:paraId="2630EC89" w14:textId="77777777" w:rsidR="00C0768B" w:rsidRDefault="00C0768B" w:rsidP="00C93456">
      <w:pPr>
        <w:spacing w:line="276" w:lineRule="auto"/>
        <w:rPr>
          <w:rFonts w:ascii="Arial Narrow" w:hAnsi="Arial Narrow" w:cs="Arial Narrow"/>
          <w:bCs/>
          <w:i/>
          <w:color w:val="FF0000"/>
        </w:rPr>
      </w:pPr>
    </w:p>
    <w:p w14:paraId="3DEEF8F8" w14:textId="77777777" w:rsidR="00C0768B" w:rsidRDefault="00C0768B" w:rsidP="00C93456">
      <w:pPr>
        <w:spacing w:line="276" w:lineRule="auto"/>
        <w:rPr>
          <w:rFonts w:ascii="Arial Narrow" w:hAnsi="Arial Narrow" w:cs="Arial Narrow"/>
          <w:bCs/>
          <w:i/>
          <w:color w:val="FF0000"/>
        </w:rPr>
      </w:pPr>
    </w:p>
    <w:p w14:paraId="13D21A96" w14:textId="77777777" w:rsidR="00C0768B" w:rsidRDefault="00C0768B" w:rsidP="00C93456">
      <w:pPr>
        <w:spacing w:line="276" w:lineRule="auto"/>
        <w:rPr>
          <w:rFonts w:ascii="Arial Narrow" w:hAnsi="Arial Narrow" w:cs="Arial Narrow"/>
          <w:bCs/>
          <w:i/>
          <w:color w:val="FF0000"/>
        </w:rPr>
      </w:pPr>
    </w:p>
    <w:p w14:paraId="7E52B3D2" w14:textId="77777777" w:rsidR="00C0768B" w:rsidRDefault="00C0768B" w:rsidP="00C93456">
      <w:pPr>
        <w:spacing w:line="276" w:lineRule="auto"/>
        <w:rPr>
          <w:rFonts w:ascii="Arial Narrow" w:hAnsi="Arial Narrow" w:cs="Arial Narrow"/>
          <w:bCs/>
          <w:i/>
          <w:color w:val="FF0000"/>
        </w:rPr>
      </w:pPr>
    </w:p>
    <w:p w14:paraId="45C97C7F" w14:textId="77777777" w:rsidR="00C0768B" w:rsidRDefault="00C0768B" w:rsidP="00C93456">
      <w:pPr>
        <w:spacing w:line="276" w:lineRule="auto"/>
        <w:rPr>
          <w:rFonts w:ascii="Arial Narrow" w:hAnsi="Arial Narrow" w:cs="Arial Narrow"/>
          <w:bCs/>
          <w:i/>
          <w:color w:val="FF0000"/>
        </w:rPr>
      </w:pPr>
    </w:p>
    <w:p w14:paraId="5DB9DBB1" w14:textId="77777777" w:rsidR="00C0768B" w:rsidRDefault="00C0768B" w:rsidP="00C93456">
      <w:pPr>
        <w:spacing w:line="276" w:lineRule="auto"/>
        <w:rPr>
          <w:rFonts w:ascii="Arial Narrow" w:hAnsi="Arial Narrow" w:cs="Arial Narrow"/>
          <w:bCs/>
          <w:i/>
          <w:color w:val="FF0000"/>
        </w:rPr>
      </w:pPr>
    </w:p>
    <w:p w14:paraId="3E2E010C" w14:textId="77777777" w:rsidR="00C0768B" w:rsidRDefault="00C0768B" w:rsidP="00C93456">
      <w:pPr>
        <w:spacing w:line="276" w:lineRule="auto"/>
        <w:rPr>
          <w:rFonts w:ascii="Arial Narrow" w:hAnsi="Arial Narrow" w:cs="Arial Narrow"/>
          <w:bCs/>
          <w:i/>
          <w:color w:val="FF0000"/>
        </w:rPr>
      </w:pPr>
    </w:p>
    <w:p w14:paraId="05EB0AD8" w14:textId="77777777" w:rsidR="00C0768B" w:rsidRDefault="00C0768B" w:rsidP="00C93456">
      <w:pPr>
        <w:spacing w:line="276" w:lineRule="auto"/>
        <w:rPr>
          <w:rFonts w:ascii="Arial Narrow" w:hAnsi="Arial Narrow" w:cs="Arial Narrow"/>
          <w:bCs/>
          <w:i/>
          <w:color w:val="FF0000"/>
        </w:rPr>
      </w:pPr>
    </w:p>
    <w:p w14:paraId="250BC003" w14:textId="77777777" w:rsidR="00C0768B" w:rsidRDefault="00C0768B" w:rsidP="00C93456">
      <w:pPr>
        <w:spacing w:line="276" w:lineRule="auto"/>
        <w:rPr>
          <w:rFonts w:ascii="Arial Narrow" w:hAnsi="Arial Narrow" w:cs="Arial Narrow"/>
          <w:bCs/>
          <w:i/>
          <w:color w:val="FF0000"/>
        </w:rPr>
      </w:pPr>
    </w:p>
    <w:p w14:paraId="4ED1E7C4" w14:textId="77777777" w:rsidR="00C0768B" w:rsidRDefault="00C0768B" w:rsidP="00C93456">
      <w:pPr>
        <w:spacing w:line="276" w:lineRule="auto"/>
        <w:rPr>
          <w:rFonts w:ascii="Arial Narrow" w:hAnsi="Arial Narrow" w:cs="Arial Narrow"/>
          <w:bCs/>
          <w:i/>
          <w:color w:val="FF0000"/>
        </w:rPr>
      </w:pPr>
    </w:p>
    <w:p w14:paraId="65B51847" w14:textId="47B558FD" w:rsidR="00C0768B" w:rsidRDefault="00C0768B" w:rsidP="00C93456">
      <w:pPr>
        <w:spacing w:line="276" w:lineRule="auto"/>
        <w:rPr>
          <w:rFonts w:ascii="Arial Narrow" w:hAnsi="Arial Narrow" w:cs="Arial Narrow"/>
          <w:bCs/>
          <w:i/>
          <w:color w:val="FF0000"/>
        </w:rPr>
      </w:pPr>
    </w:p>
    <w:p w14:paraId="1323C0EC" w14:textId="5DACDD7F" w:rsidR="008D7127" w:rsidRDefault="008D7127" w:rsidP="00C93456">
      <w:pPr>
        <w:spacing w:line="276" w:lineRule="auto"/>
        <w:rPr>
          <w:rFonts w:ascii="Arial Narrow" w:hAnsi="Arial Narrow" w:cs="Arial Narrow"/>
          <w:bCs/>
          <w:i/>
          <w:color w:val="FF0000"/>
        </w:rPr>
      </w:pPr>
    </w:p>
    <w:p w14:paraId="4BBA4114" w14:textId="77777777" w:rsidR="008D7127" w:rsidRDefault="008D7127" w:rsidP="00C93456">
      <w:pPr>
        <w:spacing w:line="276" w:lineRule="auto"/>
        <w:rPr>
          <w:rFonts w:ascii="Arial Narrow" w:hAnsi="Arial Narrow" w:cs="Arial Narrow"/>
          <w:bCs/>
          <w:i/>
          <w:color w:val="FF0000"/>
        </w:rPr>
      </w:pPr>
    </w:p>
    <w:p w14:paraId="6F713FF8" w14:textId="77777777" w:rsidR="00C0768B" w:rsidRDefault="00C0768B" w:rsidP="00C93456">
      <w:pPr>
        <w:spacing w:line="276" w:lineRule="auto"/>
        <w:rPr>
          <w:rFonts w:ascii="Arial Narrow" w:hAnsi="Arial Narrow" w:cs="Arial Narrow"/>
          <w:bCs/>
          <w:i/>
          <w:color w:val="FF0000"/>
        </w:rPr>
      </w:pPr>
    </w:p>
    <w:p w14:paraId="66B007AD" w14:textId="77777777" w:rsidR="00C0768B" w:rsidRDefault="00C0768B" w:rsidP="00C93456">
      <w:pPr>
        <w:spacing w:line="276" w:lineRule="auto"/>
        <w:rPr>
          <w:rFonts w:ascii="Arial Narrow" w:hAnsi="Arial Narrow" w:cs="Arial Narrow"/>
          <w:bCs/>
          <w:i/>
          <w:color w:val="FF0000"/>
        </w:rPr>
      </w:pPr>
    </w:p>
    <w:p w14:paraId="0A2357FC" w14:textId="77777777" w:rsidR="00C0768B" w:rsidRPr="0079000E" w:rsidRDefault="00C0768B" w:rsidP="00C93456">
      <w:pPr>
        <w:spacing w:line="276" w:lineRule="auto"/>
        <w:rPr>
          <w:rFonts w:ascii="Arial Narrow" w:hAnsi="Arial Narrow" w:cs="Arial Narrow"/>
          <w:bCs/>
          <w:i/>
          <w:color w:val="FF0000"/>
        </w:rPr>
      </w:pPr>
    </w:p>
    <w:p w14:paraId="08F313C0" w14:textId="77777777" w:rsidR="004B7663" w:rsidRPr="00D35CD5" w:rsidRDefault="009A46D6"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0" w:name="_Toc66876360"/>
      <w:r w:rsidRPr="00D35CD5">
        <w:rPr>
          <w:rFonts w:ascii="Arial Narrow" w:hAnsi="Arial Narrow"/>
          <w:color w:val="auto"/>
          <w:sz w:val="22"/>
          <w:szCs w:val="22"/>
        </w:rPr>
        <w:lastRenderedPageBreak/>
        <w:t>ABBREVIATIONS</w:t>
      </w:r>
      <w:bookmarkEnd w:id="0"/>
    </w:p>
    <w:p w14:paraId="70495EE0" w14:textId="77777777" w:rsidR="004B7663" w:rsidRPr="00626F66" w:rsidRDefault="004B7663" w:rsidP="00C93456">
      <w:pPr>
        <w:spacing w:line="276" w:lineRule="auto"/>
        <w:rPr>
          <w:rFonts w:ascii="Arial Narrow" w:hAnsi="Arial Narrow" w:cs="Arial Narrow"/>
          <w:highlight w:val="yellow"/>
        </w:rPr>
      </w:pPr>
    </w:p>
    <w:tbl>
      <w:tblPr>
        <w:tblStyle w:val="TableGrid"/>
        <w:tblW w:w="0" w:type="auto"/>
        <w:tblLook w:val="04A0" w:firstRow="1" w:lastRow="0" w:firstColumn="1" w:lastColumn="0" w:noHBand="0" w:noVBand="1"/>
      </w:tblPr>
      <w:tblGrid>
        <w:gridCol w:w="3036"/>
        <w:gridCol w:w="5980"/>
      </w:tblGrid>
      <w:tr w:rsidR="00BC28A7" w:rsidRPr="00626F66" w14:paraId="2739C916" w14:textId="77777777" w:rsidTr="00DE1CE1">
        <w:tc>
          <w:tcPr>
            <w:tcW w:w="3080" w:type="dxa"/>
            <w:shd w:val="clear" w:color="auto" w:fill="F2F2F2" w:themeFill="background1" w:themeFillShade="F2"/>
          </w:tcPr>
          <w:p w14:paraId="49C9A512" w14:textId="77777777" w:rsidR="00BC28A7" w:rsidRPr="000C3068" w:rsidRDefault="00BC28A7" w:rsidP="00C93456">
            <w:pPr>
              <w:spacing w:line="276" w:lineRule="auto"/>
              <w:rPr>
                <w:rFonts w:ascii="Arial Narrow" w:hAnsi="Arial Narrow" w:cs="Arial Narrow"/>
                <w:b/>
                <w:bCs/>
              </w:rPr>
            </w:pPr>
            <w:r w:rsidRPr="000C3068">
              <w:rPr>
                <w:rFonts w:ascii="Arial Narrow" w:hAnsi="Arial Narrow" w:cs="Arial Narrow"/>
                <w:b/>
                <w:bCs/>
              </w:rPr>
              <w:t>Abbreviation</w:t>
            </w:r>
          </w:p>
        </w:tc>
        <w:tc>
          <w:tcPr>
            <w:tcW w:w="6100" w:type="dxa"/>
            <w:shd w:val="clear" w:color="auto" w:fill="F2F2F2" w:themeFill="background1" w:themeFillShade="F2"/>
          </w:tcPr>
          <w:p w14:paraId="57CE7A61" w14:textId="77777777" w:rsidR="00BC28A7" w:rsidRPr="000C3068" w:rsidRDefault="00BC28A7" w:rsidP="00C93456">
            <w:pPr>
              <w:spacing w:line="276" w:lineRule="auto"/>
              <w:rPr>
                <w:rFonts w:ascii="Arial Narrow" w:hAnsi="Arial Narrow" w:cs="Arial Narrow"/>
                <w:b/>
                <w:bCs/>
              </w:rPr>
            </w:pPr>
            <w:r w:rsidRPr="000C3068">
              <w:rPr>
                <w:rFonts w:ascii="Arial Narrow" w:hAnsi="Arial Narrow" w:cs="Arial Narrow"/>
                <w:b/>
                <w:bCs/>
              </w:rPr>
              <w:t>Full Wording</w:t>
            </w:r>
          </w:p>
        </w:tc>
      </w:tr>
      <w:tr w:rsidR="00BC28A7" w:rsidRPr="00626F66" w14:paraId="4FD90B21" w14:textId="77777777" w:rsidTr="00DE1CE1">
        <w:tc>
          <w:tcPr>
            <w:tcW w:w="3080" w:type="dxa"/>
          </w:tcPr>
          <w:p w14:paraId="6EE40F68"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APP</w:t>
            </w:r>
            <w:r w:rsidRPr="000C3068">
              <w:rPr>
                <w:rFonts w:ascii="Arial Narrow" w:hAnsi="Arial Narrow" w:cs="Arial Narrow"/>
                <w:bCs/>
              </w:rPr>
              <w:tab/>
            </w:r>
            <w:r w:rsidRPr="000C3068">
              <w:rPr>
                <w:rFonts w:ascii="Arial Narrow" w:hAnsi="Arial Narrow" w:cs="Arial Narrow"/>
                <w:bCs/>
              </w:rPr>
              <w:tab/>
            </w:r>
          </w:p>
        </w:tc>
        <w:tc>
          <w:tcPr>
            <w:tcW w:w="6100" w:type="dxa"/>
          </w:tcPr>
          <w:p w14:paraId="3E2FEE62"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Annual Performance Plan</w:t>
            </w:r>
          </w:p>
        </w:tc>
      </w:tr>
      <w:tr w:rsidR="00BC28A7" w:rsidRPr="00626F66" w14:paraId="459E6070" w14:textId="77777777" w:rsidTr="00DE1CE1">
        <w:tc>
          <w:tcPr>
            <w:tcW w:w="3080" w:type="dxa"/>
          </w:tcPr>
          <w:p w14:paraId="548CCF8C"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AIDC</w:t>
            </w:r>
          </w:p>
        </w:tc>
        <w:tc>
          <w:tcPr>
            <w:tcW w:w="6100" w:type="dxa"/>
          </w:tcPr>
          <w:p w14:paraId="3903108A"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Automotive Industrial Development Centre</w:t>
            </w:r>
          </w:p>
        </w:tc>
      </w:tr>
      <w:tr w:rsidR="0011384E" w:rsidRPr="00626F66" w14:paraId="09E9E261" w14:textId="77777777" w:rsidTr="00DE1CE1">
        <w:tc>
          <w:tcPr>
            <w:tcW w:w="3080" w:type="dxa"/>
          </w:tcPr>
          <w:p w14:paraId="67E68E83" w14:textId="77777777" w:rsidR="0011384E" w:rsidRPr="000C3068" w:rsidRDefault="0011384E" w:rsidP="00C93456">
            <w:pPr>
              <w:spacing w:line="276" w:lineRule="auto"/>
              <w:rPr>
                <w:rFonts w:ascii="Arial Narrow" w:hAnsi="Arial Narrow" w:cs="Arial Narrow"/>
                <w:bCs/>
              </w:rPr>
            </w:pPr>
            <w:r w:rsidRPr="000C3068">
              <w:rPr>
                <w:rFonts w:ascii="Arial Narrow" w:hAnsi="Arial Narrow" w:cs="Arial Narrow"/>
                <w:bCs/>
              </w:rPr>
              <w:t xml:space="preserve">CIPC </w:t>
            </w:r>
          </w:p>
        </w:tc>
        <w:tc>
          <w:tcPr>
            <w:tcW w:w="6100" w:type="dxa"/>
          </w:tcPr>
          <w:p w14:paraId="12F63207" w14:textId="77777777" w:rsidR="0011384E" w:rsidRPr="000C3068" w:rsidRDefault="0011384E" w:rsidP="00C93456">
            <w:pPr>
              <w:spacing w:line="276" w:lineRule="auto"/>
              <w:rPr>
                <w:rFonts w:ascii="Arial Narrow" w:hAnsi="Arial Narrow" w:cs="Arial Narrow"/>
                <w:bCs/>
              </w:rPr>
            </w:pPr>
            <w:r w:rsidRPr="000C3068">
              <w:rPr>
                <w:rFonts w:ascii="Arial Narrow" w:hAnsi="Arial Narrow" w:cs="Arial Narrow"/>
                <w:bCs/>
              </w:rPr>
              <w:t>Companies and Intellectual Property Commission</w:t>
            </w:r>
          </w:p>
        </w:tc>
      </w:tr>
      <w:tr w:rsidR="00BC28A7" w:rsidRPr="00626F66" w14:paraId="1449C118" w14:textId="77777777" w:rsidTr="00DE1CE1">
        <w:tc>
          <w:tcPr>
            <w:tcW w:w="3080" w:type="dxa"/>
          </w:tcPr>
          <w:p w14:paraId="6C9E60AD"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DED </w:t>
            </w:r>
          </w:p>
        </w:tc>
        <w:tc>
          <w:tcPr>
            <w:tcW w:w="6100" w:type="dxa"/>
          </w:tcPr>
          <w:p w14:paraId="12EFCAF4"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Department of Economic Development</w:t>
            </w:r>
          </w:p>
        </w:tc>
      </w:tr>
      <w:tr w:rsidR="00BC28A7" w:rsidRPr="00626F66" w14:paraId="3B6FB342" w14:textId="77777777" w:rsidTr="00DE1CE1">
        <w:tc>
          <w:tcPr>
            <w:tcW w:w="3080" w:type="dxa"/>
          </w:tcPr>
          <w:p w14:paraId="6C817003"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DDI</w:t>
            </w:r>
            <w:r w:rsidRPr="000C3068">
              <w:rPr>
                <w:rFonts w:ascii="Arial Narrow" w:hAnsi="Arial Narrow" w:cs="Arial Narrow"/>
                <w:bCs/>
              </w:rPr>
              <w:tab/>
            </w:r>
            <w:r w:rsidRPr="000C3068">
              <w:rPr>
                <w:rFonts w:ascii="Arial Narrow" w:hAnsi="Arial Narrow" w:cs="Arial Narrow"/>
                <w:bCs/>
              </w:rPr>
              <w:tab/>
            </w:r>
          </w:p>
        </w:tc>
        <w:tc>
          <w:tcPr>
            <w:tcW w:w="6100" w:type="dxa"/>
          </w:tcPr>
          <w:p w14:paraId="3CB30911"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Domestic Direct Investment</w:t>
            </w:r>
          </w:p>
        </w:tc>
      </w:tr>
      <w:tr w:rsidR="00BC28A7" w:rsidRPr="00626F66" w14:paraId="4C0D28FB" w14:textId="77777777" w:rsidTr="00DE1CE1">
        <w:tc>
          <w:tcPr>
            <w:tcW w:w="3080" w:type="dxa"/>
          </w:tcPr>
          <w:p w14:paraId="473CBBE6"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FDI </w:t>
            </w:r>
          </w:p>
        </w:tc>
        <w:tc>
          <w:tcPr>
            <w:tcW w:w="6100" w:type="dxa"/>
          </w:tcPr>
          <w:p w14:paraId="000146FE"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Foreign Direct Investment</w:t>
            </w:r>
          </w:p>
        </w:tc>
      </w:tr>
      <w:tr w:rsidR="00BC28A7" w:rsidRPr="00626F66" w14:paraId="22C054B4" w14:textId="77777777" w:rsidTr="00DE1CE1">
        <w:tc>
          <w:tcPr>
            <w:tcW w:w="3080" w:type="dxa"/>
          </w:tcPr>
          <w:p w14:paraId="2FEA138E"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FY</w:t>
            </w:r>
            <w:r w:rsidRPr="000C3068">
              <w:rPr>
                <w:rFonts w:ascii="Arial Narrow" w:hAnsi="Arial Narrow" w:cs="Arial Narrow"/>
                <w:bCs/>
              </w:rPr>
              <w:tab/>
            </w:r>
            <w:r w:rsidRPr="000C3068">
              <w:rPr>
                <w:rFonts w:ascii="Arial Narrow" w:hAnsi="Arial Narrow" w:cs="Arial Narrow"/>
                <w:bCs/>
              </w:rPr>
              <w:tab/>
            </w:r>
          </w:p>
        </w:tc>
        <w:tc>
          <w:tcPr>
            <w:tcW w:w="6100" w:type="dxa"/>
          </w:tcPr>
          <w:p w14:paraId="41FD0547"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Financial Year</w:t>
            </w:r>
          </w:p>
        </w:tc>
      </w:tr>
      <w:tr w:rsidR="006E6051" w:rsidRPr="00626F66" w14:paraId="3408B530" w14:textId="77777777" w:rsidTr="00DE1CE1">
        <w:tc>
          <w:tcPr>
            <w:tcW w:w="3080" w:type="dxa"/>
          </w:tcPr>
          <w:p w14:paraId="477E440C" w14:textId="77777777" w:rsidR="006E6051" w:rsidRPr="000C3068" w:rsidRDefault="006E6051" w:rsidP="00C93456">
            <w:pPr>
              <w:spacing w:line="276" w:lineRule="auto"/>
              <w:rPr>
                <w:rFonts w:ascii="Arial Narrow" w:hAnsi="Arial Narrow" w:cs="Arial Narrow"/>
                <w:bCs/>
              </w:rPr>
            </w:pPr>
            <w:r w:rsidRPr="000C3068">
              <w:rPr>
                <w:rFonts w:ascii="Arial Narrow" w:hAnsi="Arial Narrow" w:cs="Arial Narrow"/>
                <w:bCs/>
              </w:rPr>
              <w:t>GDP</w:t>
            </w:r>
          </w:p>
        </w:tc>
        <w:tc>
          <w:tcPr>
            <w:tcW w:w="6100" w:type="dxa"/>
          </w:tcPr>
          <w:p w14:paraId="52056536" w14:textId="77777777" w:rsidR="006E6051" w:rsidRPr="000C3068" w:rsidRDefault="006E6051" w:rsidP="00C93456">
            <w:pPr>
              <w:spacing w:line="276" w:lineRule="auto"/>
              <w:rPr>
                <w:rFonts w:ascii="Arial Narrow" w:hAnsi="Arial Narrow" w:cs="Arial Narrow"/>
                <w:bCs/>
              </w:rPr>
            </w:pPr>
            <w:r w:rsidRPr="000C3068">
              <w:rPr>
                <w:rFonts w:ascii="Arial Narrow" w:hAnsi="Arial Narrow" w:cs="Arial Narrow"/>
                <w:bCs/>
              </w:rPr>
              <w:t>Growth Domestic Product</w:t>
            </w:r>
          </w:p>
        </w:tc>
      </w:tr>
      <w:tr w:rsidR="00BC28A7" w:rsidRPr="00626F66" w14:paraId="34392294" w14:textId="77777777" w:rsidTr="00DE1CE1">
        <w:tc>
          <w:tcPr>
            <w:tcW w:w="3080" w:type="dxa"/>
          </w:tcPr>
          <w:p w14:paraId="4D1BD3D8"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GEP</w:t>
            </w:r>
          </w:p>
        </w:tc>
        <w:tc>
          <w:tcPr>
            <w:tcW w:w="6100" w:type="dxa"/>
          </w:tcPr>
          <w:p w14:paraId="3F9AE467"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Gauteng Enterprise Propeller</w:t>
            </w:r>
          </w:p>
        </w:tc>
      </w:tr>
      <w:tr w:rsidR="00BC28A7" w:rsidRPr="00626F66" w14:paraId="19B69C4A" w14:textId="77777777" w:rsidTr="00DE1CE1">
        <w:tc>
          <w:tcPr>
            <w:tcW w:w="3080" w:type="dxa"/>
          </w:tcPr>
          <w:p w14:paraId="0EF05578"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GGDA</w:t>
            </w:r>
          </w:p>
        </w:tc>
        <w:tc>
          <w:tcPr>
            <w:tcW w:w="6100" w:type="dxa"/>
          </w:tcPr>
          <w:p w14:paraId="350B9DEF"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Gauteng Growth and Development Agency </w:t>
            </w:r>
          </w:p>
        </w:tc>
      </w:tr>
      <w:tr w:rsidR="00BC28A7" w:rsidRPr="00626F66" w14:paraId="1B37CEA9" w14:textId="77777777" w:rsidTr="00DE1CE1">
        <w:tc>
          <w:tcPr>
            <w:tcW w:w="3080" w:type="dxa"/>
          </w:tcPr>
          <w:p w14:paraId="0D967AC8"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GPL</w:t>
            </w:r>
          </w:p>
        </w:tc>
        <w:tc>
          <w:tcPr>
            <w:tcW w:w="6100" w:type="dxa"/>
          </w:tcPr>
          <w:p w14:paraId="60F11176"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Gauteng Provincial Legislature</w:t>
            </w:r>
          </w:p>
        </w:tc>
      </w:tr>
      <w:tr w:rsidR="00BC28A7" w:rsidRPr="00626F66" w14:paraId="6EAC83A7" w14:textId="77777777" w:rsidTr="00DE1CE1">
        <w:tc>
          <w:tcPr>
            <w:tcW w:w="3080" w:type="dxa"/>
          </w:tcPr>
          <w:p w14:paraId="46FFE75C"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GTA </w:t>
            </w:r>
          </w:p>
        </w:tc>
        <w:tc>
          <w:tcPr>
            <w:tcW w:w="6100" w:type="dxa"/>
          </w:tcPr>
          <w:p w14:paraId="625B9693"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Gauteng Tourism Authority</w:t>
            </w:r>
          </w:p>
        </w:tc>
      </w:tr>
      <w:tr w:rsidR="00BC28A7" w:rsidRPr="00626F66" w14:paraId="54EDCA6E" w14:textId="77777777" w:rsidTr="00DE1CE1">
        <w:tc>
          <w:tcPr>
            <w:tcW w:w="3080" w:type="dxa"/>
          </w:tcPr>
          <w:p w14:paraId="6B43A057"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NGP </w:t>
            </w:r>
          </w:p>
        </w:tc>
        <w:tc>
          <w:tcPr>
            <w:tcW w:w="6100" w:type="dxa"/>
          </w:tcPr>
          <w:p w14:paraId="1C6B216B"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New Growth Path </w:t>
            </w:r>
          </w:p>
        </w:tc>
      </w:tr>
      <w:tr w:rsidR="005C6CEB" w:rsidRPr="00626F66" w14:paraId="17F1D092" w14:textId="77777777" w:rsidTr="00DE1CE1">
        <w:tc>
          <w:tcPr>
            <w:tcW w:w="3080" w:type="dxa"/>
          </w:tcPr>
          <w:p w14:paraId="417BBF85" w14:textId="77777777" w:rsidR="005C6CEB" w:rsidRPr="000C3068" w:rsidRDefault="005C6CEB" w:rsidP="00C93456">
            <w:pPr>
              <w:spacing w:line="276" w:lineRule="auto"/>
              <w:rPr>
                <w:rFonts w:ascii="Arial Narrow" w:hAnsi="Arial Narrow" w:cs="Arial Narrow"/>
                <w:bCs/>
              </w:rPr>
            </w:pPr>
            <w:r w:rsidRPr="000C3068">
              <w:rPr>
                <w:rFonts w:ascii="Arial Narrow" w:hAnsi="Arial Narrow" w:cs="Arial Narrow"/>
                <w:bCs/>
              </w:rPr>
              <w:t xml:space="preserve">NDP </w:t>
            </w:r>
          </w:p>
        </w:tc>
        <w:tc>
          <w:tcPr>
            <w:tcW w:w="6100" w:type="dxa"/>
          </w:tcPr>
          <w:p w14:paraId="436F17D3" w14:textId="77777777" w:rsidR="005C6CEB" w:rsidRPr="000C3068" w:rsidRDefault="005C6CEB" w:rsidP="00C93456">
            <w:pPr>
              <w:spacing w:line="276" w:lineRule="auto"/>
              <w:rPr>
                <w:rFonts w:ascii="Arial Narrow" w:hAnsi="Arial Narrow" w:cs="Arial Narrow"/>
                <w:bCs/>
              </w:rPr>
            </w:pPr>
            <w:r w:rsidRPr="000C3068">
              <w:rPr>
                <w:rFonts w:ascii="Arial Narrow" w:hAnsi="Arial Narrow" w:cs="Arial Narrow"/>
                <w:bCs/>
              </w:rPr>
              <w:t xml:space="preserve">National Development Plan </w:t>
            </w:r>
          </w:p>
        </w:tc>
      </w:tr>
      <w:tr w:rsidR="00BC28A7" w:rsidRPr="00626F66" w14:paraId="735A9526" w14:textId="77777777" w:rsidTr="00DE1CE1">
        <w:tc>
          <w:tcPr>
            <w:tcW w:w="3080" w:type="dxa"/>
          </w:tcPr>
          <w:p w14:paraId="32DB3F7D"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HOD</w:t>
            </w:r>
            <w:r w:rsidRPr="000C3068">
              <w:rPr>
                <w:rFonts w:ascii="Arial Narrow" w:hAnsi="Arial Narrow" w:cs="Arial Narrow"/>
                <w:bCs/>
              </w:rPr>
              <w:tab/>
            </w:r>
            <w:r w:rsidRPr="000C3068">
              <w:rPr>
                <w:rFonts w:ascii="Arial Narrow" w:hAnsi="Arial Narrow" w:cs="Arial Narrow"/>
                <w:bCs/>
              </w:rPr>
              <w:tab/>
              <w:t xml:space="preserve"> </w:t>
            </w:r>
            <w:r w:rsidRPr="000C3068">
              <w:rPr>
                <w:rFonts w:ascii="Arial Narrow" w:hAnsi="Arial Narrow" w:cs="Arial Narrow"/>
                <w:bCs/>
              </w:rPr>
              <w:tab/>
            </w:r>
          </w:p>
        </w:tc>
        <w:tc>
          <w:tcPr>
            <w:tcW w:w="6100" w:type="dxa"/>
          </w:tcPr>
          <w:p w14:paraId="201F7F12"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Head of Department</w:t>
            </w:r>
          </w:p>
        </w:tc>
      </w:tr>
      <w:tr w:rsidR="00BC28A7" w:rsidRPr="00626F66" w14:paraId="0693C99B" w14:textId="77777777" w:rsidTr="00DE1CE1">
        <w:tc>
          <w:tcPr>
            <w:tcW w:w="3080" w:type="dxa"/>
          </w:tcPr>
          <w:p w14:paraId="7518DB2C"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MEC</w:t>
            </w:r>
          </w:p>
        </w:tc>
        <w:tc>
          <w:tcPr>
            <w:tcW w:w="6100" w:type="dxa"/>
          </w:tcPr>
          <w:p w14:paraId="559D174D"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Member of the Executive Council</w:t>
            </w:r>
          </w:p>
        </w:tc>
      </w:tr>
      <w:tr w:rsidR="00BC28A7" w:rsidRPr="00626F66" w14:paraId="447F92F0" w14:textId="77777777" w:rsidTr="00DE1CE1">
        <w:tc>
          <w:tcPr>
            <w:tcW w:w="3080" w:type="dxa"/>
          </w:tcPr>
          <w:p w14:paraId="6EA9F09C"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PFMA</w:t>
            </w:r>
            <w:r w:rsidRPr="000C3068">
              <w:rPr>
                <w:rFonts w:ascii="Arial Narrow" w:hAnsi="Arial Narrow" w:cs="Arial Narrow"/>
                <w:bCs/>
              </w:rPr>
              <w:tab/>
            </w:r>
          </w:p>
        </w:tc>
        <w:tc>
          <w:tcPr>
            <w:tcW w:w="6100" w:type="dxa"/>
          </w:tcPr>
          <w:p w14:paraId="08807E72"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Public Finance Management Act</w:t>
            </w:r>
          </w:p>
        </w:tc>
      </w:tr>
      <w:tr w:rsidR="00BC28A7" w:rsidRPr="00626F66" w14:paraId="7C521113" w14:textId="77777777" w:rsidTr="00DE1CE1">
        <w:tc>
          <w:tcPr>
            <w:tcW w:w="3080" w:type="dxa"/>
          </w:tcPr>
          <w:p w14:paraId="6D34CB84"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PWD </w:t>
            </w:r>
            <w:r w:rsidRPr="000C3068">
              <w:rPr>
                <w:rFonts w:ascii="Arial Narrow" w:hAnsi="Arial Narrow" w:cs="Arial Narrow"/>
                <w:bCs/>
              </w:rPr>
              <w:tab/>
            </w:r>
            <w:r w:rsidRPr="000C3068">
              <w:rPr>
                <w:rFonts w:ascii="Arial Narrow" w:hAnsi="Arial Narrow" w:cs="Arial Narrow"/>
                <w:bCs/>
              </w:rPr>
              <w:tab/>
              <w:t xml:space="preserve"> </w:t>
            </w:r>
            <w:r w:rsidRPr="000C3068">
              <w:rPr>
                <w:rFonts w:ascii="Arial Narrow" w:hAnsi="Arial Narrow" w:cs="Arial Narrow"/>
                <w:bCs/>
              </w:rPr>
              <w:tab/>
            </w:r>
          </w:p>
        </w:tc>
        <w:tc>
          <w:tcPr>
            <w:tcW w:w="6100" w:type="dxa"/>
          </w:tcPr>
          <w:p w14:paraId="1D7067FD" w14:textId="2ADF76EE"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 xml:space="preserve">People </w:t>
            </w:r>
            <w:r w:rsidR="00F02007">
              <w:rPr>
                <w:rFonts w:ascii="Arial Narrow" w:hAnsi="Arial Narrow" w:cs="Arial Narrow"/>
                <w:bCs/>
              </w:rPr>
              <w:t xml:space="preserve">living </w:t>
            </w:r>
            <w:r w:rsidRPr="000C3068">
              <w:rPr>
                <w:rFonts w:ascii="Arial Narrow" w:hAnsi="Arial Narrow" w:cs="Arial Narrow"/>
                <w:bCs/>
              </w:rPr>
              <w:t>with Disabilities</w:t>
            </w:r>
          </w:p>
        </w:tc>
      </w:tr>
      <w:tr w:rsidR="00BC28A7" w:rsidRPr="00626F66" w14:paraId="6687D4DE" w14:textId="77777777" w:rsidTr="00DE1CE1">
        <w:tc>
          <w:tcPr>
            <w:tcW w:w="3080" w:type="dxa"/>
          </w:tcPr>
          <w:p w14:paraId="736600A2"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SMME</w:t>
            </w:r>
          </w:p>
        </w:tc>
        <w:tc>
          <w:tcPr>
            <w:tcW w:w="6100" w:type="dxa"/>
          </w:tcPr>
          <w:p w14:paraId="2B333513"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Small Medium and Micro Enterprises</w:t>
            </w:r>
          </w:p>
        </w:tc>
      </w:tr>
      <w:tr w:rsidR="00BC28A7" w:rsidRPr="00626F66" w14:paraId="0C0A5AC6" w14:textId="77777777" w:rsidTr="00DE1CE1">
        <w:tc>
          <w:tcPr>
            <w:tcW w:w="3080" w:type="dxa"/>
          </w:tcPr>
          <w:p w14:paraId="03FE46FB"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SOM</w:t>
            </w:r>
          </w:p>
        </w:tc>
        <w:tc>
          <w:tcPr>
            <w:tcW w:w="6100" w:type="dxa"/>
          </w:tcPr>
          <w:p w14:paraId="4CF5C81A" w14:textId="77777777" w:rsidR="00BC28A7" w:rsidRPr="000C3068" w:rsidRDefault="00BC28A7" w:rsidP="00C93456">
            <w:pPr>
              <w:spacing w:line="276" w:lineRule="auto"/>
              <w:rPr>
                <w:rFonts w:ascii="Arial Narrow" w:hAnsi="Arial Narrow" w:cs="Arial Narrow"/>
                <w:bCs/>
              </w:rPr>
            </w:pPr>
            <w:r w:rsidRPr="000C3068">
              <w:rPr>
                <w:rFonts w:ascii="Arial Narrow" w:hAnsi="Arial Narrow" w:cs="Arial Narrow"/>
                <w:bCs/>
              </w:rPr>
              <w:t>Sector Oversight Model</w:t>
            </w:r>
          </w:p>
        </w:tc>
      </w:tr>
      <w:tr w:rsidR="00BC28A7" w:rsidRPr="00333F03" w14:paraId="1974F62B" w14:textId="77777777" w:rsidTr="00DE1CE1">
        <w:tc>
          <w:tcPr>
            <w:tcW w:w="3080" w:type="dxa"/>
          </w:tcPr>
          <w:p w14:paraId="044922CB" w14:textId="77777777" w:rsidR="00BC28A7" w:rsidRPr="000C3068" w:rsidRDefault="007117FF" w:rsidP="00C93456">
            <w:pPr>
              <w:spacing w:line="276" w:lineRule="auto"/>
              <w:rPr>
                <w:rFonts w:ascii="Arial Narrow" w:hAnsi="Arial Narrow" w:cs="Arial Narrow"/>
                <w:bCs/>
              </w:rPr>
            </w:pPr>
            <w:r w:rsidRPr="000C3068">
              <w:rPr>
                <w:rFonts w:ascii="Arial Narrow" w:hAnsi="Arial Narrow" w:cs="Arial Narrow"/>
                <w:bCs/>
              </w:rPr>
              <w:t xml:space="preserve">SDG </w:t>
            </w:r>
          </w:p>
        </w:tc>
        <w:tc>
          <w:tcPr>
            <w:tcW w:w="6100" w:type="dxa"/>
          </w:tcPr>
          <w:p w14:paraId="04C87674" w14:textId="77777777" w:rsidR="00BC28A7" w:rsidRPr="000C3068" w:rsidRDefault="007117FF" w:rsidP="00C93456">
            <w:pPr>
              <w:spacing w:line="276" w:lineRule="auto"/>
              <w:rPr>
                <w:rFonts w:ascii="Arial Narrow" w:hAnsi="Arial Narrow" w:cs="Arial Narrow"/>
                <w:bCs/>
              </w:rPr>
            </w:pPr>
            <w:r w:rsidRPr="000C3068">
              <w:rPr>
                <w:rFonts w:ascii="Arial Narrow" w:hAnsi="Arial Narrow" w:cs="Arial Narrow"/>
                <w:bCs/>
              </w:rPr>
              <w:t xml:space="preserve">Sustainable Development Goals </w:t>
            </w:r>
          </w:p>
        </w:tc>
      </w:tr>
    </w:tbl>
    <w:p w14:paraId="371481AD" w14:textId="610CE229" w:rsidR="004B7663" w:rsidRPr="00D35CD5" w:rsidRDefault="002E71F5"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1" w:name="_Toc66876361"/>
      <w:r w:rsidRPr="00D35CD5">
        <w:rPr>
          <w:rFonts w:ascii="Arial Narrow" w:hAnsi="Arial Narrow"/>
          <w:color w:val="auto"/>
          <w:sz w:val="22"/>
          <w:szCs w:val="22"/>
        </w:rPr>
        <w:t>E</w:t>
      </w:r>
      <w:r w:rsidR="009A46D6" w:rsidRPr="00D35CD5">
        <w:rPr>
          <w:rFonts w:ascii="Arial Narrow" w:hAnsi="Arial Narrow"/>
          <w:color w:val="auto"/>
          <w:sz w:val="22"/>
          <w:szCs w:val="22"/>
        </w:rPr>
        <w:t>XECUTIVE SUMMARY</w:t>
      </w:r>
      <w:bookmarkEnd w:id="1"/>
      <w:r w:rsidR="00EA3EF9">
        <w:rPr>
          <w:rFonts w:ascii="Arial Narrow" w:hAnsi="Arial Narrow"/>
          <w:color w:val="auto"/>
          <w:sz w:val="22"/>
          <w:szCs w:val="22"/>
        </w:rPr>
        <w:t>/</w:t>
      </w:r>
    </w:p>
    <w:p w14:paraId="28BF8A36" w14:textId="77777777" w:rsidR="00AE0D41" w:rsidRPr="00626F66" w:rsidRDefault="00AE0D41" w:rsidP="00C93456">
      <w:pPr>
        <w:spacing w:line="276" w:lineRule="auto"/>
        <w:rPr>
          <w:rFonts w:ascii="Arial Narrow" w:hAnsi="Arial Narrow" w:cs="Arial Narrow"/>
          <w:bCs/>
          <w:highlight w:val="yellow"/>
        </w:rPr>
      </w:pPr>
    </w:p>
    <w:p w14:paraId="57261494" w14:textId="599C1C9E" w:rsidR="00523310" w:rsidRDefault="00523310" w:rsidP="00C93456">
      <w:pPr>
        <w:spacing w:line="276" w:lineRule="auto"/>
        <w:rPr>
          <w:rFonts w:ascii="Arial Narrow" w:hAnsi="Arial Narrow" w:cs="Arial Narrow"/>
          <w:bCs/>
        </w:rPr>
      </w:pPr>
      <w:r w:rsidRPr="00DB660A">
        <w:rPr>
          <w:rFonts w:ascii="Arial Narrow" w:hAnsi="Arial Narrow" w:cs="Arial Narrow"/>
          <w:bCs/>
        </w:rPr>
        <w:t xml:space="preserve">This </w:t>
      </w:r>
      <w:r w:rsidR="008965F4" w:rsidRPr="00DB660A">
        <w:rPr>
          <w:rFonts w:ascii="Arial Narrow" w:hAnsi="Arial Narrow" w:cs="Arial Narrow"/>
          <w:bCs/>
        </w:rPr>
        <w:t>report aims</w:t>
      </w:r>
      <w:r w:rsidR="00EC6336" w:rsidRPr="00DB660A">
        <w:rPr>
          <w:rFonts w:ascii="Arial Narrow" w:hAnsi="Arial Narrow" w:cs="Arial Narrow"/>
          <w:bCs/>
        </w:rPr>
        <w:t xml:space="preserve"> to highlight key challenges and successes attained by the Department of Economic Development herein referred to as the Department. The work undertaken by the Department is guided by the policies and priorities adopted by the </w:t>
      </w:r>
      <w:r w:rsidR="00554807" w:rsidRPr="00DB660A">
        <w:rPr>
          <w:rFonts w:ascii="Arial Narrow" w:hAnsi="Arial Narrow" w:cs="Arial Narrow"/>
          <w:bCs/>
        </w:rPr>
        <w:t>Gauteng Provincial</w:t>
      </w:r>
      <w:r w:rsidR="00AB1995" w:rsidRPr="00DB660A">
        <w:rPr>
          <w:rFonts w:ascii="Arial Narrow" w:hAnsi="Arial Narrow" w:cs="Arial Narrow"/>
          <w:bCs/>
        </w:rPr>
        <w:t xml:space="preserve"> Government which </w:t>
      </w:r>
      <w:r w:rsidR="00554807" w:rsidRPr="00DB660A">
        <w:rPr>
          <w:rFonts w:ascii="Arial Narrow" w:hAnsi="Arial Narrow" w:cs="Arial Narrow"/>
          <w:bCs/>
        </w:rPr>
        <w:t>are</w:t>
      </w:r>
      <w:r w:rsidRPr="00DB660A">
        <w:rPr>
          <w:rFonts w:ascii="Arial Narrow" w:hAnsi="Arial Narrow" w:cs="Arial Narrow"/>
          <w:bCs/>
        </w:rPr>
        <w:t xml:space="preserve"> related</w:t>
      </w:r>
      <w:r w:rsidR="002E71F5" w:rsidRPr="00DB660A">
        <w:rPr>
          <w:rFonts w:ascii="Arial Narrow" w:hAnsi="Arial Narrow" w:cs="Arial Narrow"/>
          <w:bCs/>
        </w:rPr>
        <w:t xml:space="preserve"> to</w:t>
      </w:r>
      <w:r w:rsidRPr="00DB660A">
        <w:rPr>
          <w:rFonts w:ascii="Arial Narrow" w:hAnsi="Arial Narrow" w:cs="Arial Narrow"/>
          <w:bCs/>
        </w:rPr>
        <w:t xml:space="preserve"> the transformation</w:t>
      </w:r>
      <w:r w:rsidR="00F91475" w:rsidRPr="00DB660A">
        <w:rPr>
          <w:rFonts w:ascii="Arial Narrow" w:hAnsi="Arial Narrow" w:cs="Arial Narrow"/>
          <w:bCs/>
        </w:rPr>
        <w:t>,</w:t>
      </w:r>
      <w:r w:rsidRPr="00DB660A">
        <w:rPr>
          <w:rFonts w:ascii="Arial Narrow" w:hAnsi="Arial Narrow" w:cs="Arial Narrow"/>
          <w:bCs/>
        </w:rPr>
        <w:t xml:space="preserve"> </w:t>
      </w:r>
      <w:proofErr w:type="gramStart"/>
      <w:r w:rsidRPr="00DB660A">
        <w:rPr>
          <w:rFonts w:ascii="Arial Narrow" w:hAnsi="Arial Narrow" w:cs="Arial Narrow"/>
          <w:bCs/>
        </w:rPr>
        <w:t>modernization</w:t>
      </w:r>
      <w:proofErr w:type="gramEnd"/>
      <w:r w:rsidRPr="00DB660A">
        <w:rPr>
          <w:rFonts w:ascii="Arial Narrow" w:hAnsi="Arial Narrow" w:cs="Arial Narrow"/>
          <w:bCs/>
        </w:rPr>
        <w:t xml:space="preserve"> </w:t>
      </w:r>
      <w:r w:rsidR="00F91475" w:rsidRPr="00DB660A">
        <w:rPr>
          <w:rFonts w:ascii="Arial Narrow" w:hAnsi="Arial Narrow" w:cs="Arial Narrow"/>
          <w:bCs/>
        </w:rPr>
        <w:t xml:space="preserve">and re-industrialization of the Gauteng economy. </w:t>
      </w:r>
      <w:proofErr w:type="gramStart"/>
      <w:r w:rsidR="00F91475" w:rsidRPr="00DB660A">
        <w:rPr>
          <w:rFonts w:ascii="Arial Narrow" w:hAnsi="Arial Narrow" w:cs="Arial Narrow"/>
          <w:bCs/>
        </w:rPr>
        <w:t>In light of</w:t>
      </w:r>
      <w:proofErr w:type="gramEnd"/>
      <w:r w:rsidR="00F91475" w:rsidRPr="00DB660A">
        <w:rPr>
          <w:rFonts w:ascii="Arial Narrow" w:hAnsi="Arial Narrow" w:cs="Arial Narrow"/>
          <w:bCs/>
        </w:rPr>
        <w:t xml:space="preserve"> this</w:t>
      </w:r>
      <w:r w:rsidR="004C1EDC" w:rsidRPr="00DB660A">
        <w:rPr>
          <w:rFonts w:ascii="Arial Narrow" w:hAnsi="Arial Narrow" w:cs="Arial Narrow"/>
          <w:bCs/>
        </w:rPr>
        <w:t>,</w:t>
      </w:r>
      <w:r w:rsidR="00F91475" w:rsidRPr="00DB660A">
        <w:rPr>
          <w:rFonts w:ascii="Arial Narrow" w:hAnsi="Arial Narrow" w:cs="Arial Narrow"/>
          <w:bCs/>
        </w:rPr>
        <w:t xml:space="preserve"> the Department</w:t>
      </w:r>
      <w:r w:rsidR="00EC6336" w:rsidRPr="00DB660A">
        <w:rPr>
          <w:rFonts w:ascii="Arial Narrow" w:hAnsi="Arial Narrow" w:cs="Arial Narrow"/>
          <w:bCs/>
        </w:rPr>
        <w:t xml:space="preserve"> and i</w:t>
      </w:r>
      <w:r w:rsidR="00F91475" w:rsidRPr="00DB660A">
        <w:rPr>
          <w:rFonts w:ascii="Arial Narrow" w:hAnsi="Arial Narrow" w:cs="Arial Narrow"/>
          <w:bCs/>
        </w:rPr>
        <w:t>ts entities</w:t>
      </w:r>
      <w:r w:rsidR="00E96C56" w:rsidRPr="00DB660A">
        <w:rPr>
          <w:rFonts w:ascii="Arial Narrow" w:hAnsi="Arial Narrow" w:cs="Arial Narrow"/>
          <w:bCs/>
        </w:rPr>
        <w:t xml:space="preserve"> are</w:t>
      </w:r>
      <w:r w:rsidR="00F91475" w:rsidRPr="00DB660A">
        <w:rPr>
          <w:rFonts w:ascii="Arial Narrow" w:hAnsi="Arial Narrow" w:cs="Arial Narrow"/>
          <w:bCs/>
        </w:rPr>
        <w:t xml:space="preserve"> set to develop and implement programmes that will ensure decent employment, revitalize township economies, </w:t>
      </w:r>
      <w:r w:rsidR="008965F4" w:rsidRPr="00DB660A">
        <w:rPr>
          <w:rFonts w:ascii="Arial Narrow" w:hAnsi="Arial Narrow" w:cs="Arial Narrow"/>
          <w:bCs/>
        </w:rPr>
        <w:t>stimulate</w:t>
      </w:r>
      <w:r w:rsidR="00F91475" w:rsidRPr="00DB660A">
        <w:rPr>
          <w:rFonts w:ascii="Arial Narrow" w:hAnsi="Arial Narrow" w:cs="Arial Narrow"/>
          <w:bCs/>
        </w:rPr>
        <w:t xml:space="preserve"> growth and investments. As part of its mandate of oversight and scrutiny</w:t>
      </w:r>
      <w:r w:rsidR="00481BD4" w:rsidRPr="00DB660A">
        <w:rPr>
          <w:rFonts w:ascii="Arial Narrow" w:hAnsi="Arial Narrow" w:cs="Arial Narrow"/>
          <w:bCs/>
        </w:rPr>
        <w:t>,</w:t>
      </w:r>
      <w:r w:rsidR="00F91475" w:rsidRPr="00DB660A">
        <w:rPr>
          <w:rFonts w:ascii="Arial Narrow" w:hAnsi="Arial Narrow" w:cs="Arial Narrow"/>
          <w:bCs/>
        </w:rPr>
        <w:t xml:space="preserve"> the Economic Development</w:t>
      </w:r>
      <w:r w:rsidR="002302CB" w:rsidRPr="00DB660A">
        <w:rPr>
          <w:rFonts w:ascii="Arial Narrow" w:hAnsi="Arial Narrow" w:cs="Arial Narrow"/>
          <w:bCs/>
        </w:rPr>
        <w:t xml:space="preserve"> </w:t>
      </w:r>
      <w:r w:rsidR="00F91475" w:rsidRPr="00DB660A">
        <w:rPr>
          <w:rFonts w:ascii="Arial Narrow" w:hAnsi="Arial Narrow" w:cs="Arial Narrow"/>
          <w:bCs/>
        </w:rPr>
        <w:t xml:space="preserve">Portfolio Committee exercises oversight over the Department. </w:t>
      </w:r>
    </w:p>
    <w:p w14:paraId="12A3CC7A" w14:textId="77777777" w:rsidR="00DB660A" w:rsidRDefault="00DB660A" w:rsidP="00C93456">
      <w:pPr>
        <w:spacing w:line="276" w:lineRule="auto"/>
        <w:rPr>
          <w:rFonts w:ascii="Arial Narrow" w:hAnsi="Arial Narrow" w:cs="Arial Narrow"/>
          <w:bCs/>
        </w:rPr>
      </w:pPr>
    </w:p>
    <w:p w14:paraId="56A5D396" w14:textId="788E1A99" w:rsidR="00DB660A" w:rsidRDefault="00DB660A" w:rsidP="00C93456">
      <w:pPr>
        <w:spacing w:line="276" w:lineRule="auto"/>
        <w:rPr>
          <w:rFonts w:ascii="Arial Narrow" w:hAnsi="Arial Narrow" w:cs="Arial Narrow"/>
          <w:bCs/>
        </w:rPr>
      </w:pPr>
      <w:r w:rsidRPr="00DB660A">
        <w:rPr>
          <w:rFonts w:ascii="Arial Narrow" w:hAnsi="Arial Narrow" w:cs="Arial Narrow"/>
          <w:bCs/>
        </w:rPr>
        <w:t>The Committee noted</w:t>
      </w:r>
      <w:r>
        <w:rPr>
          <w:rFonts w:ascii="Arial Narrow" w:hAnsi="Arial Narrow" w:cs="Arial Narrow"/>
          <w:bCs/>
        </w:rPr>
        <w:t xml:space="preserve"> in the year under review </w:t>
      </w:r>
      <w:r w:rsidRPr="00DB660A">
        <w:rPr>
          <w:rFonts w:ascii="Arial Narrow" w:hAnsi="Arial Narrow" w:cs="Arial Narrow"/>
          <w:bCs/>
        </w:rPr>
        <w:t xml:space="preserve">a total budget amount </w:t>
      </w:r>
      <w:r>
        <w:rPr>
          <w:rFonts w:ascii="Arial Narrow" w:hAnsi="Arial Narrow" w:cs="Arial Narrow"/>
          <w:bCs/>
        </w:rPr>
        <w:t>of</w:t>
      </w:r>
      <w:r w:rsidRPr="00DB660A">
        <w:rPr>
          <w:rFonts w:ascii="Arial Narrow" w:hAnsi="Arial Narrow" w:cs="Arial Narrow"/>
          <w:bCs/>
        </w:rPr>
        <w:t xml:space="preserve"> R1 796 830 000 (R 1 796.3bn)</w:t>
      </w:r>
      <w:r>
        <w:rPr>
          <w:rFonts w:ascii="Arial Narrow" w:hAnsi="Arial Narrow" w:cs="Arial Narrow"/>
          <w:bCs/>
        </w:rPr>
        <w:t xml:space="preserve"> was budgeted</w:t>
      </w:r>
      <w:r w:rsidRPr="00DB660A">
        <w:rPr>
          <w:rFonts w:ascii="Arial Narrow" w:hAnsi="Arial Narrow" w:cs="Arial Narrow"/>
          <w:bCs/>
        </w:rPr>
        <w:t xml:space="preserve"> and an amount of R1 750 612 000 (R 1 750.6bn) was spent by the Department which constitutes 97.43%. This represents a </w:t>
      </w:r>
      <w:proofErr w:type="gramStart"/>
      <w:r w:rsidRPr="00DB660A">
        <w:rPr>
          <w:rFonts w:ascii="Arial Narrow" w:hAnsi="Arial Narrow" w:cs="Arial Narrow"/>
          <w:bCs/>
        </w:rPr>
        <w:t>fairly good</w:t>
      </w:r>
      <w:proofErr w:type="gramEnd"/>
      <w:r w:rsidRPr="00DB660A">
        <w:rPr>
          <w:rFonts w:ascii="Arial Narrow" w:hAnsi="Arial Narrow" w:cs="Arial Narrow"/>
          <w:bCs/>
        </w:rPr>
        <w:t xml:space="preserve"> spending, with the variance between the budget and actual expenditure is within the 3% threshold at 2.57%. The underspending in this regard can be attributed to two programmes namely Administration which spent 93.84% and Economic Planning which spent 92.74% of their allocation.</w:t>
      </w:r>
      <w:r>
        <w:rPr>
          <w:rFonts w:ascii="Arial Narrow" w:hAnsi="Arial Narrow" w:cs="Arial Narrow"/>
          <w:bCs/>
        </w:rPr>
        <w:t xml:space="preserve"> </w:t>
      </w:r>
    </w:p>
    <w:p w14:paraId="43473279" w14:textId="77777777" w:rsidR="00DB660A" w:rsidRPr="00DB660A" w:rsidRDefault="00DB660A" w:rsidP="00C93456">
      <w:pPr>
        <w:spacing w:line="276" w:lineRule="auto"/>
        <w:rPr>
          <w:rFonts w:ascii="Arial Narrow" w:hAnsi="Arial Narrow" w:cs="Arial Narrow"/>
          <w:bCs/>
        </w:rPr>
      </w:pPr>
    </w:p>
    <w:p w14:paraId="460A07DE" w14:textId="65845702" w:rsidR="00DB660A" w:rsidRPr="00DB660A" w:rsidRDefault="00DB660A" w:rsidP="00DB660A">
      <w:pPr>
        <w:spacing w:line="276" w:lineRule="auto"/>
        <w:rPr>
          <w:rFonts w:ascii="Arial Narrow" w:hAnsi="Arial Narrow" w:cs="Arial Narrow"/>
          <w:bCs/>
        </w:rPr>
      </w:pPr>
      <w:r w:rsidRPr="00DB660A">
        <w:rPr>
          <w:rFonts w:ascii="Arial Narrow" w:hAnsi="Arial Narrow" w:cs="Arial Narrow"/>
          <w:bCs/>
        </w:rPr>
        <w:t>In the year under review, the Department reported on targets related to the Department and those which are related to entities as well. Considering this, in the year under review the Department attained 18 out 43 targets which translate to 41.86%</w:t>
      </w:r>
      <w:r>
        <w:rPr>
          <w:rFonts w:ascii="Arial Narrow" w:hAnsi="Arial Narrow" w:cs="Arial Narrow"/>
          <w:bCs/>
        </w:rPr>
        <w:t xml:space="preserve"> attainment of targets</w:t>
      </w:r>
      <w:r w:rsidRPr="00DB660A">
        <w:rPr>
          <w:rFonts w:ascii="Arial Narrow" w:hAnsi="Arial Narrow" w:cs="Arial Narrow"/>
          <w:bCs/>
        </w:rPr>
        <w:t>. In terms of percentage, the Department realized a decline noting that in the previous financial year 67.31%</w:t>
      </w:r>
      <w:r w:rsidR="007712E3">
        <w:rPr>
          <w:rFonts w:ascii="Arial Narrow" w:hAnsi="Arial Narrow" w:cs="Arial Narrow"/>
          <w:bCs/>
        </w:rPr>
        <w:t xml:space="preserve"> targets were attained</w:t>
      </w:r>
      <w:r w:rsidRPr="00DB660A">
        <w:rPr>
          <w:rFonts w:ascii="Arial Narrow" w:hAnsi="Arial Narrow" w:cs="Arial Narrow"/>
          <w:bCs/>
        </w:rPr>
        <w:t xml:space="preserve">. On the attainment of targets related to entities, the performance varied as follows: the Gauteng Tourism Authority (GTA) achieved 23 of 26 planned targets which </w:t>
      </w:r>
      <w:r w:rsidRPr="00DB660A">
        <w:rPr>
          <w:rFonts w:ascii="Arial Narrow" w:hAnsi="Arial Narrow" w:cs="Arial Narrow"/>
          <w:bCs/>
        </w:rPr>
        <w:lastRenderedPageBreak/>
        <w:t>translated to 88%, the Cradle of Humankind World Heritage Site (COHWHS) attained 11 of the 13 planned targets constituting 85%. With respect to the Gauteng Growth and Development Agency (GGDA), the entity attained 61 of the 75 planned targets translating to 81% achievement. The Gauteng Enterprise Propeller (GEP) attained 17 of its 20 targets constituting 85% and the Gauteng Gambling Board (GGB) achieved 18 of its 23 planned targets reflecting 78% achievement and lastly the Tshwane Automotive Special Economic Zone (TASEZ) realised 7 out of 10 planned targets translating to 70%.</w:t>
      </w:r>
    </w:p>
    <w:p w14:paraId="09DCBC4C" w14:textId="77777777" w:rsidR="00DB660A" w:rsidRPr="00DB660A" w:rsidRDefault="00DB660A" w:rsidP="00DB660A">
      <w:pPr>
        <w:spacing w:line="276" w:lineRule="auto"/>
        <w:rPr>
          <w:rFonts w:ascii="Arial Narrow" w:hAnsi="Arial Narrow" w:cs="Arial Narrow"/>
          <w:bCs/>
        </w:rPr>
      </w:pPr>
    </w:p>
    <w:p w14:paraId="2AE57F78" w14:textId="714E53E8" w:rsidR="00387092" w:rsidRDefault="00DB660A" w:rsidP="00387092">
      <w:pPr>
        <w:spacing w:line="276" w:lineRule="auto"/>
        <w:rPr>
          <w:rFonts w:ascii="Arial Narrow" w:hAnsi="Arial Narrow" w:cs="Arial Narrow"/>
          <w:bCs/>
          <w:highlight w:val="yellow"/>
        </w:rPr>
      </w:pPr>
      <w:r w:rsidRPr="00DB660A">
        <w:rPr>
          <w:rFonts w:ascii="Arial Narrow" w:hAnsi="Arial Narrow" w:cs="Arial Narrow"/>
          <w:bCs/>
        </w:rPr>
        <w:t xml:space="preserve">The unattainment of targets by some of the entities remains a concern for the Committee especially in areas related to the support </w:t>
      </w:r>
      <w:r w:rsidR="007712E3">
        <w:rPr>
          <w:rFonts w:ascii="Arial Narrow" w:hAnsi="Arial Narrow" w:cs="Arial Narrow"/>
          <w:bCs/>
        </w:rPr>
        <w:t>to</w:t>
      </w:r>
      <w:r w:rsidRPr="00DB660A">
        <w:rPr>
          <w:rFonts w:ascii="Arial Narrow" w:hAnsi="Arial Narrow" w:cs="Arial Narrow"/>
          <w:bCs/>
        </w:rPr>
        <w:t xml:space="preserve"> small businesses, this includes the finalization of infrastructure projects that are aimed at creating employment. The Committee still reiterate</w:t>
      </w:r>
      <w:r w:rsidR="007712E3">
        <w:rPr>
          <w:rFonts w:ascii="Arial Narrow" w:hAnsi="Arial Narrow" w:cs="Arial Narrow"/>
          <w:bCs/>
        </w:rPr>
        <w:t>d</w:t>
      </w:r>
      <w:r w:rsidRPr="00DB660A">
        <w:rPr>
          <w:rFonts w:ascii="Arial Narrow" w:hAnsi="Arial Narrow" w:cs="Arial Narrow"/>
          <w:bCs/>
        </w:rPr>
        <w:t xml:space="preserve"> that the agency oversight unit within the Department should be well capacitated and play a crucial role in ensuring that the agencies execute their mandate in creating employment opportunities.</w:t>
      </w:r>
      <w:r>
        <w:rPr>
          <w:rFonts w:ascii="Arial Narrow" w:hAnsi="Arial Narrow" w:cs="Arial Narrow"/>
          <w:bCs/>
        </w:rPr>
        <w:t xml:space="preserve"> Furthermore, the misalignment between expenditure and attainment of targets remains a persistent challenge and with no end in sight as the unspent funds amounting to R </w:t>
      </w:r>
      <w:r w:rsidRPr="00DB660A">
        <w:rPr>
          <w:rFonts w:ascii="Arial Narrow" w:hAnsi="Arial Narrow" w:cs="Arial Narrow"/>
          <w:bCs/>
        </w:rPr>
        <w:t>46</w:t>
      </w:r>
      <w:r>
        <w:rPr>
          <w:rFonts w:ascii="Arial Narrow" w:hAnsi="Arial Narrow" w:cs="Arial Narrow"/>
          <w:bCs/>
        </w:rPr>
        <w:t> </w:t>
      </w:r>
      <w:r w:rsidRPr="00DB660A">
        <w:rPr>
          <w:rFonts w:ascii="Arial Narrow" w:hAnsi="Arial Narrow" w:cs="Arial Narrow"/>
          <w:bCs/>
        </w:rPr>
        <w:t>218</w:t>
      </w:r>
      <w:r>
        <w:rPr>
          <w:rFonts w:ascii="Arial Narrow" w:hAnsi="Arial Narrow" w:cs="Arial Narrow"/>
          <w:bCs/>
        </w:rPr>
        <w:t xml:space="preserve"> 000 (R </w:t>
      </w:r>
      <w:r w:rsidR="00EA3EF9">
        <w:rPr>
          <w:rFonts w:ascii="Arial Narrow" w:hAnsi="Arial Narrow" w:cs="Arial Narrow"/>
          <w:bCs/>
        </w:rPr>
        <w:t xml:space="preserve">46.2m) could have been reprioritized and utilized to support SMME’s </w:t>
      </w:r>
      <w:proofErr w:type="gramStart"/>
      <w:r w:rsidR="00EA3EF9">
        <w:rPr>
          <w:rFonts w:ascii="Arial Narrow" w:hAnsi="Arial Narrow" w:cs="Arial Narrow"/>
          <w:bCs/>
        </w:rPr>
        <w:t>and also</w:t>
      </w:r>
      <w:proofErr w:type="gramEnd"/>
      <w:r w:rsidR="00EA3EF9">
        <w:rPr>
          <w:rFonts w:ascii="Arial Narrow" w:hAnsi="Arial Narrow" w:cs="Arial Narrow"/>
          <w:bCs/>
        </w:rPr>
        <w:t xml:space="preserve"> make an impact in the implementation of the Township Economic Development Act through the utilization of various funding models. </w:t>
      </w:r>
    </w:p>
    <w:p w14:paraId="62BFAD73" w14:textId="77777777" w:rsidR="00EA3EF9" w:rsidRPr="00AC182D" w:rsidRDefault="00EA3EF9" w:rsidP="00387092">
      <w:pPr>
        <w:spacing w:line="276" w:lineRule="auto"/>
        <w:rPr>
          <w:rFonts w:ascii="Arial Narrow" w:hAnsi="Arial Narrow" w:cs="Arial Narrow"/>
          <w:bCs/>
          <w:highlight w:val="yellow"/>
        </w:rPr>
      </w:pPr>
    </w:p>
    <w:p w14:paraId="62424147" w14:textId="46A5E4D5" w:rsidR="00387092" w:rsidRPr="00EA3EF9" w:rsidRDefault="00387092" w:rsidP="00387092">
      <w:pPr>
        <w:spacing w:line="276" w:lineRule="auto"/>
        <w:rPr>
          <w:rFonts w:ascii="Arial Narrow" w:hAnsi="Arial Narrow" w:cs="Arial Narrow"/>
          <w:bCs/>
        </w:rPr>
      </w:pPr>
      <w:r w:rsidRPr="00EA3EF9">
        <w:rPr>
          <w:rFonts w:ascii="Arial Narrow" w:hAnsi="Arial Narrow" w:cs="Arial Narrow"/>
          <w:bCs/>
        </w:rPr>
        <w:t>The Committee once more noted that funds that have been outlined by the Department with respect to the fact that they are being leveraged on, however the Committee is of the view that these funds that have been leveraged on should bear fruit</w:t>
      </w:r>
      <w:r w:rsidR="00F02007" w:rsidRPr="00EA3EF9">
        <w:rPr>
          <w:rFonts w:ascii="Arial Narrow" w:hAnsi="Arial Narrow" w:cs="Arial Narrow"/>
          <w:bCs/>
        </w:rPr>
        <w:t>s</w:t>
      </w:r>
      <w:r w:rsidRPr="00EA3EF9">
        <w:rPr>
          <w:rFonts w:ascii="Arial Narrow" w:hAnsi="Arial Narrow" w:cs="Arial Narrow"/>
          <w:bCs/>
        </w:rPr>
        <w:t xml:space="preserve"> and realise tangible outcomes such as the number of jobs created in various sectors and other economic opportunities within townships in the </w:t>
      </w:r>
      <w:proofErr w:type="gramStart"/>
      <w:r w:rsidRPr="00EA3EF9">
        <w:rPr>
          <w:rFonts w:ascii="Arial Narrow" w:hAnsi="Arial Narrow" w:cs="Arial Narrow"/>
          <w:bCs/>
        </w:rPr>
        <w:t>Province</w:t>
      </w:r>
      <w:proofErr w:type="gramEnd"/>
      <w:r w:rsidRPr="00EA3EF9">
        <w:rPr>
          <w:rFonts w:ascii="Arial Narrow" w:hAnsi="Arial Narrow" w:cs="Arial Narrow"/>
          <w:bCs/>
        </w:rPr>
        <w:t>. It is in this light that the Department should</w:t>
      </w:r>
      <w:r w:rsidR="007712E3">
        <w:rPr>
          <w:rFonts w:ascii="Arial Narrow" w:hAnsi="Arial Narrow" w:cs="Arial Narrow"/>
          <w:bCs/>
        </w:rPr>
        <w:t>,</w:t>
      </w:r>
      <w:r w:rsidRPr="00EA3EF9">
        <w:rPr>
          <w:rFonts w:ascii="Arial Narrow" w:hAnsi="Arial Narrow" w:cs="Arial Narrow"/>
          <w:bCs/>
        </w:rPr>
        <w:t xml:space="preserve"> on a quarterly basis</w:t>
      </w:r>
      <w:r w:rsidR="007712E3">
        <w:rPr>
          <w:rFonts w:ascii="Arial Narrow" w:hAnsi="Arial Narrow" w:cs="Arial Narrow"/>
          <w:bCs/>
        </w:rPr>
        <w:t>,</w:t>
      </w:r>
      <w:r w:rsidRPr="00EA3EF9">
        <w:rPr>
          <w:rFonts w:ascii="Arial Narrow" w:hAnsi="Arial Narrow" w:cs="Arial Narrow"/>
          <w:bCs/>
        </w:rPr>
        <w:t xml:space="preserve"> report on the number of jobs created both permanent and temporary jobs </w:t>
      </w:r>
      <w:proofErr w:type="gramStart"/>
      <w:r w:rsidRPr="00EA3EF9">
        <w:rPr>
          <w:rFonts w:ascii="Arial Narrow" w:hAnsi="Arial Narrow" w:cs="Arial Narrow"/>
          <w:bCs/>
        </w:rPr>
        <w:t>and also</w:t>
      </w:r>
      <w:proofErr w:type="gramEnd"/>
      <w:r w:rsidRPr="00EA3EF9">
        <w:rPr>
          <w:rFonts w:ascii="Arial Narrow" w:hAnsi="Arial Narrow" w:cs="Arial Narrow"/>
          <w:bCs/>
        </w:rPr>
        <w:t xml:space="preserve"> linking them to the funds that have been leveraged on.   </w:t>
      </w:r>
    </w:p>
    <w:p w14:paraId="0A8B580D" w14:textId="31174E87" w:rsidR="00387092" w:rsidRPr="00AC182D" w:rsidRDefault="00387092" w:rsidP="00835668">
      <w:pPr>
        <w:spacing w:line="276" w:lineRule="auto"/>
        <w:rPr>
          <w:rFonts w:ascii="Arial Narrow" w:hAnsi="Arial Narrow" w:cs="Arial Narrow"/>
          <w:bCs/>
          <w:highlight w:val="yellow"/>
        </w:rPr>
      </w:pPr>
    </w:p>
    <w:p w14:paraId="662C5500" w14:textId="1F0024A1" w:rsidR="00387092" w:rsidRPr="00EA3EF9" w:rsidRDefault="001A0CB1" w:rsidP="00835668">
      <w:pPr>
        <w:spacing w:line="276" w:lineRule="auto"/>
        <w:rPr>
          <w:rFonts w:ascii="Arial Narrow" w:hAnsi="Arial Narrow" w:cs="Arial Narrow"/>
          <w:bCs/>
        </w:rPr>
      </w:pPr>
      <w:r w:rsidRPr="00EA3EF9">
        <w:rPr>
          <w:rFonts w:ascii="Arial Narrow" w:hAnsi="Arial Narrow" w:cs="Arial Narrow"/>
          <w:bCs/>
        </w:rPr>
        <w:t xml:space="preserve">The Committee noted that some of the economic infrastructure </w:t>
      </w:r>
      <w:proofErr w:type="gramStart"/>
      <w:r w:rsidRPr="00EA3EF9">
        <w:rPr>
          <w:rFonts w:ascii="Arial Narrow" w:hAnsi="Arial Narrow" w:cs="Arial Narrow"/>
          <w:bCs/>
        </w:rPr>
        <w:t>project</w:t>
      </w:r>
      <w:proofErr w:type="gramEnd"/>
      <w:r w:rsidRPr="00EA3EF9">
        <w:rPr>
          <w:rFonts w:ascii="Arial Narrow" w:hAnsi="Arial Narrow" w:cs="Arial Narrow"/>
          <w:bCs/>
        </w:rPr>
        <w:t xml:space="preserve"> have been mired with delays and therefore remain incomplete. These projects relate to the Industrial Development Zone (IDZ) Jewellery Manufacturing Precinct (JMP) at the OR Tambo in which delays let to De Beers disinvesting in the project. In addition, there were delays at the Biopark phase 3 at The Innovation Hub; Chamdor Industrial Park which now has been reported to be operational and Visitor Centre at the Constitutional Hill. The Committee will continuously monitor the abovementioned projects until completion as they </w:t>
      </w:r>
      <w:r w:rsidR="007712E3">
        <w:rPr>
          <w:rFonts w:ascii="Arial Narrow" w:hAnsi="Arial Narrow" w:cs="Arial Narrow"/>
          <w:bCs/>
        </w:rPr>
        <w:t xml:space="preserve">are </w:t>
      </w:r>
      <w:r w:rsidRPr="00EA3EF9">
        <w:rPr>
          <w:rFonts w:ascii="Arial Narrow" w:hAnsi="Arial Narrow" w:cs="Arial Narrow"/>
          <w:bCs/>
        </w:rPr>
        <w:t xml:space="preserve">key to employment creation. </w:t>
      </w:r>
    </w:p>
    <w:p w14:paraId="4A472806" w14:textId="77777777" w:rsidR="006E613D" w:rsidRPr="00AC182D" w:rsidRDefault="006E613D" w:rsidP="00835668">
      <w:pPr>
        <w:spacing w:line="276" w:lineRule="auto"/>
        <w:rPr>
          <w:rFonts w:ascii="Arial Narrow" w:hAnsi="Arial Narrow" w:cs="Arial Narrow"/>
          <w:bCs/>
          <w:highlight w:val="yellow"/>
        </w:rPr>
      </w:pPr>
    </w:p>
    <w:p w14:paraId="7C0FB908" w14:textId="6389E531" w:rsidR="00491445" w:rsidRDefault="006E613D" w:rsidP="00835668">
      <w:pPr>
        <w:spacing w:line="276" w:lineRule="auto"/>
        <w:rPr>
          <w:rFonts w:ascii="Arial Narrow" w:hAnsi="Arial Narrow" w:cs="Arial Narrow"/>
          <w:bCs/>
        </w:rPr>
      </w:pPr>
      <w:r w:rsidRPr="00EA3EF9">
        <w:rPr>
          <w:rFonts w:ascii="Arial Narrow" w:hAnsi="Arial Narrow" w:cs="Arial Narrow"/>
          <w:bCs/>
        </w:rPr>
        <w:t>Lastly</w:t>
      </w:r>
      <w:r w:rsidR="007712E3">
        <w:rPr>
          <w:rFonts w:ascii="Arial Narrow" w:hAnsi="Arial Narrow" w:cs="Arial Narrow"/>
          <w:bCs/>
        </w:rPr>
        <w:t>,</w:t>
      </w:r>
      <w:r w:rsidRPr="00EA3EF9">
        <w:rPr>
          <w:rFonts w:ascii="Arial Narrow" w:hAnsi="Arial Narrow" w:cs="Arial Narrow"/>
          <w:bCs/>
        </w:rPr>
        <w:t xml:space="preserve"> all matter</w:t>
      </w:r>
      <w:r w:rsidR="004741B6" w:rsidRPr="00EA3EF9">
        <w:rPr>
          <w:rFonts w:ascii="Arial Narrow" w:hAnsi="Arial Narrow" w:cs="Arial Narrow"/>
          <w:bCs/>
        </w:rPr>
        <w:t>s</w:t>
      </w:r>
      <w:r w:rsidRPr="00EA3EF9">
        <w:rPr>
          <w:rFonts w:ascii="Arial Narrow" w:hAnsi="Arial Narrow" w:cs="Arial Narrow"/>
          <w:bCs/>
        </w:rPr>
        <w:t xml:space="preserve"> as raised by the Auditor General should be attended to by the Department including entities </w:t>
      </w:r>
      <w:proofErr w:type="gramStart"/>
      <w:r w:rsidRPr="00EA3EF9">
        <w:rPr>
          <w:rFonts w:ascii="Arial Narrow" w:hAnsi="Arial Narrow" w:cs="Arial Narrow"/>
          <w:bCs/>
        </w:rPr>
        <w:t>in order to</w:t>
      </w:r>
      <w:proofErr w:type="gramEnd"/>
      <w:r w:rsidRPr="00EA3EF9">
        <w:rPr>
          <w:rFonts w:ascii="Arial Narrow" w:hAnsi="Arial Narrow" w:cs="Arial Narrow"/>
          <w:bCs/>
        </w:rPr>
        <w:t xml:space="preserve"> remedy the </w:t>
      </w:r>
      <w:r w:rsidR="00EA3EF9" w:rsidRPr="00EA3EF9">
        <w:rPr>
          <w:rFonts w:ascii="Arial Narrow" w:hAnsi="Arial Narrow" w:cs="Arial Narrow"/>
          <w:bCs/>
        </w:rPr>
        <w:t xml:space="preserve">findings observed which affect the GTA and the GEP in the </w:t>
      </w:r>
      <w:r w:rsidRPr="00EA3EF9">
        <w:rPr>
          <w:rFonts w:ascii="Arial Narrow" w:hAnsi="Arial Narrow" w:cs="Arial Narrow"/>
          <w:bCs/>
        </w:rPr>
        <w:t>year under review as the</w:t>
      </w:r>
      <w:r w:rsidR="00EA3EF9" w:rsidRPr="00EA3EF9">
        <w:rPr>
          <w:rFonts w:ascii="Arial Narrow" w:hAnsi="Arial Narrow" w:cs="Arial Narrow"/>
          <w:bCs/>
        </w:rPr>
        <w:t>se</w:t>
      </w:r>
      <w:r w:rsidRPr="00EA3EF9">
        <w:rPr>
          <w:rFonts w:ascii="Arial Narrow" w:hAnsi="Arial Narrow" w:cs="Arial Narrow"/>
          <w:bCs/>
        </w:rPr>
        <w:t xml:space="preserve"> entities obtained </w:t>
      </w:r>
      <w:r w:rsidR="004741B6" w:rsidRPr="00EA3EF9">
        <w:rPr>
          <w:rFonts w:ascii="Arial Narrow" w:hAnsi="Arial Narrow" w:cs="Arial Narrow"/>
          <w:bCs/>
        </w:rPr>
        <w:t>unqualified audits with findings. The Committee will observe the implementation of mitigation measures with the view to correct the scenario.</w:t>
      </w:r>
      <w:r w:rsidR="004741B6">
        <w:rPr>
          <w:rFonts w:ascii="Arial Narrow" w:hAnsi="Arial Narrow" w:cs="Arial Narrow"/>
          <w:bCs/>
        </w:rPr>
        <w:t xml:space="preserve">  </w:t>
      </w:r>
    </w:p>
    <w:p w14:paraId="1F872B51" w14:textId="77777777" w:rsidR="005E44FA" w:rsidRPr="0079000E" w:rsidRDefault="009A46D6"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2" w:name="_Toc66876362"/>
      <w:r w:rsidRPr="0079000E">
        <w:rPr>
          <w:rFonts w:ascii="Arial Narrow" w:hAnsi="Arial Narrow"/>
          <w:color w:val="auto"/>
          <w:sz w:val="22"/>
          <w:szCs w:val="22"/>
        </w:rPr>
        <w:t>INTRODUCTION</w:t>
      </w:r>
      <w:bookmarkEnd w:id="2"/>
    </w:p>
    <w:p w14:paraId="1F957814" w14:textId="77777777" w:rsidR="00BC28A7" w:rsidRPr="0079000E" w:rsidRDefault="00BC28A7" w:rsidP="00C93456">
      <w:pPr>
        <w:spacing w:line="276" w:lineRule="auto"/>
        <w:rPr>
          <w:rFonts w:ascii="Arial Narrow" w:hAnsi="Arial Narrow" w:cs="Arial Narrow"/>
          <w:bCs/>
        </w:rPr>
      </w:pPr>
    </w:p>
    <w:p w14:paraId="442C4CD7" w14:textId="1CE1CF97" w:rsidR="00BC28A7" w:rsidRPr="0079000E" w:rsidRDefault="00BC28A7" w:rsidP="00C93456">
      <w:pPr>
        <w:spacing w:line="276" w:lineRule="auto"/>
        <w:rPr>
          <w:rFonts w:ascii="Arial Narrow" w:hAnsi="Arial Narrow" w:cs="Arial Narrow"/>
          <w:bCs/>
        </w:rPr>
      </w:pPr>
      <w:r w:rsidRPr="0079000E">
        <w:rPr>
          <w:rFonts w:ascii="Arial Narrow" w:hAnsi="Arial Narrow" w:cs="Arial Narrow"/>
          <w:bCs/>
        </w:rPr>
        <w:t>The Economic Development Portfolio Committee exercises oversight and scrutiny over the Gauteng Department of Economic De</w:t>
      </w:r>
      <w:r w:rsidR="00FF071C">
        <w:rPr>
          <w:rFonts w:ascii="Arial Narrow" w:hAnsi="Arial Narrow" w:cs="Arial Narrow"/>
          <w:bCs/>
        </w:rPr>
        <w:t>velopment and its entities.</w:t>
      </w:r>
      <w:r w:rsidRPr="0079000E">
        <w:rPr>
          <w:rFonts w:ascii="Arial Narrow" w:hAnsi="Arial Narrow" w:cs="Arial Narrow"/>
          <w:bCs/>
        </w:rPr>
        <w:t xml:space="preserve">  This includes planning, budgeting, financial management and reporting by the </w:t>
      </w:r>
      <w:r w:rsidR="008965F4">
        <w:rPr>
          <w:rFonts w:ascii="Arial Narrow" w:hAnsi="Arial Narrow" w:cs="Arial Narrow"/>
          <w:bCs/>
        </w:rPr>
        <w:t>Department</w:t>
      </w:r>
      <w:r w:rsidRPr="0079000E">
        <w:rPr>
          <w:rFonts w:ascii="Arial Narrow" w:hAnsi="Arial Narrow" w:cs="Arial Narrow"/>
          <w:bCs/>
        </w:rPr>
        <w:t>.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w:t>
      </w:r>
      <w:r w:rsidR="00CE4BCF" w:rsidRPr="0079000E">
        <w:rPr>
          <w:rFonts w:ascii="Arial Narrow" w:hAnsi="Arial Narrow" w:cs="Arial Narrow"/>
          <w:bCs/>
        </w:rPr>
        <w:t xml:space="preserve"> Gauteng Provincial</w:t>
      </w:r>
      <w:r w:rsidRPr="0079000E">
        <w:rPr>
          <w:rFonts w:ascii="Arial Narrow" w:hAnsi="Arial Narrow" w:cs="Arial Narrow"/>
          <w:bCs/>
        </w:rPr>
        <w:t xml:space="preserve"> Legislature</w:t>
      </w:r>
      <w:r w:rsidR="00CE4BCF" w:rsidRPr="0079000E">
        <w:rPr>
          <w:rFonts w:ascii="Arial Narrow" w:hAnsi="Arial Narrow" w:cs="Arial Narrow"/>
          <w:bCs/>
        </w:rPr>
        <w:t xml:space="preserve"> (GPL)</w:t>
      </w:r>
      <w:r w:rsidRPr="0079000E">
        <w:rPr>
          <w:rFonts w:ascii="Arial Narrow" w:hAnsi="Arial Narrow" w:cs="Arial Narrow"/>
          <w:bCs/>
        </w:rPr>
        <w:t xml:space="preserve"> in cases where reports </w:t>
      </w:r>
      <w:proofErr w:type="gramStart"/>
      <w:r w:rsidRPr="0079000E">
        <w:rPr>
          <w:rFonts w:ascii="Arial Narrow" w:hAnsi="Arial Narrow" w:cs="Arial Narrow"/>
          <w:bCs/>
        </w:rPr>
        <w:t>have to</w:t>
      </w:r>
      <w:proofErr w:type="gramEnd"/>
      <w:r w:rsidRPr="0079000E">
        <w:rPr>
          <w:rFonts w:ascii="Arial Narrow" w:hAnsi="Arial Narrow" w:cs="Arial Narrow"/>
          <w:bCs/>
        </w:rPr>
        <w:t xml:space="preserve"> be tabled.</w:t>
      </w:r>
    </w:p>
    <w:p w14:paraId="728CA912" w14:textId="77777777" w:rsidR="00BC28A7" w:rsidRPr="0079000E" w:rsidRDefault="00BC28A7" w:rsidP="00C93456">
      <w:pPr>
        <w:spacing w:line="276" w:lineRule="auto"/>
        <w:rPr>
          <w:rFonts w:ascii="Arial Narrow" w:hAnsi="Arial Narrow" w:cs="Arial Narrow"/>
          <w:bCs/>
        </w:rPr>
      </w:pPr>
    </w:p>
    <w:p w14:paraId="193F16FF" w14:textId="2EE7A51C" w:rsidR="00BA3795" w:rsidRDefault="00BC28A7" w:rsidP="00C93456">
      <w:pPr>
        <w:spacing w:line="276" w:lineRule="auto"/>
        <w:rPr>
          <w:rFonts w:ascii="Arial Narrow" w:hAnsi="Arial Narrow" w:cs="Arial Narrow"/>
          <w:bCs/>
          <w:lang w:val="en-US"/>
        </w:rPr>
      </w:pPr>
      <w:r w:rsidRPr="00D62A08">
        <w:rPr>
          <w:rFonts w:ascii="Arial Narrow" w:hAnsi="Arial Narrow" w:cs="Arial Narrow"/>
          <w:bCs/>
        </w:rPr>
        <w:t>In the year under review</w:t>
      </w:r>
      <w:r w:rsidR="00481BD4">
        <w:rPr>
          <w:rFonts w:ascii="Arial Narrow" w:hAnsi="Arial Narrow" w:cs="Arial Narrow"/>
          <w:bCs/>
        </w:rPr>
        <w:t xml:space="preserve">, </w:t>
      </w:r>
      <w:r w:rsidRPr="00D62A08">
        <w:rPr>
          <w:rFonts w:ascii="Arial Narrow" w:hAnsi="Arial Narrow" w:cs="Arial Narrow"/>
          <w:bCs/>
        </w:rPr>
        <w:t>the Department was allocated an amount of</w:t>
      </w:r>
      <w:bookmarkStart w:id="3" w:name="_Hlk25091091"/>
      <w:r w:rsidR="000C3068">
        <w:rPr>
          <w:rFonts w:ascii="Arial Narrow" w:hAnsi="Arial Narrow" w:cs="Arial Narrow"/>
          <w:bCs/>
        </w:rPr>
        <w:t xml:space="preserve"> </w:t>
      </w:r>
      <w:bookmarkEnd w:id="3"/>
      <w:r w:rsidR="00D21D61">
        <w:rPr>
          <w:rFonts w:ascii="Arial Narrow" w:hAnsi="Arial Narrow" w:cs="Arial Narrow"/>
          <w:bCs/>
        </w:rPr>
        <w:t xml:space="preserve">R </w:t>
      </w:r>
      <w:r w:rsidR="00D21D61" w:rsidRPr="00D21D61">
        <w:rPr>
          <w:rFonts w:ascii="Arial Narrow" w:hAnsi="Arial Narrow" w:cs="Arial Narrow"/>
          <w:bCs/>
        </w:rPr>
        <w:t>1 796 830</w:t>
      </w:r>
      <w:r w:rsidR="00D21D61">
        <w:rPr>
          <w:rFonts w:ascii="Arial Narrow" w:hAnsi="Arial Narrow" w:cs="Arial Narrow"/>
          <w:bCs/>
        </w:rPr>
        <w:t> </w:t>
      </w:r>
      <w:r w:rsidR="00D21D61" w:rsidRPr="00D21D61">
        <w:rPr>
          <w:rFonts w:ascii="Arial Narrow" w:hAnsi="Arial Narrow" w:cs="Arial Narrow"/>
          <w:bCs/>
        </w:rPr>
        <w:t>000</w:t>
      </w:r>
      <w:r w:rsidR="00D21D61">
        <w:rPr>
          <w:rFonts w:ascii="Arial Narrow" w:hAnsi="Arial Narrow" w:cs="Arial Narrow"/>
          <w:bCs/>
        </w:rPr>
        <w:t xml:space="preserve"> (R 1</w:t>
      </w:r>
      <w:r w:rsidR="00E930A6">
        <w:rPr>
          <w:rFonts w:ascii="Arial Narrow" w:hAnsi="Arial Narrow" w:cs="Arial Narrow"/>
          <w:bCs/>
        </w:rPr>
        <w:t> </w:t>
      </w:r>
      <w:r w:rsidR="00D21D61">
        <w:rPr>
          <w:rFonts w:ascii="Arial Narrow" w:hAnsi="Arial Narrow" w:cs="Arial Narrow"/>
          <w:bCs/>
        </w:rPr>
        <w:t>796</w:t>
      </w:r>
      <w:r w:rsidR="00E930A6">
        <w:rPr>
          <w:rFonts w:ascii="Arial Narrow" w:hAnsi="Arial Narrow" w:cs="Arial Narrow"/>
          <w:bCs/>
        </w:rPr>
        <w:t xml:space="preserve">.8b) </w:t>
      </w:r>
      <w:r w:rsidR="00BA3795" w:rsidRPr="00D62A08">
        <w:rPr>
          <w:rFonts w:ascii="Arial Narrow" w:hAnsi="Arial Narrow" w:cs="Arial Narrow"/>
          <w:bCs/>
          <w:lang w:val="en-US"/>
        </w:rPr>
        <w:t>to facilitate and promote economic growth and development in the province, with a targeted commitment to focus on enhancing the inclusivity of the economy, while not neglecting to improve its competitiveness. This will be done</w:t>
      </w:r>
      <w:r w:rsidR="00481BD4">
        <w:rPr>
          <w:rFonts w:ascii="Arial Narrow" w:hAnsi="Arial Narrow" w:cs="Arial Narrow"/>
          <w:bCs/>
          <w:lang w:val="en-US"/>
        </w:rPr>
        <w:t xml:space="preserve">, according to </w:t>
      </w:r>
      <w:r w:rsidR="00481BD4">
        <w:rPr>
          <w:rFonts w:ascii="Arial Narrow" w:hAnsi="Arial Narrow" w:cs="Arial Narrow"/>
          <w:bCs/>
          <w:lang w:val="en-US"/>
        </w:rPr>
        <w:lastRenderedPageBreak/>
        <w:t>the Department,</w:t>
      </w:r>
      <w:r w:rsidR="00BA3795" w:rsidRPr="00D62A08">
        <w:rPr>
          <w:rFonts w:ascii="Arial Narrow" w:hAnsi="Arial Narrow" w:cs="Arial Narrow"/>
          <w:bCs/>
          <w:lang w:val="en-US"/>
        </w:rPr>
        <w:t xml:space="preserve"> through a radically transformed, </w:t>
      </w:r>
      <w:proofErr w:type="gramStart"/>
      <w:r w:rsidR="00BA3795" w:rsidRPr="00D62A08">
        <w:rPr>
          <w:rFonts w:ascii="Arial Narrow" w:hAnsi="Arial Narrow" w:cs="Arial Narrow"/>
          <w:bCs/>
          <w:lang w:val="en-US"/>
        </w:rPr>
        <w:t>modernized</w:t>
      </w:r>
      <w:proofErr w:type="gramEnd"/>
      <w:r w:rsidR="00BA3795" w:rsidRPr="00D62A08">
        <w:rPr>
          <w:rFonts w:ascii="Arial Narrow" w:hAnsi="Arial Narrow" w:cs="Arial Narrow"/>
          <w:bCs/>
          <w:lang w:val="en-US"/>
        </w:rPr>
        <w:t xml:space="preserve"> and reindustrialized economy in Gauteng, manifesting decent work, economic inclusion and equity.</w:t>
      </w:r>
    </w:p>
    <w:p w14:paraId="2461E711" w14:textId="77777777" w:rsidR="00BC28A7" w:rsidRPr="0079000E" w:rsidRDefault="00BC28A7" w:rsidP="00C93456">
      <w:pPr>
        <w:spacing w:line="276" w:lineRule="auto"/>
        <w:rPr>
          <w:rFonts w:ascii="Arial Narrow" w:hAnsi="Arial Narrow" w:cs="Arial Narrow"/>
          <w:bCs/>
        </w:rPr>
      </w:pPr>
    </w:p>
    <w:p w14:paraId="5AEA3404" w14:textId="77777777" w:rsidR="00BC28A7" w:rsidRPr="0079000E" w:rsidRDefault="00BC28A7" w:rsidP="00C93456">
      <w:pPr>
        <w:spacing w:line="276" w:lineRule="auto"/>
        <w:rPr>
          <w:rFonts w:ascii="Arial Narrow" w:hAnsi="Arial Narrow" w:cs="Arial Narrow"/>
          <w:bCs/>
        </w:rPr>
      </w:pPr>
      <w:r w:rsidRPr="0079000E">
        <w:rPr>
          <w:rFonts w:ascii="Arial Narrow" w:hAnsi="Arial Narrow" w:cs="Arial Narrow"/>
          <w:bCs/>
        </w:rPr>
        <w:t>This report primarily focuses on examining whether the budget allocated for the Department and its entities is aligned to key government strategic priorities. Furthermore, the report</w:t>
      </w:r>
      <w:r w:rsidR="00C16EF9" w:rsidRPr="0079000E">
        <w:rPr>
          <w:rFonts w:ascii="Arial Narrow" w:hAnsi="Arial Narrow" w:cs="Arial Narrow"/>
          <w:bCs/>
        </w:rPr>
        <w:t xml:space="preserve"> intends to</w:t>
      </w:r>
      <w:r w:rsidRPr="0079000E">
        <w:rPr>
          <w:rFonts w:ascii="Arial Narrow" w:hAnsi="Arial Narrow" w:cs="Arial Narrow"/>
          <w:bCs/>
        </w:rPr>
        <w:t xml:space="preserve"> assess whether the objectives of the Department correlate with the intended outputs as well as outcomes. The Committee intends to inte</w:t>
      </w:r>
      <w:r w:rsidR="00C16EF9" w:rsidRPr="0079000E">
        <w:rPr>
          <w:rFonts w:ascii="Arial Narrow" w:hAnsi="Arial Narrow" w:cs="Arial Narrow"/>
          <w:bCs/>
        </w:rPr>
        <w:t>rrogate and assess the overall D</w:t>
      </w:r>
      <w:r w:rsidRPr="0079000E">
        <w:rPr>
          <w:rFonts w:ascii="Arial Narrow" w:hAnsi="Arial Narrow" w:cs="Arial Narrow"/>
          <w:bCs/>
        </w:rPr>
        <w:t xml:space="preserve">epartmental performance, summary of findings per programme as well as stakeholders’ submissions on the </w:t>
      </w:r>
      <w:r w:rsidR="00C16EF9" w:rsidRPr="0079000E">
        <w:rPr>
          <w:rFonts w:ascii="Arial Narrow" w:hAnsi="Arial Narrow" w:cs="Arial Narrow"/>
          <w:bCs/>
        </w:rPr>
        <w:t xml:space="preserve">Annual </w:t>
      </w:r>
      <w:r w:rsidRPr="0079000E">
        <w:rPr>
          <w:rFonts w:ascii="Arial Narrow" w:hAnsi="Arial Narrow" w:cs="Arial Narrow"/>
          <w:bCs/>
        </w:rPr>
        <w:t xml:space="preserve">Performance of the Department. </w:t>
      </w:r>
    </w:p>
    <w:p w14:paraId="65DA6A2C" w14:textId="77777777" w:rsidR="00BC28A7" w:rsidRPr="0079000E" w:rsidRDefault="00BC28A7" w:rsidP="00C93456">
      <w:pPr>
        <w:spacing w:line="276" w:lineRule="auto"/>
        <w:rPr>
          <w:rFonts w:ascii="Arial Narrow" w:hAnsi="Arial Narrow" w:cs="Arial Narrow"/>
          <w:bCs/>
        </w:rPr>
      </w:pPr>
    </w:p>
    <w:p w14:paraId="07280955" w14:textId="77777777" w:rsidR="00BC28A7" w:rsidRPr="0079000E" w:rsidRDefault="00BC28A7" w:rsidP="00C93456">
      <w:pPr>
        <w:spacing w:line="276" w:lineRule="auto"/>
        <w:rPr>
          <w:rFonts w:ascii="Arial Narrow" w:hAnsi="Arial Narrow" w:cs="Arial Narrow"/>
          <w:bCs/>
        </w:rPr>
      </w:pPr>
      <w:r w:rsidRPr="0079000E">
        <w:rPr>
          <w:rFonts w:ascii="Arial Narrow" w:hAnsi="Arial Narrow" w:cs="Arial Narrow"/>
          <w:bCs/>
        </w:rPr>
        <w:t>The Gauteng Provincial Legislature’s oversight methodology stipulates that when analysing the budget, the variables of the Sector Oversight Model (SOM) must be considered. Given that SOM variables are interrelated, which means that priorities, inputs (capital and current), outputs an</w:t>
      </w:r>
      <w:r w:rsidR="00C16EF9" w:rsidRPr="0079000E">
        <w:rPr>
          <w:rFonts w:ascii="Arial Narrow" w:hAnsi="Arial Narrow" w:cs="Arial Narrow"/>
          <w:bCs/>
        </w:rPr>
        <w:t xml:space="preserve">d outcomes should be considered. </w:t>
      </w:r>
    </w:p>
    <w:p w14:paraId="25FAB236" w14:textId="77777777" w:rsidR="004B7663" w:rsidRPr="0079000E" w:rsidRDefault="004B7663"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4" w:name="_Toc66876363"/>
      <w:r w:rsidRPr="0079000E">
        <w:rPr>
          <w:rFonts w:ascii="Arial Narrow" w:hAnsi="Arial Narrow"/>
          <w:color w:val="auto"/>
          <w:sz w:val="22"/>
          <w:szCs w:val="22"/>
        </w:rPr>
        <w:t>PROCESS FOLLOWED</w:t>
      </w:r>
      <w:bookmarkEnd w:id="4"/>
    </w:p>
    <w:p w14:paraId="0B30A89B" w14:textId="77777777" w:rsidR="0070565E" w:rsidRDefault="0070565E" w:rsidP="00C93456">
      <w:pPr>
        <w:spacing w:line="276" w:lineRule="auto"/>
        <w:rPr>
          <w:rFonts w:ascii="Arial Narrow" w:hAnsi="Arial Narrow" w:cs="Arial Narrow"/>
          <w:bCs/>
        </w:rPr>
      </w:pPr>
    </w:p>
    <w:p w14:paraId="1D937B2A" w14:textId="0CE4C8DC" w:rsidR="00CE4BCF" w:rsidRPr="0079000E" w:rsidRDefault="00CE4BCF" w:rsidP="00C93456">
      <w:pPr>
        <w:spacing w:line="276" w:lineRule="auto"/>
        <w:rPr>
          <w:rFonts w:ascii="Arial Narrow" w:hAnsi="Arial Narrow" w:cs="Arial Narrow"/>
          <w:bCs/>
        </w:rPr>
      </w:pPr>
      <w:r w:rsidRPr="0079000E">
        <w:rPr>
          <w:rFonts w:ascii="Arial Narrow" w:hAnsi="Arial Narrow" w:cs="Arial Narrow"/>
          <w:bCs/>
        </w:rPr>
        <w:t xml:space="preserve">The Speaker of the Gauteng Provincial Legislature formally referred the </w:t>
      </w:r>
      <w:r w:rsidR="00BD3470">
        <w:rPr>
          <w:rFonts w:ascii="Arial Narrow" w:hAnsi="Arial Narrow" w:cs="Arial Narrow"/>
          <w:bCs/>
        </w:rPr>
        <w:t xml:space="preserve">Annual </w:t>
      </w:r>
      <w:r w:rsidRPr="0079000E">
        <w:rPr>
          <w:rFonts w:ascii="Arial Narrow" w:hAnsi="Arial Narrow" w:cs="Arial Narrow"/>
          <w:bCs/>
        </w:rPr>
        <w:t xml:space="preserve">Performance Report of the Department in terms of </w:t>
      </w:r>
      <w:r w:rsidR="00AE0D41" w:rsidRPr="00066886">
        <w:rPr>
          <w:rFonts w:ascii="Arial Narrow" w:hAnsi="Arial Narrow" w:cs="Arial Narrow"/>
          <w:bCs/>
        </w:rPr>
        <w:t>Rule 149</w:t>
      </w:r>
      <w:r w:rsidRPr="0079000E">
        <w:rPr>
          <w:rFonts w:ascii="Arial Narrow" w:hAnsi="Arial Narrow" w:cs="Arial Narrow"/>
          <w:bCs/>
        </w:rPr>
        <w:t xml:space="preserve"> of the Standing Rules to the Economic Development Portfolio Committee for consideration and reporting.  </w:t>
      </w:r>
    </w:p>
    <w:p w14:paraId="3DE8C0EA" w14:textId="77777777" w:rsidR="00CE4BCF" w:rsidRPr="0079000E" w:rsidRDefault="00CE4BCF" w:rsidP="00C93456">
      <w:pPr>
        <w:spacing w:line="276" w:lineRule="auto"/>
        <w:rPr>
          <w:rFonts w:ascii="Arial Narrow" w:hAnsi="Arial Narrow" w:cs="Arial Narrow"/>
          <w:bCs/>
        </w:rPr>
      </w:pPr>
    </w:p>
    <w:p w14:paraId="253DB5DD" w14:textId="2C7F31FE" w:rsidR="00CE4BCF" w:rsidRPr="0079000E" w:rsidRDefault="00CE4BCF" w:rsidP="00C93456">
      <w:pPr>
        <w:spacing w:line="276" w:lineRule="auto"/>
        <w:rPr>
          <w:rFonts w:ascii="Arial Narrow" w:hAnsi="Arial Narrow" w:cs="Arial Narrow"/>
          <w:bCs/>
        </w:rPr>
      </w:pPr>
      <w:r w:rsidRPr="0079000E">
        <w:rPr>
          <w:rFonts w:ascii="Arial Narrow" w:hAnsi="Arial Narrow" w:cs="Arial Narrow"/>
          <w:bCs/>
        </w:rPr>
        <w:t>As guided by the Standing Rules of the GPL as well as the Constitution of RSA, the Committee invited stakeholders to partake in its deliberations during the consideration of the Annual Performance Repor</w:t>
      </w:r>
      <w:r w:rsidR="00A92F75">
        <w:rPr>
          <w:rFonts w:ascii="Arial Narrow" w:hAnsi="Arial Narrow" w:cs="Arial Narrow"/>
          <w:bCs/>
        </w:rPr>
        <w:t>t of the Department for the 20</w:t>
      </w:r>
      <w:r w:rsidR="009D6E6F">
        <w:rPr>
          <w:rFonts w:ascii="Arial Narrow" w:hAnsi="Arial Narrow" w:cs="Arial Narrow"/>
          <w:bCs/>
        </w:rPr>
        <w:t>2</w:t>
      </w:r>
      <w:r w:rsidR="00E930A6">
        <w:rPr>
          <w:rFonts w:ascii="Arial Narrow" w:hAnsi="Arial Narrow" w:cs="Arial Narrow"/>
          <w:bCs/>
        </w:rPr>
        <w:t>2</w:t>
      </w:r>
      <w:r w:rsidR="00A92F75">
        <w:rPr>
          <w:rFonts w:ascii="Arial Narrow" w:hAnsi="Arial Narrow" w:cs="Arial Narrow"/>
          <w:bCs/>
        </w:rPr>
        <w:t>/</w:t>
      </w:r>
      <w:r w:rsidR="00435A26">
        <w:rPr>
          <w:rFonts w:ascii="Arial Narrow" w:hAnsi="Arial Narrow" w:cs="Arial Narrow"/>
          <w:bCs/>
        </w:rPr>
        <w:t>2</w:t>
      </w:r>
      <w:r w:rsidR="00E930A6">
        <w:rPr>
          <w:rFonts w:ascii="Arial Narrow" w:hAnsi="Arial Narrow" w:cs="Arial Narrow"/>
          <w:bCs/>
        </w:rPr>
        <w:t>3</w:t>
      </w:r>
      <w:r w:rsidRPr="0079000E">
        <w:rPr>
          <w:rFonts w:ascii="Arial Narrow" w:hAnsi="Arial Narrow" w:cs="Arial Narrow"/>
          <w:bCs/>
        </w:rPr>
        <w:t xml:space="preserve"> FY. </w:t>
      </w:r>
    </w:p>
    <w:p w14:paraId="4B76A57E" w14:textId="77777777" w:rsidR="00CE4BCF" w:rsidRPr="0079000E" w:rsidRDefault="00CE4BCF" w:rsidP="00C93456">
      <w:pPr>
        <w:spacing w:line="276" w:lineRule="auto"/>
        <w:rPr>
          <w:rFonts w:ascii="Arial Narrow" w:hAnsi="Arial Narrow" w:cs="Arial Narrow"/>
          <w:bCs/>
        </w:rPr>
      </w:pPr>
      <w:r w:rsidRPr="0079000E">
        <w:rPr>
          <w:rFonts w:ascii="Arial Narrow" w:hAnsi="Arial Narrow" w:cs="Arial Narrow"/>
          <w:bCs/>
        </w:rPr>
        <w:tab/>
      </w:r>
    </w:p>
    <w:p w14:paraId="21B7B42F" w14:textId="0FB3A0D4" w:rsidR="00CE4BCF" w:rsidRPr="0079000E" w:rsidRDefault="00CE4BCF" w:rsidP="00C93456">
      <w:pPr>
        <w:spacing w:line="276" w:lineRule="auto"/>
        <w:rPr>
          <w:rFonts w:ascii="Arial Narrow" w:hAnsi="Arial Narrow" w:cs="Arial Narrow"/>
          <w:bCs/>
        </w:rPr>
      </w:pPr>
      <w:r w:rsidRPr="0070565E">
        <w:rPr>
          <w:rFonts w:ascii="Arial Narrow" w:hAnsi="Arial Narrow" w:cs="Arial Narrow"/>
          <w:bCs/>
        </w:rPr>
        <w:t>The Committee convened and discussed the research analysis in the meeting o</w:t>
      </w:r>
      <w:r w:rsidR="001F355A" w:rsidRPr="0070565E">
        <w:rPr>
          <w:rFonts w:ascii="Arial Narrow" w:hAnsi="Arial Narrow" w:cs="Arial Narrow"/>
          <w:bCs/>
        </w:rPr>
        <w:t xml:space="preserve">n the </w:t>
      </w:r>
      <w:r w:rsidR="00315F6F">
        <w:rPr>
          <w:rFonts w:ascii="Arial Narrow" w:hAnsi="Arial Narrow" w:cs="Arial Narrow"/>
          <w:bCs/>
        </w:rPr>
        <w:t>20</w:t>
      </w:r>
      <w:r w:rsidR="00315F6F" w:rsidRPr="000A3E0E">
        <w:rPr>
          <w:rFonts w:ascii="Arial Narrow" w:hAnsi="Arial Narrow" w:cs="Arial Narrow"/>
          <w:bCs/>
          <w:vertAlign w:val="superscript"/>
        </w:rPr>
        <w:t xml:space="preserve">th </w:t>
      </w:r>
      <w:r w:rsidR="00315F6F">
        <w:rPr>
          <w:rFonts w:ascii="Arial Narrow" w:hAnsi="Arial Narrow" w:cs="Arial Narrow"/>
          <w:bCs/>
        </w:rPr>
        <w:t xml:space="preserve">of </w:t>
      </w:r>
      <w:r w:rsidR="000A3E0E">
        <w:rPr>
          <w:rFonts w:ascii="Arial Narrow" w:hAnsi="Arial Narrow" w:cs="Arial Narrow"/>
          <w:bCs/>
        </w:rPr>
        <w:t>October 2023</w:t>
      </w:r>
      <w:r w:rsidR="00315F6F">
        <w:rPr>
          <w:rFonts w:ascii="Arial Narrow" w:hAnsi="Arial Narrow" w:cs="Arial Narrow"/>
          <w:bCs/>
        </w:rPr>
        <w:t>.</w:t>
      </w:r>
      <w:r w:rsidR="005C6CEB" w:rsidRPr="0070565E">
        <w:rPr>
          <w:rFonts w:ascii="Arial Narrow" w:hAnsi="Arial Narrow" w:cs="Arial Narrow"/>
          <w:bCs/>
        </w:rPr>
        <w:t xml:space="preserve"> In </w:t>
      </w:r>
      <w:r w:rsidR="005F0591">
        <w:rPr>
          <w:rFonts w:ascii="Arial Narrow" w:hAnsi="Arial Narrow" w:cs="Arial Narrow"/>
          <w:bCs/>
        </w:rPr>
        <w:t>the preceding</w:t>
      </w:r>
      <w:r w:rsidR="005C6CEB" w:rsidRPr="0070565E">
        <w:rPr>
          <w:rFonts w:ascii="Arial Narrow" w:hAnsi="Arial Narrow" w:cs="Arial Narrow"/>
          <w:bCs/>
        </w:rPr>
        <w:t xml:space="preserve"> meeting, the Department </w:t>
      </w:r>
      <w:r w:rsidRPr="0070565E">
        <w:rPr>
          <w:rFonts w:ascii="Arial Narrow" w:hAnsi="Arial Narrow" w:cs="Arial Narrow"/>
          <w:bCs/>
        </w:rPr>
        <w:t xml:space="preserve">presented to the Committee its </w:t>
      </w:r>
      <w:r w:rsidR="005C6CEB" w:rsidRPr="0070565E">
        <w:rPr>
          <w:rFonts w:ascii="Arial Narrow" w:hAnsi="Arial Narrow" w:cs="Arial Narrow"/>
          <w:bCs/>
        </w:rPr>
        <w:t>Annual</w:t>
      </w:r>
      <w:r w:rsidRPr="0070565E">
        <w:rPr>
          <w:rFonts w:ascii="Arial Narrow" w:hAnsi="Arial Narrow" w:cs="Arial Narrow"/>
          <w:bCs/>
        </w:rPr>
        <w:t xml:space="preserve"> Performance Report</w:t>
      </w:r>
      <w:r w:rsidR="00EB72A7" w:rsidRPr="0070565E">
        <w:rPr>
          <w:rFonts w:ascii="Arial Narrow" w:hAnsi="Arial Narrow" w:cs="Arial Narrow"/>
          <w:bCs/>
        </w:rPr>
        <w:t xml:space="preserve"> including agencies</w:t>
      </w:r>
      <w:r w:rsidRPr="0070565E">
        <w:rPr>
          <w:rFonts w:ascii="Arial Narrow" w:hAnsi="Arial Narrow" w:cs="Arial Narrow"/>
          <w:bCs/>
        </w:rPr>
        <w:t xml:space="preserve"> for the 20</w:t>
      </w:r>
      <w:r w:rsidR="009D6E6F" w:rsidRPr="0070565E">
        <w:rPr>
          <w:rFonts w:ascii="Arial Narrow" w:hAnsi="Arial Narrow" w:cs="Arial Narrow"/>
          <w:bCs/>
        </w:rPr>
        <w:t>2</w:t>
      </w:r>
      <w:r w:rsidR="00315F6F">
        <w:rPr>
          <w:rFonts w:ascii="Arial Narrow" w:hAnsi="Arial Narrow" w:cs="Arial Narrow"/>
          <w:bCs/>
        </w:rPr>
        <w:t>2</w:t>
      </w:r>
      <w:r w:rsidRPr="0070565E">
        <w:rPr>
          <w:rFonts w:ascii="Arial Narrow" w:hAnsi="Arial Narrow" w:cs="Arial Narrow"/>
          <w:bCs/>
        </w:rPr>
        <w:t>/</w:t>
      </w:r>
      <w:r w:rsidR="001F355A" w:rsidRPr="0070565E">
        <w:rPr>
          <w:rFonts w:ascii="Arial Narrow" w:hAnsi="Arial Narrow" w:cs="Arial Narrow"/>
          <w:bCs/>
        </w:rPr>
        <w:t>2</w:t>
      </w:r>
      <w:r w:rsidR="00315F6F">
        <w:rPr>
          <w:rFonts w:ascii="Arial Narrow" w:hAnsi="Arial Narrow" w:cs="Arial Narrow"/>
          <w:bCs/>
        </w:rPr>
        <w:t>3</w:t>
      </w:r>
      <w:r w:rsidRPr="0070565E">
        <w:rPr>
          <w:rFonts w:ascii="Arial Narrow" w:hAnsi="Arial Narrow" w:cs="Arial Narrow"/>
          <w:bCs/>
        </w:rPr>
        <w:t xml:space="preserve"> FY</w:t>
      </w:r>
      <w:r w:rsidR="001959AE" w:rsidRPr="0070565E">
        <w:rPr>
          <w:rFonts w:ascii="Arial Narrow" w:hAnsi="Arial Narrow" w:cs="Arial Narrow"/>
          <w:bCs/>
        </w:rPr>
        <w:t xml:space="preserve"> on</w:t>
      </w:r>
      <w:r w:rsidR="00EB72A7" w:rsidRPr="0070565E">
        <w:rPr>
          <w:rFonts w:ascii="Arial Narrow" w:hAnsi="Arial Narrow" w:cs="Arial Narrow"/>
          <w:bCs/>
        </w:rPr>
        <w:t xml:space="preserve"> the </w:t>
      </w:r>
      <w:r w:rsidR="00256E00">
        <w:rPr>
          <w:rFonts w:ascii="Arial Narrow" w:hAnsi="Arial Narrow" w:cs="Arial Narrow"/>
          <w:bCs/>
        </w:rPr>
        <w:t>27</w:t>
      </w:r>
      <w:r w:rsidR="00256E00" w:rsidRPr="00256E00">
        <w:rPr>
          <w:rFonts w:ascii="Arial Narrow" w:hAnsi="Arial Narrow" w:cs="Arial Narrow"/>
          <w:bCs/>
          <w:vertAlign w:val="superscript"/>
        </w:rPr>
        <w:t>th</w:t>
      </w:r>
      <w:r w:rsidR="00256E00">
        <w:rPr>
          <w:rFonts w:ascii="Arial Narrow" w:hAnsi="Arial Narrow" w:cs="Arial Narrow"/>
          <w:bCs/>
        </w:rPr>
        <w:t xml:space="preserve"> </w:t>
      </w:r>
      <w:r w:rsidR="0070565E" w:rsidRPr="0070565E">
        <w:rPr>
          <w:rFonts w:ascii="Arial Narrow" w:hAnsi="Arial Narrow" w:cs="Arial Narrow"/>
          <w:bCs/>
        </w:rPr>
        <w:t xml:space="preserve">of </w:t>
      </w:r>
      <w:r w:rsidR="009D6E6F" w:rsidRPr="0070565E">
        <w:rPr>
          <w:rFonts w:ascii="Arial Narrow" w:hAnsi="Arial Narrow" w:cs="Arial Narrow"/>
          <w:bCs/>
        </w:rPr>
        <w:t>November</w:t>
      </w:r>
      <w:r w:rsidR="001F355A" w:rsidRPr="0070565E">
        <w:rPr>
          <w:rFonts w:ascii="Arial Narrow" w:hAnsi="Arial Narrow" w:cs="Arial Narrow"/>
          <w:bCs/>
        </w:rPr>
        <w:t xml:space="preserve"> 202</w:t>
      </w:r>
      <w:r w:rsidR="00256E00">
        <w:rPr>
          <w:rFonts w:ascii="Arial Narrow" w:hAnsi="Arial Narrow" w:cs="Arial Narrow"/>
          <w:bCs/>
        </w:rPr>
        <w:t>3</w:t>
      </w:r>
      <w:r w:rsidRPr="0070565E">
        <w:rPr>
          <w:rFonts w:ascii="Arial Narrow" w:hAnsi="Arial Narrow" w:cs="Arial Narrow"/>
          <w:bCs/>
        </w:rPr>
        <w:t xml:space="preserve">.  </w:t>
      </w:r>
      <w:r w:rsidR="001959AE" w:rsidRPr="0070565E">
        <w:rPr>
          <w:rFonts w:ascii="Arial Narrow" w:hAnsi="Arial Narrow" w:cs="Arial Narrow"/>
          <w:bCs/>
        </w:rPr>
        <w:t>T</w:t>
      </w:r>
      <w:r w:rsidRPr="0070565E">
        <w:rPr>
          <w:rFonts w:ascii="Arial Narrow" w:hAnsi="Arial Narrow" w:cs="Arial Narrow"/>
          <w:bCs/>
        </w:rPr>
        <w:t>he Committee</w:t>
      </w:r>
      <w:r w:rsidR="001959AE" w:rsidRPr="0070565E">
        <w:rPr>
          <w:rFonts w:ascii="Arial Narrow" w:hAnsi="Arial Narrow" w:cs="Arial Narrow"/>
          <w:bCs/>
        </w:rPr>
        <w:t xml:space="preserve"> thus</w:t>
      </w:r>
      <w:r w:rsidRPr="0070565E">
        <w:rPr>
          <w:rFonts w:ascii="Arial Narrow" w:hAnsi="Arial Narrow" w:cs="Arial Narrow"/>
          <w:bCs/>
        </w:rPr>
        <w:t xml:space="preserve"> adopted its oversight report on the </w:t>
      </w:r>
      <w:r w:rsidR="00155D97" w:rsidRPr="0070565E">
        <w:rPr>
          <w:rFonts w:ascii="Arial Narrow" w:hAnsi="Arial Narrow" w:cs="Arial Narrow"/>
          <w:bCs/>
        </w:rPr>
        <w:t>Annual</w:t>
      </w:r>
      <w:r w:rsidRPr="0070565E">
        <w:rPr>
          <w:rFonts w:ascii="Arial Narrow" w:hAnsi="Arial Narrow" w:cs="Arial Narrow"/>
          <w:bCs/>
        </w:rPr>
        <w:t xml:space="preserve"> Performance Report</w:t>
      </w:r>
      <w:r w:rsidR="00A27CC2" w:rsidRPr="0070565E">
        <w:rPr>
          <w:rFonts w:ascii="Arial Narrow" w:hAnsi="Arial Narrow" w:cs="Arial Narrow"/>
          <w:bCs/>
        </w:rPr>
        <w:t xml:space="preserve"> 20</w:t>
      </w:r>
      <w:r w:rsidR="009D6E6F" w:rsidRPr="0070565E">
        <w:rPr>
          <w:rFonts w:ascii="Arial Narrow" w:hAnsi="Arial Narrow" w:cs="Arial Narrow"/>
          <w:bCs/>
        </w:rPr>
        <w:t>2</w:t>
      </w:r>
      <w:r w:rsidR="00256E00">
        <w:rPr>
          <w:rFonts w:ascii="Arial Narrow" w:hAnsi="Arial Narrow" w:cs="Arial Narrow"/>
          <w:bCs/>
        </w:rPr>
        <w:t>2</w:t>
      </w:r>
      <w:r w:rsidR="00A27CC2" w:rsidRPr="0070565E">
        <w:rPr>
          <w:rFonts w:ascii="Arial Narrow" w:hAnsi="Arial Narrow" w:cs="Arial Narrow"/>
          <w:bCs/>
        </w:rPr>
        <w:t>/</w:t>
      </w:r>
      <w:r w:rsidR="001F355A" w:rsidRPr="0070565E">
        <w:rPr>
          <w:rFonts w:ascii="Arial Narrow" w:hAnsi="Arial Narrow" w:cs="Arial Narrow"/>
          <w:bCs/>
        </w:rPr>
        <w:t>2</w:t>
      </w:r>
      <w:r w:rsidR="00256E00">
        <w:rPr>
          <w:rFonts w:ascii="Arial Narrow" w:hAnsi="Arial Narrow" w:cs="Arial Narrow"/>
          <w:bCs/>
        </w:rPr>
        <w:t>3</w:t>
      </w:r>
      <w:r w:rsidR="00155D97" w:rsidRPr="0070565E">
        <w:rPr>
          <w:rFonts w:ascii="Arial Narrow" w:hAnsi="Arial Narrow" w:cs="Arial Narrow"/>
          <w:bCs/>
        </w:rPr>
        <w:t xml:space="preserve"> FY</w:t>
      </w:r>
      <w:r w:rsidRPr="0070565E">
        <w:rPr>
          <w:rFonts w:ascii="Arial Narrow" w:hAnsi="Arial Narrow" w:cs="Arial Narrow"/>
          <w:bCs/>
        </w:rPr>
        <w:t xml:space="preserve"> over the Departmen</w:t>
      </w:r>
      <w:r w:rsidR="0087476E" w:rsidRPr="0070565E">
        <w:rPr>
          <w:rFonts w:ascii="Arial Narrow" w:hAnsi="Arial Narrow" w:cs="Arial Narrow"/>
          <w:bCs/>
        </w:rPr>
        <w:t xml:space="preserve">t in a meeting that convened on </w:t>
      </w:r>
      <w:r w:rsidR="0024051E" w:rsidRPr="0070565E">
        <w:rPr>
          <w:rFonts w:ascii="Arial Narrow" w:hAnsi="Arial Narrow" w:cs="Arial Narrow"/>
          <w:bCs/>
        </w:rPr>
        <w:t xml:space="preserve">the </w:t>
      </w:r>
      <w:r w:rsidR="00256E00">
        <w:rPr>
          <w:rFonts w:ascii="Arial Narrow" w:hAnsi="Arial Narrow" w:cs="Arial Narrow"/>
          <w:bCs/>
        </w:rPr>
        <w:t>21</w:t>
      </w:r>
      <w:r w:rsidR="00256E00" w:rsidRPr="00256E00">
        <w:rPr>
          <w:rFonts w:ascii="Arial Narrow" w:hAnsi="Arial Narrow" w:cs="Arial Narrow"/>
          <w:bCs/>
          <w:vertAlign w:val="superscript"/>
        </w:rPr>
        <w:t>st</w:t>
      </w:r>
      <w:r w:rsidR="00256E00">
        <w:rPr>
          <w:rFonts w:ascii="Arial Narrow" w:hAnsi="Arial Narrow" w:cs="Arial Narrow"/>
          <w:bCs/>
        </w:rPr>
        <w:t xml:space="preserve"> of November 2023</w:t>
      </w:r>
      <w:r w:rsidRPr="0070565E">
        <w:rPr>
          <w:rFonts w:ascii="Arial Narrow" w:hAnsi="Arial Narrow" w:cs="Arial Narrow"/>
          <w:bCs/>
        </w:rPr>
        <w:t>.</w:t>
      </w:r>
      <w:r w:rsidR="00C51F0F" w:rsidRPr="0070565E">
        <w:rPr>
          <w:rFonts w:ascii="Arial Narrow" w:hAnsi="Arial Narrow" w:cs="Arial Narrow"/>
          <w:bCs/>
        </w:rPr>
        <w:t xml:space="preserve"> </w:t>
      </w:r>
      <w:r w:rsidRPr="0070565E">
        <w:rPr>
          <w:rFonts w:ascii="Arial Narrow" w:hAnsi="Arial Narrow" w:cs="Arial Narrow"/>
          <w:bCs/>
        </w:rPr>
        <w:t>The Committee</w:t>
      </w:r>
      <w:r w:rsidR="006C6517" w:rsidRPr="0070565E">
        <w:rPr>
          <w:rFonts w:ascii="Arial Narrow" w:hAnsi="Arial Narrow" w:cs="Arial Narrow"/>
          <w:bCs/>
        </w:rPr>
        <w:t xml:space="preserve"> through the Chairperson tabled</w:t>
      </w:r>
      <w:r w:rsidRPr="0070565E">
        <w:rPr>
          <w:rFonts w:ascii="Arial Narrow" w:hAnsi="Arial Narrow" w:cs="Arial Narrow"/>
          <w:bCs/>
        </w:rPr>
        <w:t xml:space="preserve"> the report with recomm</w:t>
      </w:r>
      <w:r w:rsidR="00C9079B" w:rsidRPr="0070565E">
        <w:rPr>
          <w:rFonts w:ascii="Arial Narrow" w:hAnsi="Arial Narrow" w:cs="Arial Narrow"/>
          <w:bCs/>
        </w:rPr>
        <w:t xml:space="preserve">endations to House for adoption in the House on the </w:t>
      </w:r>
      <w:r w:rsidR="00256E00">
        <w:rPr>
          <w:rFonts w:ascii="Arial Narrow" w:hAnsi="Arial Narrow" w:cs="Arial Narrow"/>
          <w:bCs/>
        </w:rPr>
        <w:t>5</w:t>
      </w:r>
      <w:r w:rsidR="00256E00" w:rsidRPr="00256E00">
        <w:rPr>
          <w:rFonts w:ascii="Arial Narrow" w:hAnsi="Arial Narrow" w:cs="Arial Narrow"/>
          <w:bCs/>
          <w:vertAlign w:val="superscript"/>
        </w:rPr>
        <w:t>th</w:t>
      </w:r>
      <w:r w:rsidR="00256E00">
        <w:rPr>
          <w:rFonts w:ascii="Arial Narrow" w:hAnsi="Arial Narrow" w:cs="Arial Narrow"/>
          <w:bCs/>
        </w:rPr>
        <w:t xml:space="preserve"> of </w:t>
      </w:r>
      <w:r w:rsidR="009D6E6F" w:rsidRPr="0070565E">
        <w:rPr>
          <w:rFonts w:ascii="Arial Narrow" w:hAnsi="Arial Narrow" w:cs="Arial Narrow"/>
          <w:bCs/>
        </w:rPr>
        <w:t xml:space="preserve">December </w:t>
      </w:r>
      <w:r w:rsidR="00A92F75" w:rsidRPr="0070565E">
        <w:rPr>
          <w:rFonts w:ascii="Arial Narrow" w:hAnsi="Arial Narrow" w:cs="Arial Narrow"/>
          <w:bCs/>
        </w:rPr>
        <w:t>20</w:t>
      </w:r>
      <w:r w:rsidR="001F355A" w:rsidRPr="0070565E">
        <w:rPr>
          <w:rFonts w:ascii="Arial Narrow" w:hAnsi="Arial Narrow" w:cs="Arial Narrow"/>
          <w:bCs/>
        </w:rPr>
        <w:t>2</w:t>
      </w:r>
      <w:r w:rsidR="00256E00">
        <w:rPr>
          <w:rFonts w:ascii="Arial Narrow" w:hAnsi="Arial Narrow" w:cs="Arial Narrow"/>
          <w:bCs/>
        </w:rPr>
        <w:t>3</w:t>
      </w:r>
      <w:r w:rsidR="00C9079B" w:rsidRPr="0070565E">
        <w:rPr>
          <w:rFonts w:ascii="Arial Narrow" w:hAnsi="Arial Narrow" w:cs="Arial Narrow"/>
          <w:bCs/>
        </w:rPr>
        <w:t>.</w:t>
      </w:r>
      <w:r w:rsidR="00C9079B">
        <w:rPr>
          <w:rFonts w:ascii="Arial Narrow" w:hAnsi="Arial Narrow" w:cs="Arial Narrow"/>
          <w:bCs/>
        </w:rPr>
        <w:t xml:space="preserve"> </w:t>
      </w:r>
      <w:r w:rsidRPr="0079000E">
        <w:rPr>
          <w:rFonts w:ascii="Arial Narrow" w:hAnsi="Arial Narrow" w:cs="Arial Narrow"/>
          <w:bCs/>
        </w:rPr>
        <w:t xml:space="preserve">  </w:t>
      </w:r>
    </w:p>
    <w:p w14:paraId="1F8827A6" w14:textId="77777777" w:rsidR="004B7663" w:rsidRPr="0079000E" w:rsidRDefault="004B7663"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5" w:name="_Toc66876364"/>
      <w:r w:rsidRPr="0079000E">
        <w:rPr>
          <w:rFonts w:ascii="Arial Narrow" w:hAnsi="Arial Narrow"/>
          <w:color w:val="auto"/>
          <w:sz w:val="22"/>
          <w:szCs w:val="22"/>
        </w:rPr>
        <w:t>COMPLIANCE AND QUALITY</w:t>
      </w:r>
      <w:bookmarkEnd w:id="5"/>
    </w:p>
    <w:p w14:paraId="4565C41A" w14:textId="77777777" w:rsidR="004B7663" w:rsidRPr="0079000E" w:rsidRDefault="004B7663" w:rsidP="00C93456">
      <w:pPr>
        <w:spacing w:line="276" w:lineRule="auto"/>
        <w:rPr>
          <w:rFonts w:ascii="Arial Narrow" w:hAnsi="Arial Narrow" w:cs="Arial Narrow"/>
          <w:b/>
          <w:bCs/>
        </w:rPr>
      </w:pPr>
    </w:p>
    <w:p w14:paraId="21CDB57D" w14:textId="34E2BA15" w:rsidR="00783CEC" w:rsidRDefault="00CE4BCF" w:rsidP="00C93456">
      <w:pPr>
        <w:spacing w:line="276" w:lineRule="auto"/>
        <w:rPr>
          <w:rFonts w:ascii="Arial Narrow" w:hAnsi="Arial Narrow" w:cs="Arial Narrow"/>
          <w:bCs/>
        </w:rPr>
      </w:pPr>
      <w:r w:rsidRPr="0079000E">
        <w:rPr>
          <w:rFonts w:ascii="Arial Narrow" w:hAnsi="Arial Narrow" w:cs="Arial Narrow"/>
          <w:bCs/>
        </w:rPr>
        <w:t>In line with the GPL Standing Rules</w:t>
      </w:r>
      <w:r w:rsidR="00A87B08">
        <w:rPr>
          <w:rFonts w:ascii="Arial Narrow" w:hAnsi="Arial Narrow" w:cs="Arial Narrow"/>
          <w:bCs/>
        </w:rPr>
        <w:t>,</w:t>
      </w:r>
      <w:r w:rsidRPr="0079000E">
        <w:rPr>
          <w:rFonts w:ascii="Arial Narrow" w:hAnsi="Arial Narrow" w:cs="Arial Narrow"/>
          <w:bCs/>
        </w:rPr>
        <w:t xml:space="preserve"> the Department</w:t>
      </w:r>
      <w:r w:rsidR="00ED6A67" w:rsidRPr="0079000E">
        <w:rPr>
          <w:rFonts w:ascii="Arial Narrow" w:hAnsi="Arial Narrow" w:cs="Arial Narrow"/>
          <w:bCs/>
        </w:rPr>
        <w:t xml:space="preserve"> including</w:t>
      </w:r>
      <w:r w:rsidRPr="0079000E">
        <w:rPr>
          <w:rFonts w:ascii="Arial Narrow" w:hAnsi="Arial Narrow" w:cs="Arial Narrow"/>
          <w:bCs/>
        </w:rPr>
        <w:t xml:space="preserve"> entities</w:t>
      </w:r>
      <w:r w:rsidR="00972E29">
        <w:rPr>
          <w:rFonts w:ascii="Arial Narrow" w:hAnsi="Arial Narrow" w:cs="Arial Narrow"/>
          <w:bCs/>
        </w:rPr>
        <w:t xml:space="preserve"> timeously submitted all </w:t>
      </w:r>
      <w:r w:rsidRPr="0079000E">
        <w:rPr>
          <w:rFonts w:ascii="Arial Narrow" w:hAnsi="Arial Narrow" w:cs="Arial Narrow"/>
          <w:bCs/>
        </w:rPr>
        <w:t>Annual Performanc</w:t>
      </w:r>
      <w:r w:rsidR="00155D97" w:rsidRPr="0079000E">
        <w:rPr>
          <w:rFonts w:ascii="Arial Narrow" w:hAnsi="Arial Narrow" w:cs="Arial Narrow"/>
          <w:bCs/>
        </w:rPr>
        <w:t>e Reports for the 20</w:t>
      </w:r>
      <w:r w:rsidR="009D6E6F">
        <w:rPr>
          <w:rFonts w:ascii="Arial Narrow" w:hAnsi="Arial Narrow" w:cs="Arial Narrow"/>
          <w:bCs/>
        </w:rPr>
        <w:t>2</w:t>
      </w:r>
      <w:r w:rsidR="00256E00">
        <w:rPr>
          <w:rFonts w:ascii="Arial Narrow" w:hAnsi="Arial Narrow" w:cs="Arial Narrow"/>
          <w:bCs/>
        </w:rPr>
        <w:t>2</w:t>
      </w:r>
      <w:r w:rsidR="00A92F75">
        <w:rPr>
          <w:rFonts w:ascii="Arial Narrow" w:hAnsi="Arial Narrow" w:cs="Arial Narrow"/>
          <w:bCs/>
        </w:rPr>
        <w:t>/</w:t>
      </w:r>
      <w:r w:rsidR="00435A26">
        <w:rPr>
          <w:rFonts w:ascii="Arial Narrow" w:hAnsi="Arial Narrow" w:cs="Arial Narrow"/>
          <w:bCs/>
        </w:rPr>
        <w:t>2</w:t>
      </w:r>
      <w:r w:rsidR="00256E00">
        <w:rPr>
          <w:rFonts w:ascii="Arial Narrow" w:hAnsi="Arial Narrow" w:cs="Arial Narrow"/>
          <w:bCs/>
        </w:rPr>
        <w:t>3</w:t>
      </w:r>
      <w:r w:rsidR="00783CEC">
        <w:rPr>
          <w:rFonts w:ascii="Arial Narrow" w:hAnsi="Arial Narrow" w:cs="Arial Narrow"/>
          <w:bCs/>
        </w:rPr>
        <w:t xml:space="preserve"> </w:t>
      </w:r>
      <w:r w:rsidR="00155D97" w:rsidRPr="0079000E">
        <w:rPr>
          <w:rFonts w:ascii="Arial Narrow" w:hAnsi="Arial Narrow" w:cs="Arial Narrow"/>
          <w:bCs/>
        </w:rPr>
        <w:t>FY</w:t>
      </w:r>
      <w:r w:rsidRPr="0079000E">
        <w:rPr>
          <w:rFonts w:ascii="Arial Narrow" w:hAnsi="Arial Narrow" w:cs="Arial Narrow"/>
          <w:bCs/>
        </w:rPr>
        <w:t>. The Department</w:t>
      </w:r>
      <w:r w:rsidR="00ED6A67" w:rsidRPr="0079000E">
        <w:rPr>
          <w:rFonts w:ascii="Arial Narrow" w:hAnsi="Arial Narrow" w:cs="Arial Narrow"/>
          <w:bCs/>
        </w:rPr>
        <w:t xml:space="preserve"> and agencies reported on their</w:t>
      </w:r>
      <w:r w:rsidRPr="0079000E">
        <w:rPr>
          <w:rFonts w:ascii="Arial Narrow" w:hAnsi="Arial Narrow" w:cs="Arial Narrow"/>
          <w:bCs/>
        </w:rPr>
        <w:t xml:space="preserve"> financial and non-financial performance in line with the requirements of the Public Finance Management Act (PFMA) 1999.</w:t>
      </w:r>
      <w:r w:rsidR="00670C7B">
        <w:rPr>
          <w:rFonts w:ascii="Arial Narrow" w:hAnsi="Arial Narrow" w:cs="Arial Narrow"/>
          <w:bCs/>
        </w:rPr>
        <w:t xml:space="preserve"> </w:t>
      </w:r>
    </w:p>
    <w:p w14:paraId="45505E24" w14:textId="44620631" w:rsidR="004B7663" w:rsidRPr="0079000E" w:rsidRDefault="001D680E"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6" w:name="_Toc66876365"/>
      <w:r w:rsidRPr="0079000E">
        <w:rPr>
          <w:rFonts w:ascii="Arial Narrow" w:hAnsi="Arial Narrow"/>
          <w:color w:val="auto"/>
          <w:sz w:val="22"/>
          <w:szCs w:val="22"/>
        </w:rPr>
        <w:lastRenderedPageBreak/>
        <w:t xml:space="preserve">OVERSIGHT ON </w:t>
      </w:r>
      <w:r w:rsidR="004B7663" w:rsidRPr="0079000E">
        <w:rPr>
          <w:rFonts w:ascii="Arial Narrow" w:hAnsi="Arial Narrow"/>
          <w:color w:val="auto"/>
          <w:sz w:val="22"/>
          <w:szCs w:val="22"/>
        </w:rPr>
        <w:t xml:space="preserve">STRATEGIC </w:t>
      </w:r>
      <w:r w:rsidR="00396E0C" w:rsidRPr="0079000E">
        <w:rPr>
          <w:rFonts w:ascii="Arial Narrow" w:hAnsi="Arial Narrow"/>
          <w:color w:val="auto"/>
          <w:sz w:val="22"/>
          <w:szCs w:val="22"/>
        </w:rPr>
        <w:t>PRIORITIES</w:t>
      </w:r>
      <w:bookmarkEnd w:id="6"/>
    </w:p>
    <w:p w14:paraId="373873E7" w14:textId="77777777" w:rsidR="00ED6A67" w:rsidRPr="0079000E" w:rsidRDefault="00ED6A67" w:rsidP="00C93456">
      <w:pPr>
        <w:pStyle w:val="Heading2"/>
        <w:spacing w:line="276" w:lineRule="auto"/>
        <w:rPr>
          <w:rFonts w:ascii="Arial Narrow" w:hAnsi="Arial Narrow"/>
          <w:color w:val="auto"/>
          <w:sz w:val="22"/>
          <w:szCs w:val="22"/>
        </w:rPr>
      </w:pPr>
      <w:bookmarkStart w:id="7" w:name="_Toc402005061"/>
      <w:bookmarkStart w:id="8" w:name="_Toc66876366"/>
      <w:r w:rsidRPr="0079000E">
        <w:rPr>
          <w:rFonts w:ascii="Arial Narrow" w:hAnsi="Arial Narrow"/>
          <w:color w:val="auto"/>
          <w:sz w:val="22"/>
          <w:szCs w:val="22"/>
        </w:rPr>
        <w:t>a. Priorities</w:t>
      </w:r>
      <w:bookmarkEnd w:id="7"/>
      <w:bookmarkEnd w:id="8"/>
    </w:p>
    <w:p w14:paraId="0BC3432E" w14:textId="77777777" w:rsidR="006C79D2" w:rsidRDefault="006C79D2" w:rsidP="00063DBC">
      <w:pPr>
        <w:pStyle w:val="Heading2"/>
        <w:spacing w:line="276" w:lineRule="auto"/>
        <w:rPr>
          <w:rFonts w:ascii="Arial Narrow" w:hAnsi="Arial Narrow"/>
          <w:b w:val="0"/>
          <w:color w:val="auto"/>
          <w:sz w:val="22"/>
          <w:szCs w:val="22"/>
        </w:rPr>
      </w:pPr>
      <w:bookmarkStart w:id="9" w:name="_Toc66876367"/>
      <w:bookmarkStart w:id="10" w:name="_Toc402005062"/>
      <w:r w:rsidRPr="006C79D2">
        <w:rPr>
          <w:rFonts w:ascii="Arial Narrow" w:hAnsi="Arial Narrow"/>
          <w:b w:val="0"/>
          <w:color w:val="auto"/>
          <w:sz w:val="22"/>
          <w:szCs w:val="22"/>
        </w:rPr>
        <w:t xml:space="preserve">This section provides an overview of the Departmental mandates with alignment to the National and Provincial priorities through the National Development Plan (NDP) 2030 as well as working towards the realisation of African Agenda 2063 aspiration 1 on a prosperous Africa based on inclusive economic growth and sustainable development. The aspiration is attained through fostering transformation, </w:t>
      </w:r>
      <w:proofErr w:type="gramStart"/>
      <w:r w:rsidRPr="006C79D2">
        <w:rPr>
          <w:rFonts w:ascii="Arial Narrow" w:hAnsi="Arial Narrow"/>
          <w:b w:val="0"/>
          <w:color w:val="auto"/>
          <w:sz w:val="22"/>
          <w:szCs w:val="22"/>
        </w:rPr>
        <w:t>growth</w:t>
      </w:r>
      <w:proofErr w:type="gramEnd"/>
      <w:r w:rsidRPr="006C79D2">
        <w:rPr>
          <w:rFonts w:ascii="Arial Narrow" w:hAnsi="Arial Narrow"/>
          <w:b w:val="0"/>
          <w:color w:val="auto"/>
          <w:sz w:val="22"/>
          <w:szCs w:val="22"/>
        </w:rPr>
        <w:t xml:space="preserve"> and Industrialisation of the economy. In addition, there is a need to work towards Sustainable Development Goals (SDGs) such as goal 8 on </w:t>
      </w:r>
      <w:r>
        <w:rPr>
          <w:rFonts w:ascii="Arial Narrow" w:hAnsi="Arial Narrow"/>
          <w:b w:val="0"/>
          <w:color w:val="auto"/>
          <w:sz w:val="22"/>
          <w:szCs w:val="22"/>
        </w:rPr>
        <w:t>decent work and economic growth</w:t>
      </w:r>
      <w:r w:rsidRPr="006C79D2">
        <w:rPr>
          <w:rFonts w:ascii="Arial Narrow" w:hAnsi="Arial Narrow"/>
          <w:b w:val="0"/>
          <w:color w:val="auto"/>
          <w:sz w:val="22"/>
          <w:szCs w:val="22"/>
        </w:rPr>
        <w:t xml:space="preserve"> and</w:t>
      </w:r>
      <w:r>
        <w:rPr>
          <w:rFonts w:ascii="Arial Narrow" w:hAnsi="Arial Narrow"/>
          <w:b w:val="0"/>
          <w:color w:val="auto"/>
          <w:sz w:val="22"/>
          <w:szCs w:val="22"/>
        </w:rPr>
        <w:t xml:space="preserve"> SDG</w:t>
      </w:r>
      <w:r w:rsidRPr="006C79D2">
        <w:rPr>
          <w:rFonts w:ascii="Arial Narrow" w:hAnsi="Arial Narrow"/>
          <w:b w:val="0"/>
          <w:color w:val="auto"/>
          <w:sz w:val="22"/>
          <w:szCs w:val="22"/>
        </w:rPr>
        <w:t xml:space="preserve"> 9 on Industry, </w:t>
      </w:r>
      <w:proofErr w:type="gramStart"/>
      <w:r w:rsidRPr="006C79D2">
        <w:rPr>
          <w:rFonts w:ascii="Arial Narrow" w:hAnsi="Arial Narrow"/>
          <w:b w:val="0"/>
          <w:color w:val="auto"/>
          <w:sz w:val="22"/>
          <w:szCs w:val="22"/>
        </w:rPr>
        <w:t>Innovation</w:t>
      </w:r>
      <w:proofErr w:type="gramEnd"/>
      <w:r w:rsidRPr="006C79D2">
        <w:rPr>
          <w:rFonts w:ascii="Arial Narrow" w:hAnsi="Arial Narrow"/>
          <w:b w:val="0"/>
          <w:color w:val="auto"/>
          <w:sz w:val="22"/>
          <w:szCs w:val="22"/>
        </w:rPr>
        <w:t xml:space="preserve"> and Infrastructure.</w:t>
      </w:r>
      <w:bookmarkEnd w:id="9"/>
      <w:r w:rsidRPr="006C79D2">
        <w:rPr>
          <w:rFonts w:ascii="Arial Narrow" w:hAnsi="Arial Narrow"/>
          <w:b w:val="0"/>
          <w:color w:val="auto"/>
          <w:sz w:val="22"/>
          <w:szCs w:val="22"/>
        </w:rPr>
        <w:t xml:space="preserve"> </w:t>
      </w:r>
    </w:p>
    <w:p w14:paraId="5CF50284" w14:textId="77777777" w:rsidR="006C79D2" w:rsidRDefault="006C79D2" w:rsidP="00063DBC">
      <w:pPr>
        <w:pStyle w:val="Heading2"/>
        <w:spacing w:line="276" w:lineRule="auto"/>
        <w:rPr>
          <w:rFonts w:ascii="Arial Narrow" w:hAnsi="Arial Narrow"/>
          <w:b w:val="0"/>
          <w:color w:val="auto"/>
          <w:sz w:val="22"/>
          <w:szCs w:val="22"/>
        </w:rPr>
      </w:pPr>
      <w:bookmarkStart w:id="11" w:name="_Toc66876368"/>
      <w:r w:rsidRPr="006C79D2">
        <w:rPr>
          <w:rFonts w:ascii="Arial Narrow" w:hAnsi="Arial Narrow"/>
          <w:b w:val="0"/>
          <w:color w:val="auto"/>
          <w:sz w:val="22"/>
          <w:szCs w:val="22"/>
        </w:rPr>
        <w:t>The Department focuses on amongst others on the radical and re-industrialisation of the economy; new, smart knowledge-based economy; and revitalisation and modernisation of the township economy as some of the key pillars of the province’s TMR programme. In response to the priorities, employment creation remains in the centre as supported by the NDP, in the struggle against the triple challenges of poverty and equality, especially unemployment.</w:t>
      </w:r>
      <w:r w:rsidRPr="006C79D2">
        <w:t xml:space="preserve"> </w:t>
      </w:r>
      <w:r w:rsidRPr="006C79D2">
        <w:rPr>
          <w:rFonts w:ascii="Arial Narrow" w:hAnsi="Arial Narrow"/>
          <w:b w:val="0"/>
          <w:color w:val="auto"/>
          <w:sz w:val="22"/>
          <w:szCs w:val="22"/>
        </w:rPr>
        <w:t xml:space="preserve">The NDP is a long-term plan for the country that </w:t>
      </w:r>
      <w:r>
        <w:rPr>
          <w:rFonts w:ascii="Arial Narrow" w:hAnsi="Arial Narrow"/>
          <w:b w:val="0"/>
          <w:color w:val="auto"/>
          <w:sz w:val="22"/>
          <w:szCs w:val="22"/>
        </w:rPr>
        <w:t>seeks to create 11 million jobs</w:t>
      </w:r>
      <w:r w:rsidRPr="006C79D2">
        <w:rPr>
          <w:rFonts w:ascii="Arial Narrow" w:hAnsi="Arial Narrow"/>
          <w:b w:val="0"/>
          <w:color w:val="auto"/>
          <w:sz w:val="22"/>
          <w:szCs w:val="22"/>
        </w:rPr>
        <w:t xml:space="preserve"> and reduce poverty and inequality from 0.69% to 0.60% in 2030</w:t>
      </w:r>
      <w:r>
        <w:rPr>
          <w:rFonts w:ascii="Arial Narrow" w:hAnsi="Arial Narrow"/>
          <w:b w:val="0"/>
          <w:color w:val="auto"/>
          <w:sz w:val="22"/>
          <w:szCs w:val="22"/>
        </w:rPr>
        <w:t>.</w:t>
      </w:r>
      <w:bookmarkEnd w:id="11"/>
      <w:r>
        <w:rPr>
          <w:rFonts w:ascii="Arial Narrow" w:hAnsi="Arial Narrow"/>
          <w:b w:val="0"/>
          <w:color w:val="auto"/>
          <w:sz w:val="22"/>
          <w:szCs w:val="22"/>
        </w:rPr>
        <w:t xml:space="preserve"> </w:t>
      </w:r>
    </w:p>
    <w:p w14:paraId="3E6E74BE" w14:textId="48B0AC75" w:rsidR="00CB193E" w:rsidRPr="00820341" w:rsidRDefault="00BD5BCF" w:rsidP="00BD5BCF">
      <w:pPr>
        <w:pStyle w:val="Heading2"/>
        <w:spacing w:line="276" w:lineRule="auto"/>
        <w:rPr>
          <w:rFonts w:ascii="Arial Narrow" w:hAnsi="Arial Narrow"/>
          <w:b w:val="0"/>
          <w:color w:val="auto"/>
          <w:sz w:val="22"/>
          <w:szCs w:val="22"/>
          <w:lang w:val="en-US"/>
        </w:rPr>
      </w:pPr>
      <w:bookmarkStart w:id="12" w:name="_Toc66876369"/>
      <w:bookmarkStart w:id="13" w:name="_Toc402005063"/>
      <w:bookmarkEnd w:id="10"/>
      <w:r w:rsidRPr="00820341">
        <w:rPr>
          <w:rFonts w:ascii="Arial Narrow" w:hAnsi="Arial Narrow"/>
          <w:b w:val="0"/>
          <w:color w:val="auto"/>
          <w:sz w:val="22"/>
          <w:szCs w:val="22"/>
        </w:rPr>
        <w:t>The De</w:t>
      </w:r>
      <w:r w:rsidR="00972FB8" w:rsidRPr="00820341">
        <w:rPr>
          <w:rFonts w:ascii="Arial Narrow" w:hAnsi="Arial Narrow"/>
          <w:b w:val="0"/>
          <w:color w:val="auto"/>
          <w:sz w:val="22"/>
          <w:szCs w:val="22"/>
        </w:rPr>
        <w:t xml:space="preserve">partment </w:t>
      </w:r>
      <w:r w:rsidRPr="00820341">
        <w:rPr>
          <w:rFonts w:ascii="Arial Narrow" w:hAnsi="Arial Narrow"/>
          <w:b w:val="0"/>
          <w:color w:val="auto"/>
          <w:sz w:val="22"/>
          <w:szCs w:val="22"/>
        </w:rPr>
        <w:t>support</w:t>
      </w:r>
      <w:r w:rsidR="00972FB8" w:rsidRPr="00820341">
        <w:rPr>
          <w:rFonts w:ascii="Arial Narrow" w:hAnsi="Arial Narrow"/>
          <w:b w:val="0"/>
          <w:color w:val="auto"/>
          <w:sz w:val="22"/>
          <w:szCs w:val="22"/>
        </w:rPr>
        <w:t>s</w:t>
      </w:r>
      <w:r w:rsidRPr="00820341">
        <w:rPr>
          <w:rFonts w:ascii="Arial Narrow" w:hAnsi="Arial Narrow"/>
          <w:b w:val="0"/>
          <w:color w:val="auto"/>
          <w:sz w:val="22"/>
          <w:szCs w:val="22"/>
        </w:rPr>
        <w:t xml:space="preserve"> the vision</w:t>
      </w:r>
      <w:r w:rsidR="00527BEB" w:rsidRPr="00820341">
        <w:rPr>
          <w:rFonts w:ascii="Arial Narrow" w:hAnsi="Arial Narrow"/>
          <w:b w:val="0"/>
          <w:color w:val="auto"/>
          <w:sz w:val="22"/>
          <w:szCs w:val="22"/>
        </w:rPr>
        <w:t xml:space="preserve"> of</w:t>
      </w:r>
      <w:r w:rsidR="00CB193E" w:rsidRPr="00820341">
        <w:rPr>
          <w:rFonts w:ascii="Aller" w:eastAsiaTheme="minorHAnsi" w:hAnsi="Aller" w:cs="Aller"/>
          <w:b w:val="0"/>
          <w:bCs w:val="0"/>
          <w:color w:val="000000"/>
          <w:sz w:val="18"/>
          <w:szCs w:val="18"/>
          <w:lang w:val="en-US"/>
        </w:rPr>
        <w:t xml:space="preserve"> </w:t>
      </w:r>
      <w:r w:rsidR="00CB193E" w:rsidRPr="00820341">
        <w:rPr>
          <w:rFonts w:ascii="Arial Narrow" w:hAnsi="Arial Narrow"/>
          <w:b w:val="0"/>
          <w:color w:val="auto"/>
          <w:sz w:val="22"/>
          <w:szCs w:val="22"/>
          <w:lang w:val="en-US"/>
        </w:rPr>
        <w:t xml:space="preserve">a radically transformed, </w:t>
      </w:r>
      <w:proofErr w:type="gramStart"/>
      <w:r w:rsidR="00CB193E" w:rsidRPr="00820341">
        <w:rPr>
          <w:rFonts w:ascii="Arial Narrow" w:hAnsi="Arial Narrow"/>
          <w:b w:val="0"/>
          <w:color w:val="auto"/>
          <w:sz w:val="22"/>
          <w:szCs w:val="22"/>
          <w:lang w:val="en-US"/>
        </w:rPr>
        <w:t>modernized</w:t>
      </w:r>
      <w:proofErr w:type="gramEnd"/>
      <w:r w:rsidR="00CB193E" w:rsidRPr="00820341">
        <w:rPr>
          <w:rFonts w:ascii="Arial Narrow" w:hAnsi="Arial Narrow"/>
          <w:b w:val="0"/>
          <w:color w:val="auto"/>
          <w:sz w:val="22"/>
          <w:szCs w:val="22"/>
          <w:lang w:val="en-US"/>
        </w:rPr>
        <w:t xml:space="preserve"> and reindustrialized economy in Gauteng, manifesting decent work, economic inclusion and equity.</w:t>
      </w:r>
      <w:r w:rsidR="00527BEB" w:rsidRPr="00820341">
        <w:rPr>
          <w:rFonts w:ascii="Arial Narrow" w:hAnsi="Arial Narrow"/>
          <w:b w:val="0"/>
          <w:color w:val="auto"/>
          <w:sz w:val="22"/>
          <w:szCs w:val="22"/>
          <w:lang w:val="en-US"/>
        </w:rPr>
        <w:t xml:space="preserve"> This is achieved through the Department’s mission which is to ensure radical transformation, modernization and reindustrialization of the Gauteng economy; provide an enabling policy and legislative environment for equitable economic growth and development; develop and implement programmes and projects that will revitalize Gauteng’s township economies; build a new smart, green, knowledge-based economy and industries; ensure decent employment and inclusion in key economic sectors; facilitate radical economic transformation, modernization and reindustrialization; include the marginalized sectors of women, youth and persons with disabilities in mainstream economic activities; and establish appropriate partnerships for delivery and ensure the </w:t>
      </w:r>
      <w:r w:rsidR="000C3068">
        <w:rPr>
          <w:rFonts w:ascii="Arial Narrow" w:hAnsi="Arial Narrow"/>
          <w:b w:val="0"/>
          <w:color w:val="auto"/>
          <w:sz w:val="22"/>
          <w:szCs w:val="22"/>
          <w:lang w:val="en-US"/>
        </w:rPr>
        <w:t>Department</w:t>
      </w:r>
      <w:r w:rsidR="00527BEB" w:rsidRPr="00820341">
        <w:rPr>
          <w:rFonts w:ascii="Arial Narrow" w:hAnsi="Arial Narrow"/>
          <w:b w:val="0"/>
          <w:color w:val="auto"/>
          <w:sz w:val="22"/>
          <w:szCs w:val="22"/>
          <w:lang w:val="en-US"/>
        </w:rPr>
        <w:t xml:space="preserve"> effectively delivers on its mandate.</w:t>
      </w:r>
      <w:bookmarkEnd w:id="12"/>
    </w:p>
    <w:p w14:paraId="2E81815B" w14:textId="77777777" w:rsidR="00BC393B" w:rsidRPr="00820341" w:rsidRDefault="00BC393B" w:rsidP="00BC393B">
      <w:pPr>
        <w:spacing w:line="276" w:lineRule="auto"/>
        <w:rPr>
          <w:rFonts w:ascii="Arial Narrow" w:hAnsi="Arial Narrow"/>
        </w:rPr>
      </w:pPr>
    </w:p>
    <w:p w14:paraId="3CA0F216" w14:textId="36EA84A6" w:rsidR="00BC393B" w:rsidRPr="00820341" w:rsidRDefault="00BD5BCF" w:rsidP="00BC393B">
      <w:pPr>
        <w:spacing w:line="276" w:lineRule="auto"/>
        <w:rPr>
          <w:rFonts w:ascii="Arial Narrow" w:hAnsi="Arial Narrow"/>
        </w:rPr>
      </w:pPr>
      <w:r w:rsidRPr="00820341">
        <w:rPr>
          <w:rFonts w:ascii="Arial Narrow" w:hAnsi="Arial Narrow"/>
        </w:rPr>
        <w:t xml:space="preserve">In addition to this, the Gauteng Provincial Government has adopted the </w:t>
      </w:r>
      <w:r w:rsidR="0024051E" w:rsidRPr="00820341">
        <w:rPr>
          <w:rFonts w:ascii="Arial Narrow" w:hAnsi="Arial Narrow"/>
        </w:rPr>
        <w:t>10-pillar</w:t>
      </w:r>
      <w:r w:rsidRPr="00820341">
        <w:rPr>
          <w:rFonts w:ascii="Arial Narrow" w:hAnsi="Arial Narrow"/>
        </w:rPr>
        <w:t xml:space="preserve"> programme of Transformation, Modernization and Re-industrialization in order to ensure radical socio</w:t>
      </w:r>
      <w:r w:rsidR="00B12379">
        <w:rPr>
          <w:rFonts w:ascii="Arial Narrow" w:hAnsi="Arial Narrow"/>
        </w:rPr>
        <w:t>-</w:t>
      </w:r>
      <w:r w:rsidRPr="00820341">
        <w:rPr>
          <w:rFonts w:ascii="Arial Narrow" w:hAnsi="Arial Narrow"/>
        </w:rPr>
        <w:t xml:space="preserve">economic transformation in the </w:t>
      </w:r>
      <w:proofErr w:type="gramStart"/>
      <w:r w:rsidRPr="00820341">
        <w:rPr>
          <w:rFonts w:ascii="Arial Narrow" w:hAnsi="Arial Narrow"/>
        </w:rPr>
        <w:t>Province</w:t>
      </w:r>
      <w:proofErr w:type="gramEnd"/>
      <w:r w:rsidRPr="00820341">
        <w:rPr>
          <w:rFonts w:ascii="Arial Narrow" w:hAnsi="Arial Narrow"/>
        </w:rPr>
        <w:t xml:space="preserve">. The 10 pillars are as follows: Radical economic transformation; Decisive spatial transformation; Accelerated social transformation; Transformation of the state and governance; Modernisation of the public service; Modernisation of the economy; Modernisation of human settlements and urban development; Modernisation of public transport infrastructure; Re-industrialisation of Gauteng province and taking the lead in Africa’s new industrial revolution. </w:t>
      </w:r>
    </w:p>
    <w:p w14:paraId="0574124F" w14:textId="62CCDB85" w:rsidR="00BD5BCF" w:rsidRPr="00820341" w:rsidRDefault="00BD5BCF" w:rsidP="00BC393B">
      <w:pPr>
        <w:spacing w:line="276" w:lineRule="auto"/>
        <w:rPr>
          <w:rFonts w:ascii="Arial Narrow" w:hAnsi="Arial Narrow"/>
        </w:rPr>
      </w:pPr>
      <w:r w:rsidRPr="00820341">
        <w:rPr>
          <w:rFonts w:ascii="Arial Narrow" w:hAnsi="Arial Narrow"/>
        </w:rPr>
        <w:t xml:space="preserve">In order to ensure that the </w:t>
      </w:r>
      <w:r w:rsidR="0024051E" w:rsidRPr="00820341">
        <w:rPr>
          <w:rFonts w:ascii="Arial Narrow" w:hAnsi="Arial Narrow"/>
        </w:rPr>
        <w:t>10-pillar</w:t>
      </w:r>
      <w:r w:rsidRPr="00820341">
        <w:rPr>
          <w:rFonts w:ascii="Arial Narrow" w:hAnsi="Arial Narrow"/>
        </w:rPr>
        <w:t xml:space="preserve"> programme is achieved, the Department will ensure that the following outcomes are </w:t>
      </w:r>
      <w:proofErr w:type="gramStart"/>
      <w:r w:rsidRPr="00820341">
        <w:rPr>
          <w:rFonts w:ascii="Arial Narrow" w:hAnsi="Arial Narrow"/>
        </w:rPr>
        <w:t>achieved;</w:t>
      </w:r>
      <w:proofErr w:type="gramEnd"/>
      <w:r w:rsidRPr="00820341">
        <w:rPr>
          <w:rFonts w:ascii="Arial Narrow" w:hAnsi="Arial Narrow"/>
        </w:rPr>
        <w:t xml:space="preserve"> </w:t>
      </w:r>
    </w:p>
    <w:p w14:paraId="50EF0BC8" w14:textId="77777777" w:rsidR="00BD5BCF" w:rsidRPr="00820341" w:rsidRDefault="00BD5BCF" w:rsidP="00BD5BCF">
      <w:pPr>
        <w:pStyle w:val="Heading2"/>
        <w:spacing w:line="276" w:lineRule="auto"/>
        <w:rPr>
          <w:rFonts w:ascii="Arial Narrow" w:hAnsi="Arial Narrow"/>
          <w:b w:val="0"/>
          <w:color w:val="auto"/>
          <w:sz w:val="22"/>
          <w:szCs w:val="22"/>
        </w:rPr>
      </w:pPr>
      <w:bookmarkStart w:id="14" w:name="_Toc66876370"/>
      <w:r w:rsidRPr="00820341">
        <w:rPr>
          <w:rFonts w:ascii="Arial Narrow" w:hAnsi="Arial Narrow"/>
          <w:b w:val="0"/>
          <w:color w:val="auto"/>
          <w:sz w:val="22"/>
          <w:szCs w:val="22"/>
        </w:rPr>
        <w:t>•</w:t>
      </w:r>
      <w:r w:rsidRPr="00820341">
        <w:rPr>
          <w:rFonts w:ascii="Arial Narrow" w:hAnsi="Arial Narrow"/>
          <w:b w:val="0"/>
          <w:color w:val="auto"/>
          <w:sz w:val="22"/>
          <w:szCs w:val="22"/>
        </w:rPr>
        <w:tab/>
        <w:t xml:space="preserve">Outcome 4: Decent employment and inclusive economic </w:t>
      </w:r>
      <w:proofErr w:type="gramStart"/>
      <w:r w:rsidRPr="00820341">
        <w:rPr>
          <w:rFonts w:ascii="Arial Narrow" w:hAnsi="Arial Narrow"/>
          <w:b w:val="0"/>
          <w:color w:val="auto"/>
          <w:sz w:val="22"/>
          <w:szCs w:val="22"/>
        </w:rPr>
        <w:t>growth;</w:t>
      </w:r>
      <w:bookmarkEnd w:id="14"/>
      <w:proofErr w:type="gramEnd"/>
      <w:r w:rsidRPr="00820341">
        <w:rPr>
          <w:rFonts w:ascii="Arial Narrow" w:hAnsi="Arial Narrow"/>
          <w:b w:val="0"/>
          <w:color w:val="auto"/>
          <w:sz w:val="22"/>
          <w:szCs w:val="22"/>
        </w:rPr>
        <w:t xml:space="preserve"> </w:t>
      </w:r>
    </w:p>
    <w:p w14:paraId="7DA3E280" w14:textId="77777777" w:rsidR="00BD5BCF" w:rsidRPr="00820341" w:rsidRDefault="00BD5BCF" w:rsidP="00BD5BCF">
      <w:pPr>
        <w:pStyle w:val="Heading2"/>
        <w:spacing w:line="276" w:lineRule="auto"/>
        <w:rPr>
          <w:rFonts w:ascii="Arial Narrow" w:hAnsi="Arial Narrow"/>
          <w:b w:val="0"/>
          <w:color w:val="auto"/>
          <w:sz w:val="22"/>
          <w:szCs w:val="22"/>
        </w:rPr>
      </w:pPr>
      <w:bookmarkStart w:id="15" w:name="_Toc66876371"/>
      <w:r w:rsidRPr="00820341">
        <w:rPr>
          <w:rFonts w:ascii="Arial Narrow" w:hAnsi="Arial Narrow"/>
          <w:b w:val="0"/>
          <w:color w:val="auto"/>
          <w:sz w:val="22"/>
          <w:szCs w:val="22"/>
        </w:rPr>
        <w:t>•</w:t>
      </w:r>
      <w:r w:rsidRPr="00820341">
        <w:rPr>
          <w:rFonts w:ascii="Arial Narrow" w:hAnsi="Arial Narrow"/>
          <w:b w:val="0"/>
          <w:color w:val="auto"/>
          <w:sz w:val="22"/>
          <w:szCs w:val="22"/>
        </w:rPr>
        <w:tab/>
        <w:t xml:space="preserve">Outcome 5: An efficient, </w:t>
      </w:r>
      <w:proofErr w:type="gramStart"/>
      <w:r w:rsidRPr="00820341">
        <w:rPr>
          <w:rFonts w:ascii="Arial Narrow" w:hAnsi="Arial Narrow"/>
          <w:b w:val="0"/>
          <w:color w:val="auto"/>
          <w:sz w:val="22"/>
          <w:szCs w:val="22"/>
        </w:rPr>
        <w:t>competitive</w:t>
      </w:r>
      <w:proofErr w:type="gramEnd"/>
      <w:r w:rsidRPr="00820341">
        <w:rPr>
          <w:rFonts w:ascii="Arial Narrow" w:hAnsi="Arial Narrow"/>
          <w:b w:val="0"/>
          <w:color w:val="auto"/>
          <w:sz w:val="22"/>
          <w:szCs w:val="22"/>
        </w:rPr>
        <w:t xml:space="preserve"> and responsive economic infrastructure network; and</w:t>
      </w:r>
      <w:bookmarkEnd w:id="15"/>
      <w:r w:rsidRPr="00820341">
        <w:rPr>
          <w:rFonts w:ascii="Arial Narrow" w:hAnsi="Arial Narrow"/>
          <w:b w:val="0"/>
          <w:color w:val="auto"/>
          <w:sz w:val="22"/>
          <w:szCs w:val="22"/>
        </w:rPr>
        <w:t xml:space="preserve"> </w:t>
      </w:r>
    </w:p>
    <w:p w14:paraId="13354974" w14:textId="77777777" w:rsidR="00BC393B" w:rsidRPr="00820341" w:rsidRDefault="00BD5BCF" w:rsidP="00C93456">
      <w:pPr>
        <w:pStyle w:val="Heading2"/>
        <w:spacing w:line="276" w:lineRule="auto"/>
        <w:rPr>
          <w:rFonts w:ascii="Arial Narrow" w:hAnsi="Arial Narrow"/>
          <w:b w:val="0"/>
          <w:color w:val="auto"/>
          <w:sz w:val="22"/>
          <w:szCs w:val="22"/>
        </w:rPr>
      </w:pPr>
      <w:bookmarkStart w:id="16" w:name="_Toc66876372"/>
      <w:r w:rsidRPr="00820341">
        <w:rPr>
          <w:rFonts w:ascii="Arial Narrow" w:hAnsi="Arial Narrow"/>
          <w:b w:val="0"/>
          <w:color w:val="auto"/>
          <w:sz w:val="22"/>
          <w:szCs w:val="22"/>
        </w:rPr>
        <w:t>•</w:t>
      </w:r>
      <w:r w:rsidRPr="00820341">
        <w:rPr>
          <w:rFonts w:ascii="Arial Narrow" w:hAnsi="Arial Narrow"/>
          <w:b w:val="0"/>
          <w:color w:val="auto"/>
          <w:sz w:val="22"/>
          <w:szCs w:val="22"/>
        </w:rPr>
        <w:tab/>
        <w:t>Outcome 6 Skilled and capable workforce to support an inclusive growth path</w:t>
      </w:r>
      <w:bookmarkEnd w:id="16"/>
    </w:p>
    <w:p w14:paraId="7E4FB1D7" w14:textId="77777777" w:rsidR="00A765A1" w:rsidRPr="00820341" w:rsidRDefault="00C4583C" w:rsidP="00C93456">
      <w:pPr>
        <w:pStyle w:val="Heading2"/>
        <w:spacing w:line="276" w:lineRule="auto"/>
        <w:rPr>
          <w:rFonts w:ascii="Arial Narrow" w:hAnsi="Arial Narrow"/>
          <w:b w:val="0"/>
          <w:color w:val="auto"/>
          <w:sz w:val="22"/>
          <w:szCs w:val="22"/>
        </w:rPr>
      </w:pPr>
      <w:bookmarkStart w:id="17" w:name="_Toc66876373"/>
      <w:r w:rsidRPr="00820341">
        <w:rPr>
          <w:rFonts w:ascii="Arial Narrow" w:hAnsi="Arial Narrow"/>
          <w:b w:val="0"/>
          <w:color w:val="auto"/>
          <w:sz w:val="22"/>
          <w:szCs w:val="22"/>
        </w:rPr>
        <w:t>These outcomes are aimed at assisting the Department to achieve all</w:t>
      </w:r>
      <w:r w:rsidR="00A765A1" w:rsidRPr="00820341">
        <w:rPr>
          <w:rFonts w:ascii="Arial Narrow" w:hAnsi="Arial Narrow"/>
          <w:b w:val="0"/>
          <w:color w:val="auto"/>
          <w:sz w:val="22"/>
          <w:szCs w:val="22"/>
        </w:rPr>
        <w:t xml:space="preserve"> goals and objectives set through the New Growth Path (NGP) and the outcomes of the National Development Plan (NDP)</w:t>
      </w:r>
      <w:bookmarkEnd w:id="13"/>
      <w:bookmarkEnd w:id="17"/>
      <w:r w:rsidR="00A765A1" w:rsidRPr="00820341">
        <w:rPr>
          <w:rFonts w:ascii="Arial Narrow" w:hAnsi="Arial Narrow"/>
          <w:b w:val="0"/>
          <w:color w:val="auto"/>
          <w:sz w:val="22"/>
          <w:szCs w:val="22"/>
        </w:rPr>
        <w:t xml:space="preserve"> </w:t>
      </w:r>
    </w:p>
    <w:p w14:paraId="526688FA" w14:textId="77777777" w:rsidR="00ED6A67" w:rsidRPr="00820341" w:rsidRDefault="00490933" w:rsidP="00490933">
      <w:pPr>
        <w:tabs>
          <w:tab w:val="left" w:pos="1992"/>
        </w:tabs>
        <w:spacing w:line="276" w:lineRule="auto"/>
        <w:rPr>
          <w:rFonts w:ascii="Arial Narrow" w:hAnsi="Arial Narrow"/>
        </w:rPr>
      </w:pPr>
      <w:r w:rsidRPr="00820341">
        <w:rPr>
          <w:rFonts w:ascii="Arial Narrow" w:hAnsi="Arial Narrow"/>
        </w:rPr>
        <w:tab/>
      </w:r>
    </w:p>
    <w:p w14:paraId="42A1D309" w14:textId="77777777" w:rsidR="00ED6A67" w:rsidRPr="0079000E" w:rsidRDefault="00491448" w:rsidP="00C93456">
      <w:pPr>
        <w:spacing w:line="276" w:lineRule="auto"/>
        <w:rPr>
          <w:rFonts w:ascii="Arial Narrow" w:hAnsi="Arial Narrow"/>
        </w:rPr>
      </w:pPr>
      <w:r w:rsidRPr="00820341">
        <w:rPr>
          <w:rFonts w:ascii="Arial Narrow" w:hAnsi="Arial Narrow"/>
        </w:rPr>
        <w:t xml:space="preserve">The Committee is of the view that the Department is at the forefront of ensuring that decent and sustainable employment is created by the Department and all its entities. Facilitation of foreign and direct investments </w:t>
      </w:r>
      <w:r w:rsidR="007B5C11" w:rsidRPr="00820341">
        <w:rPr>
          <w:rFonts w:ascii="Arial Narrow" w:hAnsi="Arial Narrow"/>
        </w:rPr>
        <w:t>through the Gauteng Investment Centre will assist in achieving amongst others radical economic transformation and</w:t>
      </w:r>
      <w:r w:rsidR="00C4583C" w:rsidRPr="00820341">
        <w:rPr>
          <w:rFonts w:ascii="Arial Narrow" w:hAnsi="Arial Narrow"/>
        </w:rPr>
        <w:t xml:space="preserve"> the</w:t>
      </w:r>
      <w:r w:rsidR="007B5C11" w:rsidRPr="00820341">
        <w:rPr>
          <w:rFonts w:ascii="Arial Narrow" w:hAnsi="Arial Narrow"/>
        </w:rPr>
        <w:t xml:space="preserve"> </w:t>
      </w:r>
      <w:r w:rsidR="007B5C11" w:rsidRPr="00820341">
        <w:rPr>
          <w:rFonts w:ascii="Arial Narrow" w:hAnsi="Arial Narrow"/>
        </w:rPr>
        <w:lastRenderedPageBreak/>
        <w:t>modernisation of the economy.</w:t>
      </w:r>
      <w:r w:rsidR="00867DCA">
        <w:rPr>
          <w:rFonts w:ascii="Arial Narrow" w:hAnsi="Arial Narrow"/>
        </w:rPr>
        <w:t xml:space="preserve">  </w:t>
      </w:r>
      <w:r w:rsidR="0011384E">
        <w:rPr>
          <w:rFonts w:ascii="Arial Narrow" w:hAnsi="Arial Narrow"/>
        </w:rPr>
        <w:t xml:space="preserve">The Committee adopted recommendation that were geared towards assisting the Department support priorities adopted by Government. </w:t>
      </w:r>
    </w:p>
    <w:p w14:paraId="5529CF8B" w14:textId="77777777" w:rsidR="004B7663" w:rsidRPr="0079000E" w:rsidRDefault="00F34153" w:rsidP="00C93456">
      <w:pPr>
        <w:pStyle w:val="Heading2"/>
        <w:numPr>
          <w:ilvl w:val="0"/>
          <w:numId w:val="20"/>
        </w:numPr>
        <w:spacing w:line="276" w:lineRule="auto"/>
        <w:rPr>
          <w:rFonts w:ascii="Arial Narrow" w:hAnsi="Arial Narrow"/>
          <w:color w:val="auto"/>
          <w:sz w:val="22"/>
          <w:szCs w:val="22"/>
        </w:rPr>
      </w:pPr>
      <w:bookmarkStart w:id="18" w:name="_Toc402005064"/>
      <w:bookmarkStart w:id="19" w:name="_Toc66876374"/>
      <w:r w:rsidRPr="0079000E">
        <w:rPr>
          <w:rFonts w:ascii="Arial Narrow" w:hAnsi="Arial Narrow"/>
          <w:color w:val="auto"/>
          <w:sz w:val="22"/>
          <w:szCs w:val="22"/>
        </w:rPr>
        <w:t>Measurement of service delivery impact / Achievement</w:t>
      </w:r>
      <w:bookmarkEnd w:id="18"/>
      <w:bookmarkEnd w:id="19"/>
    </w:p>
    <w:p w14:paraId="400BE814" w14:textId="77777777" w:rsidR="007B5C11" w:rsidRPr="0079000E" w:rsidRDefault="007B5C11" w:rsidP="00C93456">
      <w:pPr>
        <w:spacing w:line="276" w:lineRule="auto"/>
        <w:rPr>
          <w:rFonts w:ascii="Arial Narrow" w:hAnsi="Arial Narrow"/>
        </w:rPr>
      </w:pPr>
    </w:p>
    <w:p w14:paraId="0F6022AD" w14:textId="3D791780" w:rsidR="00CF02AF" w:rsidRPr="00DB660A" w:rsidRDefault="007B5C11" w:rsidP="00C93456">
      <w:pPr>
        <w:spacing w:line="276" w:lineRule="auto"/>
        <w:rPr>
          <w:rFonts w:ascii="Arial Narrow" w:hAnsi="Arial Narrow" w:cs="Arial Narrow"/>
          <w:bCs/>
        </w:rPr>
      </w:pPr>
      <w:r w:rsidRPr="00DB660A">
        <w:rPr>
          <w:rFonts w:ascii="Arial Narrow" w:hAnsi="Arial Narrow" w:cs="Arial Narrow"/>
          <w:bCs/>
        </w:rPr>
        <w:t>In the year under</w:t>
      </w:r>
      <w:r w:rsidR="00C4583C" w:rsidRPr="00DB660A">
        <w:rPr>
          <w:rFonts w:ascii="Arial Narrow" w:hAnsi="Arial Narrow" w:cs="Arial Narrow"/>
          <w:bCs/>
        </w:rPr>
        <w:t xml:space="preserve"> review the Committee noted </w:t>
      </w:r>
      <w:r w:rsidRPr="00DB660A">
        <w:rPr>
          <w:rFonts w:ascii="Arial Narrow" w:hAnsi="Arial Narrow" w:cs="Arial Narrow"/>
          <w:bCs/>
        </w:rPr>
        <w:t>with c</w:t>
      </w:r>
      <w:r w:rsidR="00C4583C" w:rsidRPr="00DB660A">
        <w:rPr>
          <w:rFonts w:ascii="Arial Narrow" w:hAnsi="Arial Narrow" w:cs="Arial Narrow"/>
          <w:bCs/>
        </w:rPr>
        <w:t>oncern that job creation remained</w:t>
      </w:r>
      <w:r w:rsidRPr="00DB660A">
        <w:rPr>
          <w:rFonts w:ascii="Arial Narrow" w:hAnsi="Arial Narrow" w:cs="Arial Narrow"/>
          <w:bCs/>
        </w:rPr>
        <w:t xml:space="preserve"> a challenge</w:t>
      </w:r>
      <w:r w:rsidR="00CB44F0" w:rsidRPr="00DB660A">
        <w:rPr>
          <w:rFonts w:ascii="Arial Narrow" w:hAnsi="Arial Narrow" w:cs="Arial Narrow"/>
          <w:bCs/>
        </w:rPr>
        <w:t xml:space="preserve"> wherein the Committee was vocal in stating that the Department should create more permanent work opportunities. The </w:t>
      </w:r>
      <w:r w:rsidR="00D62A08" w:rsidRPr="00DB660A">
        <w:rPr>
          <w:rFonts w:ascii="Arial Narrow" w:hAnsi="Arial Narrow" w:cs="Arial Narrow"/>
          <w:bCs/>
        </w:rPr>
        <w:t>Committee urges the Department to</w:t>
      </w:r>
      <w:r w:rsidR="00BC59AC" w:rsidRPr="00DB660A">
        <w:rPr>
          <w:rFonts w:ascii="Arial Narrow" w:hAnsi="Arial Narrow" w:cs="Arial Narrow"/>
          <w:bCs/>
        </w:rPr>
        <w:t xml:space="preserve"> continuously strive to fill all vacant funded positions </w:t>
      </w:r>
      <w:r w:rsidR="00CF02AF" w:rsidRPr="00DB660A">
        <w:rPr>
          <w:rFonts w:ascii="Arial Narrow" w:hAnsi="Arial Narrow" w:cs="Arial Narrow"/>
          <w:bCs/>
        </w:rPr>
        <w:t>to</w:t>
      </w:r>
      <w:r w:rsidR="00BC59AC" w:rsidRPr="00DB660A">
        <w:rPr>
          <w:rFonts w:ascii="Arial Narrow" w:hAnsi="Arial Narrow" w:cs="Arial Narrow"/>
          <w:bCs/>
        </w:rPr>
        <w:t xml:space="preserve"> reduce the vacancy rate</w:t>
      </w:r>
      <w:r w:rsidR="00CB44F0" w:rsidRPr="00DB660A">
        <w:rPr>
          <w:rFonts w:ascii="Arial Narrow" w:hAnsi="Arial Narrow" w:cs="Arial Narrow"/>
          <w:bCs/>
        </w:rPr>
        <w:t xml:space="preserve"> in particular those positions that are strategic in nature</w:t>
      </w:r>
      <w:r w:rsidR="00BC59AC" w:rsidRPr="00DB660A">
        <w:rPr>
          <w:rFonts w:ascii="Arial Narrow" w:hAnsi="Arial Narrow" w:cs="Arial Narrow"/>
          <w:bCs/>
        </w:rPr>
        <w:t>.</w:t>
      </w:r>
      <w:r w:rsidR="00867DCA" w:rsidRPr="00DB660A">
        <w:rPr>
          <w:rFonts w:ascii="Arial Narrow" w:hAnsi="Arial Narrow" w:cs="Arial Narrow"/>
          <w:bCs/>
        </w:rPr>
        <w:t xml:space="preserve"> </w:t>
      </w:r>
      <w:r w:rsidR="00A92623" w:rsidRPr="00DB660A">
        <w:rPr>
          <w:rFonts w:ascii="Arial Narrow" w:hAnsi="Arial Narrow" w:cs="Arial Narrow"/>
          <w:bCs/>
        </w:rPr>
        <w:t xml:space="preserve">The misalignment between inputs and outputs with the Departmental programmes more particularly in entities </w:t>
      </w:r>
      <w:r w:rsidR="00CF02AF" w:rsidRPr="00DB660A">
        <w:rPr>
          <w:rFonts w:ascii="Arial Narrow" w:hAnsi="Arial Narrow" w:cs="Arial Narrow"/>
          <w:bCs/>
        </w:rPr>
        <w:t>remains</w:t>
      </w:r>
      <w:r w:rsidR="00D62A08" w:rsidRPr="00DB660A">
        <w:rPr>
          <w:rFonts w:ascii="Arial Narrow" w:hAnsi="Arial Narrow" w:cs="Arial Narrow"/>
          <w:bCs/>
        </w:rPr>
        <w:t xml:space="preserve"> a concern to the Committee.</w:t>
      </w:r>
      <w:r w:rsidR="00CF02AF" w:rsidRPr="00DB660A">
        <w:rPr>
          <w:rFonts w:ascii="Arial Narrow" w:hAnsi="Arial Narrow" w:cs="Arial Narrow"/>
          <w:bCs/>
        </w:rPr>
        <w:t xml:space="preserve"> In addition to this under expenditure remained a concern for the Committee. </w:t>
      </w:r>
    </w:p>
    <w:p w14:paraId="1E256BF0" w14:textId="77777777" w:rsidR="00CF02AF" w:rsidRPr="00DB660A" w:rsidRDefault="00CF02AF" w:rsidP="00C93456">
      <w:pPr>
        <w:spacing w:line="276" w:lineRule="auto"/>
        <w:rPr>
          <w:rFonts w:ascii="Arial Narrow" w:hAnsi="Arial Narrow" w:cs="Arial Narrow"/>
          <w:bCs/>
        </w:rPr>
      </w:pPr>
    </w:p>
    <w:p w14:paraId="4A100BAA" w14:textId="5B287FB9" w:rsidR="00CF02AF" w:rsidRDefault="00CF02AF" w:rsidP="00C93456">
      <w:pPr>
        <w:spacing w:line="276" w:lineRule="auto"/>
        <w:rPr>
          <w:rFonts w:ascii="Arial Narrow" w:hAnsi="Arial Narrow" w:cs="Arial Narrow"/>
          <w:bCs/>
        </w:rPr>
      </w:pPr>
      <w:r w:rsidRPr="00DB660A">
        <w:rPr>
          <w:rFonts w:ascii="Arial Narrow" w:hAnsi="Arial Narrow" w:cs="Arial Narrow"/>
          <w:bCs/>
        </w:rPr>
        <w:t>In the main, the bulk of the Department’s budget comprises of transfers made to the different agencies. This section outlines the general performance of agencies. Generally, it focusses on both the non-financial and financial performance of agencies. This led to the analysis of more comprehensive information on the performance of respective agencies for the annual report process. In essence, the availability of individual APPs as well as the quarterly reports of the various agencies allowed for a more thorough assessment.</w:t>
      </w:r>
    </w:p>
    <w:p w14:paraId="492A0487" w14:textId="77777777" w:rsidR="004B7663" w:rsidRPr="0079000E" w:rsidRDefault="004B7663"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20" w:name="_Toc66876375"/>
      <w:r w:rsidRPr="0079000E">
        <w:rPr>
          <w:rFonts w:ascii="Arial Narrow" w:hAnsi="Arial Narrow"/>
          <w:color w:val="auto"/>
          <w:sz w:val="22"/>
          <w:szCs w:val="22"/>
        </w:rPr>
        <w:t>OVERSIGHT</w:t>
      </w:r>
      <w:r w:rsidR="001D680E" w:rsidRPr="0079000E">
        <w:rPr>
          <w:rFonts w:ascii="Arial Narrow" w:hAnsi="Arial Narrow"/>
          <w:color w:val="auto"/>
          <w:sz w:val="22"/>
          <w:szCs w:val="22"/>
        </w:rPr>
        <w:t xml:space="preserve"> ON TECHNICAL </w:t>
      </w:r>
      <w:r w:rsidR="006C35FB" w:rsidRPr="0079000E">
        <w:rPr>
          <w:rFonts w:ascii="Arial Narrow" w:hAnsi="Arial Narrow"/>
          <w:color w:val="auto"/>
          <w:sz w:val="22"/>
          <w:szCs w:val="22"/>
        </w:rPr>
        <w:t>PERFORMANCE</w:t>
      </w:r>
      <w:bookmarkEnd w:id="20"/>
    </w:p>
    <w:p w14:paraId="6A7187A7" w14:textId="28D32D71" w:rsidR="00B12379" w:rsidRDefault="0016605E" w:rsidP="0002638A">
      <w:pPr>
        <w:tabs>
          <w:tab w:val="left" w:pos="2724"/>
        </w:tabs>
        <w:spacing w:line="276" w:lineRule="auto"/>
        <w:rPr>
          <w:rFonts w:ascii="Arial Narrow" w:hAnsi="Arial Narrow" w:cs="Arial Narrow"/>
          <w:bCs/>
        </w:rPr>
      </w:pPr>
      <w:r w:rsidRPr="0016605E">
        <w:rPr>
          <w:rFonts w:ascii="Arial Narrow" w:hAnsi="Arial Narrow" w:cs="Arial Narrow"/>
          <w:bCs/>
        </w:rPr>
        <w:tab/>
      </w:r>
    </w:p>
    <w:p w14:paraId="317618EE" w14:textId="7D0072EB" w:rsidR="004E285E" w:rsidRDefault="008A653D" w:rsidP="0065754E">
      <w:pPr>
        <w:spacing w:line="276" w:lineRule="auto"/>
        <w:rPr>
          <w:rFonts w:ascii="Arial Narrow" w:hAnsi="Arial Narrow" w:cs="Arial Narrow"/>
          <w:bCs/>
        </w:rPr>
      </w:pPr>
      <w:bookmarkStart w:id="21" w:name="_Hlk120104320"/>
      <w:r w:rsidRPr="0065754E">
        <w:rPr>
          <w:rFonts w:ascii="Arial Narrow" w:hAnsi="Arial Narrow" w:cs="Arial Narrow"/>
          <w:bCs/>
        </w:rPr>
        <w:t>In the year under review</w:t>
      </w:r>
      <w:r w:rsidR="00066886" w:rsidRPr="0065754E">
        <w:rPr>
          <w:rFonts w:ascii="Arial Narrow" w:hAnsi="Arial Narrow" w:cs="Arial Narrow"/>
          <w:bCs/>
        </w:rPr>
        <w:t>,</w:t>
      </w:r>
      <w:r w:rsidRPr="0065754E">
        <w:rPr>
          <w:rFonts w:ascii="Arial Narrow" w:hAnsi="Arial Narrow" w:cs="Arial Narrow"/>
          <w:bCs/>
        </w:rPr>
        <w:t xml:space="preserve"> the Department reported on targets related to the Department and those </w:t>
      </w:r>
      <w:r w:rsidR="00D03214">
        <w:rPr>
          <w:rFonts w:ascii="Arial Narrow" w:hAnsi="Arial Narrow" w:cs="Arial Narrow"/>
          <w:bCs/>
        </w:rPr>
        <w:t>which</w:t>
      </w:r>
      <w:r w:rsidR="00B01458">
        <w:rPr>
          <w:rFonts w:ascii="Arial Narrow" w:hAnsi="Arial Narrow" w:cs="Arial Narrow"/>
          <w:bCs/>
        </w:rPr>
        <w:t xml:space="preserve"> are</w:t>
      </w:r>
      <w:r w:rsidR="00D03214">
        <w:rPr>
          <w:rFonts w:ascii="Arial Narrow" w:hAnsi="Arial Narrow" w:cs="Arial Narrow"/>
          <w:bCs/>
        </w:rPr>
        <w:t xml:space="preserve"> </w:t>
      </w:r>
      <w:r w:rsidRPr="0065754E">
        <w:rPr>
          <w:rFonts w:ascii="Arial Narrow" w:hAnsi="Arial Narrow" w:cs="Arial Narrow"/>
          <w:bCs/>
        </w:rPr>
        <w:t>relate</w:t>
      </w:r>
      <w:r w:rsidR="00B01458">
        <w:rPr>
          <w:rFonts w:ascii="Arial Narrow" w:hAnsi="Arial Narrow" w:cs="Arial Narrow"/>
          <w:bCs/>
        </w:rPr>
        <w:t>d</w:t>
      </w:r>
      <w:r w:rsidRPr="0065754E">
        <w:rPr>
          <w:rFonts w:ascii="Arial Narrow" w:hAnsi="Arial Narrow" w:cs="Arial Narrow"/>
          <w:bCs/>
        </w:rPr>
        <w:t xml:space="preserve"> to entities</w:t>
      </w:r>
      <w:r w:rsidR="00B01458">
        <w:rPr>
          <w:rFonts w:ascii="Arial Narrow" w:hAnsi="Arial Narrow" w:cs="Arial Narrow"/>
          <w:bCs/>
        </w:rPr>
        <w:t xml:space="preserve"> as well</w:t>
      </w:r>
      <w:r w:rsidRPr="0065754E">
        <w:rPr>
          <w:rFonts w:ascii="Arial Narrow" w:hAnsi="Arial Narrow" w:cs="Arial Narrow"/>
          <w:bCs/>
        </w:rPr>
        <w:t xml:space="preserve">. </w:t>
      </w:r>
      <w:r w:rsidR="00066886" w:rsidRPr="0065754E">
        <w:rPr>
          <w:rFonts w:ascii="Arial Narrow" w:hAnsi="Arial Narrow" w:cs="Arial Narrow"/>
          <w:bCs/>
        </w:rPr>
        <w:t>Considering</w:t>
      </w:r>
      <w:r w:rsidRPr="0065754E">
        <w:rPr>
          <w:rFonts w:ascii="Arial Narrow" w:hAnsi="Arial Narrow" w:cs="Arial Narrow"/>
          <w:bCs/>
        </w:rPr>
        <w:t xml:space="preserve"> this,</w:t>
      </w:r>
      <w:r w:rsidR="00585995">
        <w:rPr>
          <w:rFonts w:ascii="Arial Narrow" w:hAnsi="Arial Narrow" w:cs="Arial Narrow"/>
          <w:bCs/>
        </w:rPr>
        <w:t xml:space="preserve"> in the year under review the Department</w:t>
      </w:r>
      <w:r w:rsidR="008070C9">
        <w:rPr>
          <w:rFonts w:ascii="Arial Narrow" w:hAnsi="Arial Narrow" w:cs="Arial Narrow"/>
          <w:bCs/>
        </w:rPr>
        <w:t xml:space="preserve"> attained 18 out 43 targets which translate to </w:t>
      </w:r>
      <w:r w:rsidR="00247256">
        <w:rPr>
          <w:rFonts w:ascii="Arial Narrow" w:hAnsi="Arial Narrow" w:cs="Arial Narrow"/>
          <w:bCs/>
        </w:rPr>
        <w:t xml:space="preserve">41.86%. </w:t>
      </w:r>
      <w:r w:rsidR="00AB794D">
        <w:rPr>
          <w:rFonts w:ascii="Arial Narrow" w:hAnsi="Arial Narrow" w:cs="Arial Narrow"/>
          <w:bCs/>
        </w:rPr>
        <w:t>I</w:t>
      </w:r>
      <w:r w:rsidR="00247256">
        <w:rPr>
          <w:rFonts w:ascii="Arial Narrow" w:hAnsi="Arial Narrow" w:cs="Arial Narrow"/>
          <w:bCs/>
        </w:rPr>
        <w:t>n terms of pe</w:t>
      </w:r>
      <w:r w:rsidR="00AB794D">
        <w:rPr>
          <w:rFonts w:ascii="Arial Narrow" w:hAnsi="Arial Narrow" w:cs="Arial Narrow"/>
          <w:bCs/>
        </w:rPr>
        <w:t>rcentage, the Depart</w:t>
      </w:r>
      <w:r w:rsidR="00F70EAF">
        <w:rPr>
          <w:rFonts w:ascii="Arial Narrow" w:hAnsi="Arial Narrow" w:cs="Arial Narrow"/>
          <w:bCs/>
        </w:rPr>
        <w:t xml:space="preserve">ment realized a decline noting that in the previous financial year </w:t>
      </w:r>
      <w:r w:rsidR="0045353A">
        <w:rPr>
          <w:rFonts w:ascii="Arial Narrow" w:hAnsi="Arial Narrow" w:cs="Arial Narrow"/>
          <w:bCs/>
        </w:rPr>
        <w:t>attained targets were at 67</w:t>
      </w:r>
      <w:r w:rsidR="00B227C6">
        <w:rPr>
          <w:rFonts w:ascii="Arial Narrow" w:hAnsi="Arial Narrow" w:cs="Arial Narrow"/>
          <w:bCs/>
        </w:rPr>
        <w:t>.</w:t>
      </w:r>
      <w:r w:rsidR="0045353A">
        <w:rPr>
          <w:rFonts w:ascii="Arial Narrow" w:hAnsi="Arial Narrow" w:cs="Arial Narrow"/>
          <w:bCs/>
        </w:rPr>
        <w:t>31%</w:t>
      </w:r>
      <w:r w:rsidR="00747BC1">
        <w:rPr>
          <w:rFonts w:ascii="Arial Narrow" w:hAnsi="Arial Narrow" w:cs="Arial Narrow"/>
          <w:bCs/>
        </w:rPr>
        <w:t xml:space="preserve">. </w:t>
      </w:r>
      <w:r w:rsidR="004E285E">
        <w:rPr>
          <w:rFonts w:ascii="Arial Narrow" w:hAnsi="Arial Narrow" w:cs="Arial Narrow"/>
          <w:bCs/>
        </w:rPr>
        <w:t xml:space="preserve">On the attainment of targets related to </w:t>
      </w:r>
      <w:r w:rsidR="00694E06">
        <w:rPr>
          <w:rFonts w:ascii="Arial Narrow" w:hAnsi="Arial Narrow" w:cs="Arial Narrow"/>
          <w:bCs/>
        </w:rPr>
        <w:t xml:space="preserve">entities, the performance varied as follows: </w:t>
      </w:r>
      <w:r w:rsidR="004E285E" w:rsidRPr="004E285E">
        <w:rPr>
          <w:rFonts w:ascii="Arial Narrow" w:hAnsi="Arial Narrow" w:cs="Arial Narrow"/>
          <w:bCs/>
        </w:rPr>
        <w:t>the Gauteng Tourism Authority (GTA) achieved 23 of 26 planned targets</w:t>
      </w:r>
      <w:r w:rsidR="00694E06">
        <w:rPr>
          <w:rFonts w:ascii="Arial Narrow" w:hAnsi="Arial Narrow" w:cs="Arial Narrow"/>
          <w:bCs/>
        </w:rPr>
        <w:t xml:space="preserve"> which translated to </w:t>
      </w:r>
      <w:r w:rsidR="004E285E" w:rsidRPr="004E285E">
        <w:rPr>
          <w:rFonts w:ascii="Arial Narrow" w:hAnsi="Arial Narrow" w:cs="Arial Narrow"/>
          <w:bCs/>
        </w:rPr>
        <w:t>88%</w:t>
      </w:r>
      <w:r w:rsidR="00694E06">
        <w:rPr>
          <w:rFonts w:ascii="Arial Narrow" w:hAnsi="Arial Narrow" w:cs="Arial Narrow"/>
          <w:bCs/>
        </w:rPr>
        <w:t xml:space="preserve">, </w:t>
      </w:r>
      <w:r w:rsidR="004E285E" w:rsidRPr="004E285E">
        <w:rPr>
          <w:rFonts w:ascii="Arial Narrow" w:hAnsi="Arial Narrow" w:cs="Arial Narrow"/>
          <w:bCs/>
        </w:rPr>
        <w:t xml:space="preserve">the Cradle of Humankind World Heritage Site (COHWHS) attained 11 of </w:t>
      </w:r>
      <w:r w:rsidR="00CE40F8">
        <w:rPr>
          <w:rFonts w:ascii="Arial Narrow" w:hAnsi="Arial Narrow" w:cs="Arial Narrow"/>
          <w:bCs/>
        </w:rPr>
        <w:t xml:space="preserve">the </w:t>
      </w:r>
      <w:r w:rsidR="004E285E" w:rsidRPr="004E285E">
        <w:rPr>
          <w:rFonts w:ascii="Arial Narrow" w:hAnsi="Arial Narrow" w:cs="Arial Narrow"/>
          <w:bCs/>
        </w:rPr>
        <w:t>13</w:t>
      </w:r>
      <w:r w:rsidR="00CE40F8">
        <w:rPr>
          <w:rFonts w:ascii="Arial Narrow" w:hAnsi="Arial Narrow" w:cs="Arial Narrow"/>
          <w:bCs/>
        </w:rPr>
        <w:t xml:space="preserve"> planned</w:t>
      </w:r>
      <w:r w:rsidR="004E285E" w:rsidRPr="004E285E">
        <w:rPr>
          <w:rFonts w:ascii="Arial Narrow" w:hAnsi="Arial Narrow" w:cs="Arial Narrow"/>
          <w:bCs/>
        </w:rPr>
        <w:t xml:space="preserve"> targets</w:t>
      </w:r>
      <w:r w:rsidR="00CE40F8">
        <w:rPr>
          <w:rFonts w:ascii="Arial Narrow" w:hAnsi="Arial Narrow" w:cs="Arial Narrow"/>
          <w:bCs/>
        </w:rPr>
        <w:t xml:space="preserve"> constituting </w:t>
      </w:r>
      <w:r w:rsidR="004E285E" w:rsidRPr="004E285E">
        <w:rPr>
          <w:rFonts w:ascii="Arial Narrow" w:hAnsi="Arial Narrow" w:cs="Arial Narrow"/>
          <w:bCs/>
        </w:rPr>
        <w:t xml:space="preserve">85%. </w:t>
      </w:r>
      <w:r w:rsidR="00CE40F8">
        <w:rPr>
          <w:rFonts w:ascii="Arial Narrow" w:hAnsi="Arial Narrow" w:cs="Arial Narrow"/>
          <w:bCs/>
        </w:rPr>
        <w:t xml:space="preserve">With respect to the </w:t>
      </w:r>
      <w:r w:rsidR="004E285E" w:rsidRPr="004E285E">
        <w:rPr>
          <w:rFonts w:ascii="Arial Narrow" w:hAnsi="Arial Narrow" w:cs="Arial Narrow"/>
          <w:bCs/>
        </w:rPr>
        <w:t>Gauteng Growth and Development Agency (GGDA)</w:t>
      </w:r>
      <w:r w:rsidR="00CE40F8">
        <w:rPr>
          <w:rFonts w:ascii="Arial Narrow" w:hAnsi="Arial Narrow" w:cs="Arial Narrow"/>
          <w:bCs/>
        </w:rPr>
        <w:t>, the entity</w:t>
      </w:r>
      <w:r w:rsidR="004E285E" w:rsidRPr="004E285E">
        <w:rPr>
          <w:rFonts w:ascii="Arial Narrow" w:hAnsi="Arial Narrow" w:cs="Arial Narrow"/>
          <w:bCs/>
        </w:rPr>
        <w:t xml:space="preserve"> </w:t>
      </w:r>
      <w:r w:rsidR="00CE40F8">
        <w:rPr>
          <w:rFonts w:ascii="Arial Narrow" w:hAnsi="Arial Narrow" w:cs="Arial Narrow"/>
          <w:bCs/>
        </w:rPr>
        <w:t>attained</w:t>
      </w:r>
      <w:r w:rsidR="004E285E" w:rsidRPr="004E285E">
        <w:rPr>
          <w:rFonts w:ascii="Arial Narrow" w:hAnsi="Arial Narrow" w:cs="Arial Narrow"/>
          <w:bCs/>
        </w:rPr>
        <w:t xml:space="preserve"> 61 of </w:t>
      </w:r>
      <w:r w:rsidR="00CE40F8">
        <w:rPr>
          <w:rFonts w:ascii="Arial Narrow" w:hAnsi="Arial Narrow" w:cs="Arial Narrow"/>
          <w:bCs/>
        </w:rPr>
        <w:t>the</w:t>
      </w:r>
      <w:r w:rsidR="004E285E" w:rsidRPr="004E285E">
        <w:rPr>
          <w:rFonts w:ascii="Arial Narrow" w:hAnsi="Arial Narrow" w:cs="Arial Narrow"/>
          <w:bCs/>
        </w:rPr>
        <w:t xml:space="preserve"> 75</w:t>
      </w:r>
      <w:r w:rsidR="00CE40F8">
        <w:rPr>
          <w:rFonts w:ascii="Arial Narrow" w:hAnsi="Arial Narrow" w:cs="Arial Narrow"/>
          <w:bCs/>
        </w:rPr>
        <w:t xml:space="preserve"> planned</w:t>
      </w:r>
      <w:r w:rsidR="004E285E" w:rsidRPr="004E285E">
        <w:rPr>
          <w:rFonts w:ascii="Arial Narrow" w:hAnsi="Arial Narrow" w:cs="Arial Narrow"/>
          <w:bCs/>
        </w:rPr>
        <w:t xml:space="preserve"> targets</w:t>
      </w:r>
      <w:r w:rsidR="00CE40F8">
        <w:rPr>
          <w:rFonts w:ascii="Arial Narrow" w:hAnsi="Arial Narrow" w:cs="Arial Narrow"/>
          <w:bCs/>
        </w:rPr>
        <w:t xml:space="preserve"> translating to </w:t>
      </w:r>
      <w:r w:rsidR="004E285E" w:rsidRPr="004E285E">
        <w:rPr>
          <w:rFonts w:ascii="Arial Narrow" w:hAnsi="Arial Narrow" w:cs="Arial Narrow"/>
          <w:bCs/>
        </w:rPr>
        <w:t>81%</w:t>
      </w:r>
      <w:r w:rsidR="00CE40F8">
        <w:rPr>
          <w:rFonts w:ascii="Arial Narrow" w:hAnsi="Arial Narrow" w:cs="Arial Narrow"/>
          <w:bCs/>
        </w:rPr>
        <w:t xml:space="preserve"> achievement</w:t>
      </w:r>
      <w:r w:rsidR="006C0356">
        <w:rPr>
          <w:rFonts w:ascii="Arial Narrow" w:hAnsi="Arial Narrow" w:cs="Arial Narrow"/>
          <w:bCs/>
        </w:rPr>
        <w:t>. T</w:t>
      </w:r>
      <w:r w:rsidR="004E285E" w:rsidRPr="004E285E">
        <w:rPr>
          <w:rFonts w:ascii="Arial Narrow" w:hAnsi="Arial Narrow" w:cs="Arial Narrow"/>
          <w:bCs/>
        </w:rPr>
        <w:t>he Gauteng Enterprise Propeller</w:t>
      </w:r>
      <w:r w:rsidR="006C0356">
        <w:rPr>
          <w:rFonts w:ascii="Arial Narrow" w:hAnsi="Arial Narrow" w:cs="Arial Narrow"/>
          <w:bCs/>
        </w:rPr>
        <w:t xml:space="preserve"> (GEP)</w:t>
      </w:r>
      <w:r w:rsidR="004E285E" w:rsidRPr="004E285E">
        <w:rPr>
          <w:rFonts w:ascii="Arial Narrow" w:hAnsi="Arial Narrow" w:cs="Arial Narrow"/>
          <w:bCs/>
        </w:rPr>
        <w:t xml:space="preserve"> attained 17 of its 20 targets</w:t>
      </w:r>
      <w:r w:rsidR="006C0356">
        <w:rPr>
          <w:rFonts w:ascii="Arial Narrow" w:hAnsi="Arial Narrow" w:cs="Arial Narrow"/>
          <w:bCs/>
        </w:rPr>
        <w:t xml:space="preserve"> constituting</w:t>
      </w:r>
      <w:r w:rsidR="004E285E" w:rsidRPr="004E285E">
        <w:rPr>
          <w:rFonts w:ascii="Arial Narrow" w:hAnsi="Arial Narrow" w:cs="Arial Narrow"/>
          <w:bCs/>
        </w:rPr>
        <w:t xml:space="preserve"> 85%</w:t>
      </w:r>
      <w:r w:rsidR="00A0146F">
        <w:rPr>
          <w:rFonts w:ascii="Arial Narrow" w:hAnsi="Arial Narrow" w:cs="Arial Narrow"/>
          <w:bCs/>
        </w:rPr>
        <w:t xml:space="preserve"> and the </w:t>
      </w:r>
      <w:r w:rsidR="004E285E" w:rsidRPr="004E285E">
        <w:rPr>
          <w:rFonts w:ascii="Arial Narrow" w:hAnsi="Arial Narrow" w:cs="Arial Narrow"/>
          <w:bCs/>
        </w:rPr>
        <w:t>Gauteng Gambling Board (GGB) achieved 18 of its 23</w:t>
      </w:r>
      <w:r w:rsidR="00A0146F">
        <w:rPr>
          <w:rFonts w:ascii="Arial Narrow" w:hAnsi="Arial Narrow" w:cs="Arial Narrow"/>
          <w:bCs/>
        </w:rPr>
        <w:t xml:space="preserve"> planned</w:t>
      </w:r>
      <w:r w:rsidR="004E285E" w:rsidRPr="004E285E">
        <w:rPr>
          <w:rFonts w:ascii="Arial Narrow" w:hAnsi="Arial Narrow" w:cs="Arial Narrow"/>
          <w:bCs/>
        </w:rPr>
        <w:t xml:space="preserve"> targets</w:t>
      </w:r>
      <w:r w:rsidR="00A0146F">
        <w:rPr>
          <w:rFonts w:ascii="Arial Narrow" w:hAnsi="Arial Narrow" w:cs="Arial Narrow"/>
          <w:bCs/>
        </w:rPr>
        <w:t xml:space="preserve"> reflecting</w:t>
      </w:r>
      <w:r w:rsidR="004E285E" w:rsidRPr="004E285E">
        <w:rPr>
          <w:rFonts w:ascii="Arial Narrow" w:hAnsi="Arial Narrow" w:cs="Arial Narrow"/>
          <w:bCs/>
        </w:rPr>
        <w:t xml:space="preserve"> 78%</w:t>
      </w:r>
      <w:r w:rsidR="00F43282">
        <w:rPr>
          <w:rFonts w:ascii="Arial Narrow" w:hAnsi="Arial Narrow" w:cs="Arial Narrow"/>
          <w:bCs/>
        </w:rPr>
        <w:t xml:space="preserve"> achievement </w:t>
      </w:r>
      <w:r w:rsidR="004E285E" w:rsidRPr="004E285E">
        <w:rPr>
          <w:rFonts w:ascii="Arial Narrow" w:hAnsi="Arial Narrow" w:cs="Arial Narrow"/>
          <w:bCs/>
        </w:rPr>
        <w:t xml:space="preserve">and </w:t>
      </w:r>
      <w:r w:rsidR="00F43282">
        <w:rPr>
          <w:rFonts w:ascii="Arial Narrow" w:hAnsi="Arial Narrow" w:cs="Arial Narrow"/>
          <w:bCs/>
        </w:rPr>
        <w:t>lastly the Tshwane Automotive Special Economic Zone (</w:t>
      </w:r>
      <w:r w:rsidR="004E285E" w:rsidRPr="004E285E">
        <w:rPr>
          <w:rFonts w:ascii="Arial Narrow" w:hAnsi="Arial Narrow" w:cs="Arial Narrow"/>
          <w:bCs/>
        </w:rPr>
        <w:t>TASEZ</w:t>
      </w:r>
      <w:r w:rsidR="00F43282">
        <w:rPr>
          <w:rFonts w:ascii="Arial Narrow" w:hAnsi="Arial Narrow" w:cs="Arial Narrow"/>
          <w:bCs/>
        </w:rPr>
        <w:t>)</w:t>
      </w:r>
      <w:r w:rsidR="004E285E" w:rsidRPr="004E285E">
        <w:rPr>
          <w:rFonts w:ascii="Arial Narrow" w:hAnsi="Arial Narrow" w:cs="Arial Narrow"/>
          <w:bCs/>
        </w:rPr>
        <w:t xml:space="preserve"> realised 7 out of 10 </w:t>
      </w:r>
      <w:r w:rsidR="00F43282">
        <w:rPr>
          <w:rFonts w:ascii="Arial Narrow" w:hAnsi="Arial Narrow" w:cs="Arial Narrow"/>
          <w:bCs/>
        </w:rPr>
        <w:t xml:space="preserve">planned </w:t>
      </w:r>
      <w:r w:rsidR="004E285E" w:rsidRPr="004E285E">
        <w:rPr>
          <w:rFonts w:ascii="Arial Narrow" w:hAnsi="Arial Narrow" w:cs="Arial Narrow"/>
          <w:bCs/>
        </w:rPr>
        <w:t xml:space="preserve">targets </w:t>
      </w:r>
      <w:r w:rsidR="00F43282">
        <w:rPr>
          <w:rFonts w:ascii="Arial Narrow" w:hAnsi="Arial Narrow" w:cs="Arial Narrow"/>
          <w:bCs/>
        </w:rPr>
        <w:t xml:space="preserve">translating to </w:t>
      </w:r>
      <w:r w:rsidR="004E285E" w:rsidRPr="004E285E">
        <w:rPr>
          <w:rFonts w:ascii="Arial Narrow" w:hAnsi="Arial Narrow" w:cs="Arial Narrow"/>
          <w:bCs/>
        </w:rPr>
        <w:t>70%.</w:t>
      </w:r>
    </w:p>
    <w:p w14:paraId="01348DFC" w14:textId="2AB91927" w:rsidR="000C4578" w:rsidRDefault="000C4578" w:rsidP="0065754E">
      <w:pPr>
        <w:spacing w:line="276" w:lineRule="auto"/>
        <w:rPr>
          <w:rFonts w:ascii="Arial Narrow" w:hAnsi="Arial Narrow" w:cs="Arial Narrow"/>
          <w:bCs/>
        </w:rPr>
      </w:pPr>
    </w:p>
    <w:p w14:paraId="5BD5696B" w14:textId="6EE8D4CF" w:rsidR="000C4578" w:rsidRPr="001106AA" w:rsidRDefault="000C4578" w:rsidP="0065754E">
      <w:pPr>
        <w:spacing w:line="276" w:lineRule="auto"/>
        <w:rPr>
          <w:rFonts w:ascii="Arial Narrow" w:hAnsi="Arial Narrow" w:cs="Arial Narrow"/>
          <w:bCs/>
        </w:rPr>
      </w:pPr>
      <w:r w:rsidRPr="001106AA">
        <w:rPr>
          <w:rFonts w:ascii="Arial Narrow" w:hAnsi="Arial Narrow" w:cs="Arial Narrow"/>
          <w:bCs/>
        </w:rPr>
        <w:t>The unattainment of targets by some of the entities remains a concern for the Committee especially in areas related to the support of</w:t>
      </w:r>
      <w:r w:rsidR="00F43282">
        <w:rPr>
          <w:rFonts w:ascii="Arial Narrow" w:hAnsi="Arial Narrow" w:cs="Arial Narrow"/>
          <w:bCs/>
        </w:rPr>
        <w:t xml:space="preserve"> small</w:t>
      </w:r>
      <w:r w:rsidRPr="001106AA">
        <w:rPr>
          <w:rFonts w:ascii="Arial Narrow" w:hAnsi="Arial Narrow" w:cs="Arial Narrow"/>
          <w:bCs/>
        </w:rPr>
        <w:t xml:space="preserve"> businesses, this includes as the finalization of infrastructure projects that </w:t>
      </w:r>
      <w:r w:rsidR="007D30D6" w:rsidRPr="001106AA">
        <w:rPr>
          <w:rFonts w:ascii="Arial Narrow" w:hAnsi="Arial Narrow" w:cs="Arial Narrow"/>
          <w:bCs/>
        </w:rPr>
        <w:t xml:space="preserve">are aimed at creating employment. The Committee </w:t>
      </w:r>
      <w:r w:rsidR="006F3FC3">
        <w:rPr>
          <w:rFonts w:ascii="Arial Narrow" w:hAnsi="Arial Narrow" w:cs="Arial Narrow"/>
          <w:bCs/>
        </w:rPr>
        <w:t xml:space="preserve">still reiterates that the </w:t>
      </w:r>
      <w:r w:rsidR="007D30D6" w:rsidRPr="001106AA">
        <w:rPr>
          <w:rFonts w:ascii="Arial Narrow" w:hAnsi="Arial Narrow" w:cs="Arial Narrow"/>
          <w:bCs/>
        </w:rPr>
        <w:t>agency oversight unit within the Department should</w:t>
      </w:r>
      <w:r w:rsidR="006F3FC3">
        <w:rPr>
          <w:rFonts w:ascii="Arial Narrow" w:hAnsi="Arial Narrow" w:cs="Arial Narrow"/>
          <w:bCs/>
        </w:rPr>
        <w:t xml:space="preserve"> be well capacitated and </w:t>
      </w:r>
      <w:r w:rsidR="007D30D6" w:rsidRPr="001106AA">
        <w:rPr>
          <w:rFonts w:ascii="Arial Narrow" w:hAnsi="Arial Narrow" w:cs="Arial Narrow"/>
          <w:bCs/>
        </w:rPr>
        <w:t>play a crucial role in ensuring that the agencies execute their mandate</w:t>
      </w:r>
      <w:r w:rsidR="00F623DD">
        <w:rPr>
          <w:rFonts w:ascii="Arial Narrow" w:hAnsi="Arial Narrow" w:cs="Arial Narrow"/>
          <w:bCs/>
        </w:rPr>
        <w:t xml:space="preserve"> in creating employment opportunities</w:t>
      </w:r>
      <w:r w:rsidR="007D30D6" w:rsidRPr="001106AA">
        <w:rPr>
          <w:rFonts w:ascii="Arial Narrow" w:hAnsi="Arial Narrow" w:cs="Arial Narrow"/>
          <w:bCs/>
        </w:rPr>
        <w:t xml:space="preserve">. </w:t>
      </w:r>
    </w:p>
    <w:p w14:paraId="03BE1A66" w14:textId="77777777" w:rsidR="004741B6" w:rsidRDefault="004741B6" w:rsidP="0065754E">
      <w:pPr>
        <w:spacing w:line="276" w:lineRule="auto"/>
        <w:rPr>
          <w:rFonts w:ascii="Arial Narrow" w:hAnsi="Arial Narrow" w:cs="Arial Narrow"/>
          <w:bCs/>
        </w:rPr>
      </w:pPr>
      <w:bookmarkStart w:id="22" w:name="_Toc402005066"/>
      <w:bookmarkEnd w:id="21"/>
    </w:p>
    <w:p w14:paraId="12B495E4" w14:textId="77777777" w:rsidR="00E934AA" w:rsidRDefault="00E934AA" w:rsidP="0065754E">
      <w:pPr>
        <w:spacing w:line="276" w:lineRule="auto"/>
        <w:rPr>
          <w:rFonts w:ascii="Arial Narrow" w:hAnsi="Arial Narrow" w:cs="Arial Narrow"/>
          <w:bCs/>
        </w:rPr>
      </w:pPr>
    </w:p>
    <w:p w14:paraId="1ECB8EC4" w14:textId="77777777" w:rsidR="00E934AA" w:rsidRDefault="00E934AA" w:rsidP="0065754E">
      <w:pPr>
        <w:spacing w:line="276" w:lineRule="auto"/>
        <w:rPr>
          <w:rFonts w:ascii="Arial Narrow" w:hAnsi="Arial Narrow" w:cs="Arial Narrow"/>
          <w:bCs/>
        </w:rPr>
      </w:pPr>
    </w:p>
    <w:p w14:paraId="746CA320" w14:textId="77777777" w:rsidR="00E934AA" w:rsidRDefault="00E934AA" w:rsidP="0065754E">
      <w:pPr>
        <w:spacing w:line="276" w:lineRule="auto"/>
        <w:rPr>
          <w:rFonts w:ascii="Arial Narrow" w:hAnsi="Arial Narrow" w:cs="Arial Narrow"/>
          <w:bCs/>
        </w:rPr>
      </w:pPr>
    </w:p>
    <w:p w14:paraId="4BA55C03" w14:textId="77777777" w:rsidR="00E934AA" w:rsidRDefault="00E934AA" w:rsidP="0065754E">
      <w:pPr>
        <w:spacing w:line="276" w:lineRule="auto"/>
        <w:rPr>
          <w:rFonts w:ascii="Arial Narrow" w:hAnsi="Arial Narrow" w:cs="Arial Narrow"/>
          <w:bCs/>
        </w:rPr>
      </w:pPr>
    </w:p>
    <w:p w14:paraId="05E8F5D1" w14:textId="77777777" w:rsidR="00E934AA" w:rsidRDefault="00E934AA" w:rsidP="0065754E">
      <w:pPr>
        <w:spacing w:line="276" w:lineRule="auto"/>
        <w:rPr>
          <w:rFonts w:ascii="Arial Narrow" w:hAnsi="Arial Narrow" w:cs="Arial Narrow"/>
          <w:bCs/>
        </w:rPr>
      </w:pPr>
    </w:p>
    <w:p w14:paraId="70D7B59C" w14:textId="77777777" w:rsidR="00E934AA" w:rsidRDefault="00E934AA" w:rsidP="0065754E">
      <w:pPr>
        <w:spacing w:line="276" w:lineRule="auto"/>
        <w:rPr>
          <w:rFonts w:ascii="Arial Narrow" w:hAnsi="Arial Narrow" w:cs="Arial Narrow"/>
          <w:bCs/>
        </w:rPr>
      </w:pPr>
    </w:p>
    <w:p w14:paraId="41A38BB5" w14:textId="77777777" w:rsidR="00E934AA" w:rsidRDefault="00E934AA" w:rsidP="0065754E">
      <w:pPr>
        <w:spacing w:line="276" w:lineRule="auto"/>
        <w:rPr>
          <w:rFonts w:ascii="Arial Narrow" w:hAnsi="Arial Narrow" w:cs="Arial Narrow"/>
          <w:bCs/>
        </w:rPr>
      </w:pPr>
    </w:p>
    <w:p w14:paraId="6324D6B5" w14:textId="77777777" w:rsidR="00E934AA" w:rsidRDefault="00E934AA" w:rsidP="0065754E">
      <w:pPr>
        <w:spacing w:line="276" w:lineRule="auto"/>
        <w:rPr>
          <w:rFonts w:ascii="Arial Narrow" w:hAnsi="Arial Narrow" w:cs="Arial Narrow"/>
          <w:bCs/>
        </w:rPr>
      </w:pPr>
    </w:p>
    <w:p w14:paraId="20433D72" w14:textId="77777777" w:rsidR="00E934AA" w:rsidRDefault="00E934AA" w:rsidP="0065754E">
      <w:pPr>
        <w:spacing w:line="276" w:lineRule="auto"/>
        <w:rPr>
          <w:rFonts w:ascii="Arial Narrow" w:hAnsi="Arial Narrow" w:cs="Arial Narrow"/>
          <w:bCs/>
        </w:rPr>
      </w:pPr>
    </w:p>
    <w:p w14:paraId="20945EB0" w14:textId="66DF2D06" w:rsidR="004B7663" w:rsidRPr="0079000E" w:rsidRDefault="006D0D1A" w:rsidP="0065754E">
      <w:pPr>
        <w:spacing w:line="276" w:lineRule="auto"/>
        <w:rPr>
          <w:rFonts w:ascii="Arial Narrow" w:hAnsi="Arial Narrow"/>
        </w:rPr>
      </w:pPr>
      <w:r w:rsidRPr="0079000E">
        <w:rPr>
          <w:rFonts w:ascii="Arial Narrow" w:hAnsi="Arial Narrow"/>
        </w:rPr>
        <w:lastRenderedPageBreak/>
        <w:t>Programme Information</w:t>
      </w:r>
      <w:bookmarkEnd w:id="22"/>
    </w:p>
    <w:p w14:paraId="770157D5" w14:textId="77777777" w:rsidR="00FE0B83" w:rsidRPr="0079000E" w:rsidRDefault="00FE0B83" w:rsidP="00C93456">
      <w:pPr>
        <w:spacing w:line="276" w:lineRule="auto"/>
        <w:ind w:left="426"/>
        <w:rPr>
          <w:rFonts w:ascii="Arial Narrow" w:hAnsi="Arial Narrow" w:cs="Arial Narrow"/>
          <w:bCs/>
          <w:i/>
          <w:color w:val="FF0000"/>
        </w:rPr>
      </w:pPr>
    </w:p>
    <w:p w14:paraId="099374AD" w14:textId="77777777" w:rsidR="00FE0B83" w:rsidRPr="00490933" w:rsidRDefault="00FE0B83" w:rsidP="00C93456">
      <w:pPr>
        <w:spacing w:line="276" w:lineRule="auto"/>
        <w:rPr>
          <w:rFonts w:ascii="Arial Narrow" w:hAnsi="Arial Narrow" w:cs="Arial Narrow"/>
          <w:b/>
          <w:bCs/>
        </w:rPr>
      </w:pPr>
      <w:r w:rsidRPr="0079000E">
        <w:rPr>
          <w:rFonts w:ascii="Arial Narrow" w:hAnsi="Arial Narrow" w:cs="Arial Narrow"/>
          <w:b/>
          <w:bCs/>
        </w:rPr>
        <w:t xml:space="preserve">PROGRAMME 1. Administration </w:t>
      </w:r>
    </w:p>
    <w:p w14:paraId="78EFD2B5" w14:textId="77777777" w:rsidR="00490933" w:rsidRDefault="00490933" w:rsidP="00C93456">
      <w:pPr>
        <w:spacing w:line="276" w:lineRule="auto"/>
        <w:rPr>
          <w:rFonts w:ascii="Arial Narrow" w:hAnsi="Arial Narrow" w:cs="Arial Narrow"/>
          <w:bCs/>
          <w:lang w:val="en-US"/>
        </w:rPr>
      </w:pPr>
    </w:p>
    <w:p w14:paraId="23735CFF" w14:textId="2199FC65" w:rsidR="00490933" w:rsidRDefault="00490933" w:rsidP="00C93456">
      <w:pPr>
        <w:spacing w:line="276" w:lineRule="auto"/>
        <w:rPr>
          <w:rFonts w:ascii="Arial Narrow" w:hAnsi="Arial Narrow" w:cs="Arial Narrow"/>
          <w:bCs/>
        </w:rPr>
      </w:pPr>
      <w:r w:rsidRPr="00490933">
        <w:rPr>
          <w:rFonts w:ascii="Arial Narrow" w:hAnsi="Arial Narrow" w:cs="Arial Narrow"/>
          <w:bCs/>
        </w:rPr>
        <w:t xml:space="preserve">The purpose of the programme is to provide strategic leadership, </w:t>
      </w:r>
      <w:proofErr w:type="gramStart"/>
      <w:r w:rsidRPr="00490933">
        <w:rPr>
          <w:rFonts w:ascii="Arial Narrow" w:hAnsi="Arial Narrow" w:cs="Arial Narrow"/>
          <w:bCs/>
        </w:rPr>
        <w:t>support</w:t>
      </w:r>
      <w:proofErr w:type="gramEnd"/>
      <w:r w:rsidRPr="00490933">
        <w:rPr>
          <w:rFonts w:ascii="Arial Narrow" w:hAnsi="Arial Narrow" w:cs="Arial Narrow"/>
          <w:bCs/>
        </w:rPr>
        <w:t xml:space="preserve"> and transversal business solutions to enable the MEC, HOD and the DED Group to effectively and efficiently deliver on its mandate. Its sub-programmes comprise of Office of the HOD, Office of the MEC, Financial Management, and </w:t>
      </w:r>
      <w:proofErr w:type="gramStart"/>
      <w:r w:rsidRPr="00490933">
        <w:rPr>
          <w:rFonts w:ascii="Arial Narrow" w:hAnsi="Arial Narrow" w:cs="Arial Narrow"/>
          <w:bCs/>
        </w:rPr>
        <w:t>Corporate</w:t>
      </w:r>
      <w:proofErr w:type="gramEnd"/>
      <w:r w:rsidRPr="00490933">
        <w:rPr>
          <w:rFonts w:ascii="Arial Narrow" w:hAnsi="Arial Narrow" w:cs="Arial Narrow"/>
          <w:bCs/>
        </w:rPr>
        <w:t xml:space="preserve"> support services.</w:t>
      </w:r>
    </w:p>
    <w:p w14:paraId="1BC36434" w14:textId="77777777" w:rsidR="00FE0B83" w:rsidRDefault="00FE0B83" w:rsidP="00C93456">
      <w:pPr>
        <w:spacing w:line="276" w:lineRule="auto"/>
        <w:rPr>
          <w:rFonts w:ascii="Arial Narrow" w:hAnsi="Arial Narrow" w:cs="Arial Narrow"/>
          <w:bCs/>
        </w:rPr>
      </w:pPr>
    </w:p>
    <w:p w14:paraId="18665243" w14:textId="550CE92D" w:rsidR="00E14021" w:rsidRDefault="00D12F5A" w:rsidP="0025384F">
      <w:pPr>
        <w:spacing w:line="276" w:lineRule="auto"/>
        <w:rPr>
          <w:rFonts w:ascii="Arial Narrow" w:hAnsi="Arial Narrow" w:cs="Arial Narrow"/>
          <w:bCs/>
        </w:rPr>
      </w:pPr>
      <w:r>
        <w:rPr>
          <w:rFonts w:ascii="Arial Narrow" w:hAnsi="Arial Narrow" w:cs="Arial Narrow"/>
          <w:bCs/>
        </w:rPr>
        <w:t>The Committee noted that the program</w:t>
      </w:r>
      <w:r w:rsidR="00555267">
        <w:rPr>
          <w:rFonts w:ascii="Arial Narrow" w:hAnsi="Arial Narrow" w:cs="Arial Narrow"/>
          <w:bCs/>
        </w:rPr>
        <w:t>me was allocated an amount of</w:t>
      </w:r>
      <w:r w:rsidR="00555267" w:rsidRPr="00555267">
        <w:t xml:space="preserve"> </w:t>
      </w:r>
      <w:r w:rsidR="00555267" w:rsidRPr="00555267">
        <w:rPr>
          <w:rFonts w:ascii="Arial Narrow" w:hAnsi="Arial Narrow" w:cs="Arial Narrow"/>
          <w:bCs/>
        </w:rPr>
        <w:t>R</w:t>
      </w:r>
      <w:r w:rsidR="00555267">
        <w:rPr>
          <w:rFonts w:ascii="Arial Narrow" w:hAnsi="Arial Narrow" w:cs="Arial Narrow"/>
          <w:bCs/>
        </w:rPr>
        <w:t xml:space="preserve"> </w:t>
      </w:r>
      <w:r w:rsidR="00E2638E">
        <w:rPr>
          <w:rFonts w:ascii="Arial Narrow" w:hAnsi="Arial Narrow" w:cs="Arial Narrow"/>
          <w:bCs/>
        </w:rPr>
        <w:t>254 051</w:t>
      </w:r>
      <w:r w:rsidR="00555267" w:rsidRPr="00555267">
        <w:rPr>
          <w:rFonts w:ascii="Arial Narrow" w:hAnsi="Arial Narrow" w:cs="Arial Narrow"/>
          <w:bCs/>
        </w:rPr>
        <w:t xml:space="preserve"> 000</w:t>
      </w:r>
      <w:r w:rsidR="00555267">
        <w:rPr>
          <w:rFonts w:ascii="Arial Narrow" w:hAnsi="Arial Narrow" w:cs="Arial Narrow"/>
          <w:bCs/>
        </w:rPr>
        <w:t xml:space="preserve"> (R</w:t>
      </w:r>
      <w:r w:rsidR="00E14021">
        <w:rPr>
          <w:rFonts w:ascii="Arial Narrow" w:hAnsi="Arial Narrow" w:cs="Arial Narrow"/>
          <w:bCs/>
        </w:rPr>
        <w:t>2</w:t>
      </w:r>
      <w:r w:rsidR="00980685">
        <w:rPr>
          <w:rFonts w:ascii="Arial Narrow" w:hAnsi="Arial Narrow" w:cs="Arial Narrow"/>
          <w:bCs/>
        </w:rPr>
        <w:t>5</w:t>
      </w:r>
      <w:r w:rsidR="001B44F1">
        <w:rPr>
          <w:rFonts w:ascii="Arial Narrow" w:hAnsi="Arial Narrow" w:cs="Arial Narrow"/>
          <w:bCs/>
        </w:rPr>
        <w:t>4</w:t>
      </w:r>
      <w:r>
        <w:rPr>
          <w:rFonts w:ascii="Arial Narrow" w:hAnsi="Arial Narrow" w:cs="Arial Narrow"/>
          <w:bCs/>
        </w:rPr>
        <w:t xml:space="preserve">m) in the year under review and spent an amount of </w:t>
      </w:r>
      <w:r w:rsidR="00555267" w:rsidRPr="00555267">
        <w:rPr>
          <w:rFonts w:ascii="Arial Narrow" w:hAnsi="Arial Narrow" w:cs="Arial Narrow"/>
          <w:bCs/>
        </w:rPr>
        <w:t>R</w:t>
      </w:r>
      <w:r w:rsidR="00555267">
        <w:rPr>
          <w:rFonts w:ascii="Arial Narrow" w:hAnsi="Arial Narrow" w:cs="Arial Narrow"/>
          <w:bCs/>
        </w:rPr>
        <w:t xml:space="preserve"> </w:t>
      </w:r>
      <w:r w:rsidR="001B44F1">
        <w:rPr>
          <w:rFonts w:ascii="Arial Narrow" w:hAnsi="Arial Narrow" w:cs="Arial Narrow"/>
          <w:bCs/>
        </w:rPr>
        <w:t>238 399</w:t>
      </w:r>
      <w:r w:rsidR="0002638A">
        <w:rPr>
          <w:rFonts w:ascii="Arial Narrow" w:hAnsi="Arial Narrow" w:cs="Arial Narrow"/>
          <w:bCs/>
        </w:rPr>
        <w:t xml:space="preserve"> 000</w:t>
      </w:r>
      <w:r w:rsidR="00555267">
        <w:rPr>
          <w:rFonts w:ascii="Arial Narrow" w:hAnsi="Arial Narrow" w:cs="Arial Narrow"/>
          <w:bCs/>
        </w:rPr>
        <w:t xml:space="preserve"> (R</w:t>
      </w:r>
      <w:r w:rsidR="00513A1E">
        <w:rPr>
          <w:rFonts w:ascii="Arial Narrow" w:hAnsi="Arial Narrow" w:cs="Arial Narrow"/>
          <w:bCs/>
        </w:rPr>
        <w:t>2</w:t>
      </w:r>
      <w:r w:rsidR="001B44F1">
        <w:rPr>
          <w:rFonts w:ascii="Arial Narrow" w:hAnsi="Arial Narrow" w:cs="Arial Narrow"/>
          <w:bCs/>
        </w:rPr>
        <w:t>38</w:t>
      </w:r>
      <w:r w:rsidR="00A2332A">
        <w:rPr>
          <w:rFonts w:ascii="Arial Narrow" w:hAnsi="Arial Narrow" w:cs="Arial Narrow"/>
          <w:bCs/>
        </w:rPr>
        <w:t>.</w:t>
      </w:r>
      <w:r w:rsidR="001B44F1">
        <w:rPr>
          <w:rFonts w:ascii="Arial Narrow" w:hAnsi="Arial Narrow" w:cs="Arial Narrow"/>
          <w:bCs/>
        </w:rPr>
        <w:t>3</w:t>
      </w:r>
      <w:r>
        <w:rPr>
          <w:rFonts w:ascii="Arial Narrow" w:hAnsi="Arial Narrow" w:cs="Arial Narrow"/>
          <w:bCs/>
        </w:rPr>
        <w:t xml:space="preserve">m) </w:t>
      </w:r>
      <w:r w:rsidR="00555267">
        <w:rPr>
          <w:rFonts w:ascii="Arial Narrow" w:hAnsi="Arial Narrow" w:cs="Arial Narrow"/>
          <w:bCs/>
        </w:rPr>
        <w:t xml:space="preserve">which constituted to </w:t>
      </w:r>
      <w:r w:rsidR="00A2332A">
        <w:rPr>
          <w:rFonts w:ascii="Arial Narrow" w:hAnsi="Arial Narrow" w:cs="Arial Narrow"/>
          <w:bCs/>
        </w:rPr>
        <w:t>9</w:t>
      </w:r>
      <w:r w:rsidR="00EB643D">
        <w:rPr>
          <w:rFonts w:ascii="Arial Narrow" w:hAnsi="Arial Narrow" w:cs="Arial Narrow"/>
          <w:bCs/>
        </w:rPr>
        <w:t>3</w:t>
      </w:r>
      <w:r w:rsidR="00A2332A">
        <w:rPr>
          <w:rFonts w:ascii="Arial Narrow" w:hAnsi="Arial Narrow" w:cs="Arial Narrow"/>
          <w:bCs/>
        </w:rPr>
        <w:t>.8</w:t>
      </w:r>
      <w:r w:rsidR="00EB643D">
        <w:rPr>
          <w:rFonts w:ascii="Arial Narrow" w:hAnsi="Arial Narrow" w:cs="Arial Narrow"/>
          <w:bCs/>
        </w:rPr>
        <w:t>4</w:t>
      </w:r>
      <w:r w:rsidR="00273B7E">
        <w:rPr>
          <w:rFonts w:ascii="Arial Narrow" w:hAnsi="Arial Narrow" w:cs="Arial Narrow"/>
          <w:bCs/>
        </w:rPr>
        <w:t>%</w:t>
      </w:r>
      <w:r w:rsidR="00EB643D">
        <w:rPr>
          <w:rFonts w:ascii="Arial Narrow" w:hAnsi="Arial Narrow" w:cs="Arial Narrow"/>
          <w:bCs/>
        </w:rPr>
        <w:t>. In this regard the programme per</w:t>
      </w:r>
      <w:r w:rsidR="00AE3474">
        <w:rPr>
          <w:rFonts w:ascii="Arial Narrow" w:hAnsi="Arial Narrow" w:cs="Arial Narrow"/>
          <w:bCs/>
        </w:rPr>
        <w:t xml:space="preserve">formed poorly financially as the underspending in this regarding </w:t>
      </w:r>
      <w:r w:rsidR="0021716E">
        <w:rPr>
          <w:rFonts w:ascii="Arial Narrow" w:hAnsi="Arial Narrow" w:cs="Arial Narrow"/>
          <w:bCs/>
        </w:rPr>
        <w:t>is over the 3% threshold as it on 6.16% amounting to R 15</w:t>
      </w:r>
      <w:r w:rsidR="00CD3FF4">
        <w:rPr>
          <w:rFonts w:ascii="Arial Narrow" w:hAnsi="Arial Narrow" w:cs="Arial Narrow"/>
          <w:bCs/>
        </w:rPr>
        <w:t> 652 000 (R 15.6m)</w:t>
      </w:r>
      <w:r w:rsidR="00F75A69">
        <w:rPr>
          <w:rFonts w:ascii="Arial Narrow" w:hAnsi="Arial Narrow" w:cs="Arial Narrow"/>
          <w:bCs/>
        </w:rPr>
        <w:t xml:space="preserve"> with only 2 out of the 4 planned targets attained. </w:t>
      </w:r>
    </w:p>
    <w:p w14:paraId="3254BA7F" w14:textId="230196D4" w:rsidR="00E14021" w:rsidRDefault="00E14021" w:rsidP="0025384F">
      <w:pPr>
        <w:spacing w:line="276" w:lineRule="auto"/>
        <w:rPr>
          <w:rFonts w:ascii="Arial Narrow" w:hAnsi="Arial Narrow" w:cs="Arial Narrow"/>
          <w:bCs/>
        </w:rPr>
      </w:pPr>
    </w:p>
    <w:p w14:paraId="5170A224" w14:textId="77777777" w:rsidR="00BF0CD6" w:rsidRDefault="00F75A69" w:rsidP="0025384F">
      <w:pPr>
        <w:spacing w:line="276" w:lineRule="auto"/>
        <w:rPr>
          <w:rFonts w:ascii="Arial Narrow" w:hAnsi="Arial Narrow" w:cs="Arial Narrow"/>
          <w:bCs/>
        </w:rPr>
      </w:pPr>
      <w:r>
        <w:rPr>
          <w:rFonts w:ascii="Arial Narrow" w:hAnsi="Arial Narrow" w:cs="Arial Narrow"/>
          <w:bCs/>
        </w:rPr>
        <w:t xml:space="preserve">In highlighting some of the key targets attained </w:t>
      </w:r>
      <w:r w:rsidR="00025A34">
        <w:rPr>
          <w:rFonts w:ascii="Arial Narrow" w:hAnsi="Arial Narrow" w:cs="Arial Narrow"/>
          <w:bCs/>
        </w:rPr>
        <w:t xml:space="preserve">relate to the 100% payment of </w:t>
      </w:r>
      <w:r w:rsidR="0082636A" w:rsidRPr="0082636A">
        <w:rPr>
          <w:rFonts w:ascii="Arial Narrow" w:hAnsi="Arial Narrow" w:cs="Arial Narrow"/>
          <w:bCs/>
        </w:rPr>
        <w:t>supplier invoices paid within 15 days and 41% procurement</w:t>
      </w:r>
      <w:r w:rsidR="00E9242B">
        <w:rPr>
          <w:rFonts w:ascii="Arial Narrow" w:hAnsi="Arial Narrow" w:cs="Arial Narrow"/>
          <w:bCs/>
        </w:rPr>
        <w:t xml:space="preserve"> spending on </w:t>
      </w:r>
      <w:r w:rsidR="0082636A" w:rsidRPr="0082636A">
        <w:rPr>
          <w:rFonts w:ascii="Arial Narrow" w:hAnsi="Arial Narrow" w:cs="Arial Narrow"/>
          <w:bCs/>
        </w:rPr>
        <w:t xml:space="preserve">women owned business spent </w:t>
      </w:r>
      <w:r w:rsidR="00E9242B">
        <w:rPr>
          <w:rFonts w:ascii="Arial Narrow" w:hAnsi="Arial Narrow" w:cs="Arial Narrow"/>
          <w:bCs/>
        </w:rPr>
        <w:t>wherein the target was set at</w:t>
      </w:r>
      <w:r w:rsidR="0082636A" w:rsidRPr="0082636A">
        <w:rPr>
          <w:rFonts w:ascii="Arial Narrow" w:hAnsi="Arial Narrow" w:cs="Arial Narrow"/>
          <w:bCs/>
        </w:rPr>
        <w:t xml:space="preserve"> 40%.</w:t>
      </w:r>
      <w:r w:rsidR="005E4154">
        <w:rPr>
          <w:rFonts w:ascii="Arial Narrow" w:hAnsi="Arial Narrow" w:cs="Arial Narrow"/>
          <w:bCs/>
        </w:rPr>
        <w:t xml:space="preserve"> In further outlining the number of women businesses supported, the Department indicated that it spent </w:t>
      </w:r>
      <w:r w:rsidR="005E4154" w:rsidRPr="005E4154">
        <w:rPr>
          <w:rFonts w:ascii="Arial Narrow" w:hAnsi="Arial Narrow" w:cs="Arial Narrow"/>
          <w:bCs/>
        </w:rPr>
        <w:t>R11 686</w:t>
      </w:r>
      <w:r w:rsidR="005E4154">
        <w:rPr>
          <w:rFonts w:ascii="Arial Narrow" w:hAnsi="Arial Narrow" w:cs="Arial Narrow"/>
          <w:bCs/>
        </w:rPr>
        <w:t> </w:t>
      </w:r>
      <w:r w:rsidR="005E4154" w:rsidRPr="005E4154">
        <w:rPr>
          <w:rFonts w:ascii="Arial Narrow" w:hAnsi="Arial Narrow" w:cs="Arial Narrow"/>
          <w:bCs/>
        </w:rPr>
        <w:t>721</w:t>
      </w:r>
      <w:r w:rsidR="005E4154">
        <w:rPr>
          <w:rFonts w:ascii="Arial Narrow" w:hAnsi="Arial Narrow" w:cs="Arial Narrow"/>
          <w:bCs/>
        </w:rPr>
        <w:t xml:space="preserve"> (</w:t>
      </w:r>
      <w:r w:rsidR="003B543C">
        <w:rPr>
          <w:rFonts w:ascii="Arial Narrow" w:hAnsi="Arial Narrow" w:cs="Arial Narrow"/>
          <w:bCs/>
        </w:rPr>
        <w:t>R11.6m)</w:t>
      </w:r>
      <w:r w:rsidR="005E4154" w:rsidRPr="005E4154">
        <w:rPr>
          <w:rFonts w:ascii="Arial Narrow" w:hAnsi="Arial Narrow" w:cs="Arial Narrow"/>
          <w:bCs/>
        </w:rPr>
        <w:t xml:space="preserve"> and 135 businesses benefited from</w:t>
      </w:r>
      <w:r w:rsidR="003B543C">
        <w:rPr>
          <w:rFonts w:ascii="Arial Narrow" w:hAnsi="Arial Narrow" w:cs="Arial Narrow"/>
          <w:bCs/>
        </w:rPr>
        <w:t xml:space="preserve"> the</w:t>
      </w:r>
      <w:r w:rsidR="005E4154" w:rsidRPr="005E4154">
        <w:rPr>
          <w:rFonts w:ascii="Arial Narrow" w:hAnsi="Arial Narrow" w:cs="Arial Narrow"/>
          <w:bCs/>
        </w:rPr>
        <w:t xml:space="preserve"> stipulated </w:t>
      </w:r>
      <w:proofErr w:type="gramStart"/>
      <w:r w:rsidR="005E4154" w:rsidRPr="005E4154">
        <w:rPr>
          <w:rFonts w:ascii="Arial Narrow" w:hAnsi="Arial Narrow" w:cs="Arial Narrow"/>
          <w:bCs/>
        </w:rPr>
        <w:t>amount</w:t>
      </w:r>
      <w:proofErr w:type="gramEnd"/>
      <w:r w:rsidR="00BF0CD6">
        <w:rPr>
          <w:rFonts w:ascii="Arial Narrow" w:hAnsi="Arial Narrow" w:cs="Arial Narrow"/>
          <w:bCs/>
        </w:rPr>
        <w:t xml:space="preserve"> and this included 66 township businesses.</w:t>
      </w:r>
    </w:p>
    <w:p w14:paraId="1F63A625" w14:textId="77777777" w:rsidR="00BF0CD6" w:rsidRDefault="00BF0CD6" w:rsidP="0025384F">
      <w:pPr>
        <w:spacing w:line="276" w:lineRule="auto"/>
        <w:rPr>
          <w:rFonts w:ascii="Arial Narrow" w:hAnsi="Arial Narrow" w:cs="Arial Narrow"/>
          <w:bCs/>
        </w:rPr>
      </w:pPr>
    </w:p>
    <w:p w14:paraId="7515691B" w14:textId="7346559E" w:rsidR="0082636A" w:rsidRDefault="00166248" w:rsidP="003B4CDB">
      <w:pPr>
        <w:spacing w:line="276" w:lineRule="auto"/>
        <w:rPr>
          <w:rFonts w:ascii="Arial Narrow" w:hAnsi="Arial Narrow" w:cs="Arial Narrow"/>
          <w:bCs/>
        </w:rPr>
      </w:pPr>
      <w:r>
        <w:rPr>
          <w:rFonts w:ascii="Arial Narrow" w:hAnsi="Arial Narrow" w:cs="Arial Narrow"/>
          <w:bCs/>
        </w:rPr>
        <w:t xml:space="preserve">The Committee noted that on the R200 000 000 </w:t>
      </w:r>
      <w:r w:rsidR="00B9668E">
        <w:rPr>
          <w:rFonts w:ascii="Arial Narrow" w:hAnsi="Arial Narrow" w:cs="Arial Narrow"/>
          <w:bCs/>
        </w:rPr>
        <w:t xml:space="preserve">(R200m) </w:t>
      </w:r>
      <w:r w:rsidR="003A0C95" w:rsidRPr="003A0C95">
        <w:rPr>
          <w:rFonts w:ascii="Arial Narrow" w:hAnsi="Arial Narrow" w:cs="Arial Narrow"/>
          <w:bCs/>
        </w:rPr>
        <w:t>rand value of resources leveraged through partnerships</w:t>
      </w:r>
      <w:r w:rsidR="001D6803">
        <w:rPr>
          <w:rFonts w:ascii="Arial Narrow" w:hAnsi="Arial Narrow" w:cs="Arial Narrow"/>
          <w:bCs/>
        </w:rPr>
        <w:t xml:space="preserve">, the Department </w:t>
      </w:r>
      <w:r w:rsidR="003A0C95" w:rsidRPr="003A0C95">
        <w:rPr>
          <w:rFonts w:ascii="Arial Narrow" w:hAnsi="Arial Narrow" w:cs="Arial Narrow"/>
          <w:bCs/>
        </w:rPr>
        <w:t>attained R29</w:t>
      </w:r>
      <w:r w:rsidR="001D6803">
        <w:rPr>
          <w:rFonts w:ascii="Arial Narrow" w:hAnsi="Arial Narrow" w:cs="Arial Narrow"/>
          <w:bCs/>
        </w:rPr>
        <w:t> </w:t>
      </w:r>
      <w:r w:rsidR="003A0C95" w:rsidRPr="003A0C95">
        <w:rPr>
          <w:rFonts w:ascii="Arial Narrow" w:hAnsi="Arial Narrow" w:cs="Arial Narrow"/>
          <w:bCs/>
        </w:rPr>
        <w:t>7</w:t>
      </w:r>
      <w:r w:rsidR="001D6803">
        <w:rPr>
          <w:rFonts w:ascii="Arial Narrow" w:hAnsi="Arial Narrow" w:cs="Arial Narrow"/>
          <w:bCs/>
        </w:rPr>
        <w:t>00 000 (R 29.7m)</w:t>
      </w:r>
      <w:r w:rsidR="003A0C95" w:rsidRPr="003A0C95">
        <w:rPr>
          <w:rFonts w:ascii="Arial Narrow" w:hAnsi="Arial Narrow" w:cs="Arial Narrow"/>
          <w:bCs/>
        </w:rPr>
        <w:t>.</w:t>
      </w:r>
      <w:r w:rsidR="00573F7C">
        <w:rPr>
          <w:rFonts w:ascii="Arial Narrow" w:hAnsi="Arial Narrow" w:cs="Arial Narrow"/>
          <w:bCs/>
        </w:rPr>
        <w:t xml:space="preserve"> Despite this, the Committee observed with concern that </w:t>
      </w:r>
      <w:r w:rsidR="00F524A0">
        <w:rPr>
          <w:rFonts w:ascii="Arial Narrow" w:hAnsi="Arial Narrow" w:cs="Arial Narrow"/>
          <w:bCs/>
        </w:rPr>
        <w:t>during the in</w:t>
      </w:r>
      <w:r w:rsidR="00986746">
        <w:rPr>
          <w:rFonts w:ascii="Arial Narrow" w:hAnsi="Arial Narrow" w:cs="Arial Narrow"/>
          <w:bCs/>
        </w:rPr>
        <w:t>-</w:t>
      </w:r>
      <w:r w:rsidR="00F524A0">
        <w:rPr>
          <w:rFonts w:ascii="Arial Narrow" w:hAnsi="Arial Narrow" w:cs="Arial Narrow"/>
          <w:bCs/>
        </w:rPr>
        <w:t>year monitoring process</w:t>
      </w:r>
      <w:r w:rsidR="007C2A8E">
        <w:rPr>
          <w:rFonts w:ascii="Arial Narrow" w:hAnsi="Arial Narrow" w:cs="Arial Narrow"/>
          <w:bCs/>
        </w:rPr>
        <w:t xml:space="preserve"> of the financial year in review</w:t>
      </w:r>
      <w:r w:rsidR="00487BFA">
        <w:rPr>
          <w:rFonts w:ascii="Arial Narrow" w:hAnsi="Arial Narrow" w:cs="Arial Narrow"/>
          <w:bCs/>
        </w:rPr>
        <w:t xml:space="preserve">, the Department reported that it managed to leverage </w:t>
      </w:r>
      <w:r w:rsidR="003A0C95" w:rsidRPr="003A0C95">
        <w:rPr>
          <w:rFonts w:ascii="Arial Narrow" w:hAnsi="Arial Narrow" w:cs="Arial Narrow"/>
          <w:bCs/>
        </w:rPr>
        <w:t>R</w:t>
      </w:r>
      <w:r w:rsidR="00487BFA">
        <w:rPr>
          <w:rFonts w:ascii="Arial Narrow" w:hAnsi="Arial Narrow" w:cs="Arial Narrow"/>
          <w:bCs/>
        </w:rPr>
        <w:t xml:space="preserve"> </w:t>
      </w:r>
      <w:r w:rsidR="003A0C95" w:rsidRPr="003A0C95">
        <w:rPr>
          <w:rFonts w:ascii="Arial Narrow" w:hAnsi="Arial Narrow" w:cs="Arial Narrow"/>
          <w:bCs/>
        </w:rPr>
        <w:t>68</w:t>
      </w:r>
      <w:r w:rsidR="00487BFA">
        <w:rPr>
          <w:rFonts w:ascii="Arial Narrow" w:hAnsi="Arial Narrow" w:cs="Arial Narrow"/>
          <w:bCs/>
        </w:rPr>
        <w:t> </w:t>
      </w:r>
      <w:r w:rsidR="003A0C95" w:rsidRPr="003A0C95">
        <w:rPr>
          <w:rFonts w:ascii="Arial Narrow" w:hAnsi="Arial Narrow" w:cs="Arial Narrow"/>
          <w:bCs/>
        </w:rPr>
        <w:t>8</w:t>
      </w:r>
      <w:r w:rsidR="00487BFA">
        <w:rPr>
          <w:rFonts w:ascii="Arial Narrow" w:hAnsi="Arial Narrow" w:cs="Arial Narrow"/>
          <w:bCs/>
        </w:rPr>
        <w:t>00 000 (R</w:t>
      </w:r>
      <w:r w:rsidR="007C2A8E">
        <w:rPr>
          <w:rFonts w:ascii="Arial Narrow" w:hAnsi="Arial Narrow" w:cs="Arial Narrow"/>
          <w:bCs/>
        </w:rPr>
        <w:t xml:space="preserve">68.8m) </w:t>
      </w:r>
      <w:r w:rsidR="003A0C95" w:rsidRPr="003A0C95">
        <w:rPr>
          <w:rFonts w:ascii="Arial Narrow" w:hAnsi="Arial Narrow" w:cs="Arial Narrow"/>
          <w:bCs/>
        </w:rPr>
        <w:t xml:space="preserve">from Pernod Ricard South Africa limited. </w:t>
      </w:r>
      <w:r w:rsidR="00A32882">
        <w:rPr>
          <w:rFonts w:ascii="Arial Narrow" w:hAnsi="Arial Narrow" w:cs="Arial Narrow"/>
          <w:bCs/>
        </w:rPr>
        <w:t>In response to this, the Department indicated that the R 29 700 000 (R2</w:t>
      </w:r>
      <w:r w:rsidR="00811BE4">
        <w:rPr>
          <w:rFonts w:ascii="Arial Narrow" w:hAnsi="Arial Narrow" w:cs="Arial Narrow"/>
          <w:bCs/>
        </w:rPr>
        <w:t>9.7m) were funds set aside by</w:t>
      </w:r>
      <w:r w:rsidR="003A0C95" w:rsidRPr="003A0C95">
        <w:rPr>
          <w:rFonts w:ascii="Arial Narrow" w:hAnsi="Arial Narrow" w:cs="Arial Narrow"/>
          <w:bCs/>
        </w:rPr>
        <w:t xml:space="preserve"> Pernod Ricard for the development of furniture makers that were part of the programme for the next 3 years</w:t>
      </w:r>
      <w:r w:rsidR="00FE14F1">
        <w:rPr>
          <w:rFonts w:ascii="Arial Narrow" w:hAnsi="Arial Narrow" w:cs="Arial Narrow"/>
          <w:bCs/>
        </w:rPr>
        <w:t xml:space="preserve">, this included </w:t>
      </w:r>
      <w:r w:rsidR="003A0C95" w:rsidRPr="003A0C95">
        <w:rPr>
          <w:rFonts w:ascii="Arial Narrow" w:hAnsi="Arial Narrow" w:cs="Arial Narrow"/>
          <w:bCs/>
        </w:rPr>
        <w:t>run</w:t>
      </w:r>
      <w:r w:rsidR="00FE14F1">
        <w:rPr>
          <w:rFonts w:ascii="Arial Narrow" w:hAnsi="Arial Narrow" w:cs="Arial Narrow"/>
          <w:bCs/>
        </w:rPr>
        <w:t>ning</w:t>
      </w:r>
      <w:r w:rsidR="003A0C95" w:rsidRPr="003A0C95">
        <w:rPr>
          <w:rFonts w:ascii="Arial Narrow" w:hAnsi="Arial Narrow" w:cs="Arial Narrow"/>
          <w:bCs/>
        </w:rPr>
        <w:t xml:space="preserve"> the P</w:t>
      </w:r>
      <w:r w:rsidR="004C4572">
        <w:rPr>
          <w:rFonts w:ascii="Arial Narrow" w:hAnsi="Arial Narrow" w:cs="Arial Narrow"/>
          <w:bCs/>
        </w:rPr>
        <w:t>h</w:t>
      </w:r>
      <w:r w:rsidR="003A0C95" w:rsidRPr="003A0C95">
        <w:rPr>
          <w:rFonts w:ascii="Arial Narrow" w:hAnsi="Arial Narrow" w:cs="Arial Narrow"/>
          <w:bCs/>
        </w:rPr>
        <w:t>akamisa Ispirit campaign that included a game show on e-tv and all advertising procured by Pernod Ricard to run the campaign that was for the furniture makers.</w:t>
      </w:r>
      <w:r w:rsidR="003B4CDB">
        <w:rPr>
          <w:rFonts w:ascii="Arial Narrow" w:hAnsi="Arial Narrow" w:cs="Arial Narrow"/>
          <w:bCs/>
        </w:rPr>
        <w:t xml:space="preserve"> In giving a breakdown of the </w:t>
      </w:r>
      <w:r w:rsidR="00B81927">
        <w:rPr>
          <w:rFonts w:ascii="Arial Narrow" w:hAnsi="Arial Narrow" w:cs="Arial Narrow"/>
          <w:bCs/>
        </w:rPr>
        <w:t xml:space="preserve">benefits of the project, </w:t>
      </w:r>
      <w:r w:rsidR="003B4CDB" w:rsidRPr="003B4CDB">
        <w:rPr>
          <w:rFonts w:ascii="Arial Narrow" w:hAnsi="Arial Narrow" w:cs="Arial Narrow"/>
          <w:bCs/>
        </w:rPr>
        <w:t>7 SMMEs</w:t>
      </w:r>
      <w:r w:rsidR="00B81927">
        <w:rPr>
          <w:rFonts w:ascii="Arial Narrow" w:hAnsi="Arial Narrow" w:cs="Arial Narrow"/>
          <w:bCs/>
        </w:rPr>
        <w:t xml:space="preserve"> </w:t>
      </w:r>
      <w:r w:rsidR="003B4CDB" w:rsidRPr="003B4CDB">
        <w:rPr>
          <w:rFonts w:ascii="Arial Narrow" w:hAnsi="Arial Narrow" w:cs="Arial Narrow"/>
          <w:bCs/>
        </w:rPr>
        <w:t>were provided</w:t>
      </w:r>
      <w:r w:rsidR="00B81927">
        <w:rPr>
          <w:rFonts w:ascii="Arial Narrow" w:hAnsi="Arial Narrow" w:cs="Arial Narrow"/>
          <w:bCs/>
        </w:rPr>
        <w:t xml:space="preserve"> with</w:t>
      </w:r>
      <w:r w:rsidR="003B4CDB" w:rsidRPr="003B4CDB">
        <w:rPr>
          <w:rFonts w:ascii="Arial Narrow" w:hAnsi="Arial Narrow" w:cs="Arial Narrow"/>
          <w:bCs/>
        </w:rPr>
        <w:t xml:space="preserve"> technical skills development training and </w:t>
      </w:r>
      <w:r w:rsidR="00B81927">
        <w:rPr>
          <w:rFonts w:ascii="Arial Narrow" w:hAnsi="Arial Narrow" w:cs="Arial Narrow"/>
          <w:bCs/>
        </w:rPr>
        <w:t>b</w:t>
      </w:r>
      <w:r w:rsidR="003B4CDB" w:rsidRPr="003B4CDB">
        <w:rPr>
          <w:rFonts w:ascii="Arial Narrow" w:hAnsi="Arial Narrow" w:cs="Arial Narrow"/>
          <w:bCs/>
        </w:rPr>
        <w:t>usiness development programmes</w:t>
      </w:r>
      <w:r w:rsidR="006E5C6F">
        <w:rPr>
          <w:rFonts w:ascii="Arial Narrow" w:hAnsi="Arial Narrow" w:cs="Arial Narrow"/>
          <w:bCs/>
        </w:rPr>
        <w:t xml:space="preserve">, furthermore </w:t>
      </w:r>
      <w:r w:rsidR="003B4CDB" w:rsidRPr="003B4CDB">
        <w:rPr>
          <w:rFonts w:ascii="Arial Narrow" w:hAnsi="Arial Narrow" w:cs="Arial Narrow"/>
          <w:bCs/>
        </w:rPr>
        <w:t>SMMEs were also provided with the operational space which includes the shared machinery and equipment</w:t>
      </w:r>
      <w:r w:rsidR="006E5C6F">
        <w:rPr>
          <w:rFonts w:ascii="Arial Narrow" w:hAnsi="Arial Narrow" w:cs="Arial Narrow"/>
          <w:bCs/>
        </w:rPr>
        <w:t xml:space="preserve">. </w:t>
      </w:r>
      <w:r w:rsidR="003B4CDB" w:rsidRPr="003B4CDB">
        <w:rPr>
          <w:rFonts w:ascii="Arial Narrow" w:hAnsi="Arial Narrow" w:cs="Arial Narrow"/>
          <w:bCs/>
        </w:rPr>
        <w:t>Market access for the SMME</w:t>
      </w:r>
      <w:r w:rsidR="006E5C6F">
        <w:rPr>
          <w:rFonts w:ascii="Arial Narrow" w:hAnsi="Arial Narrow" w:cs="Arial Narrow"/>
          <w:bCs/>
        </w:rPr>
        <w:t>’</w:t>
      </w:r>
      <w:r w:rsidR="003B4CDB" w:rsidRPr="003B4CDB">
        <w:rPr>
          <w:rFonts w:ascii="Arial Narrow" w:hAnsi="Arial Narrow" w:cs="Arial Narrow"/>
          <w:bCs/>
        </w:rPr>
        <w:t>s has been facilitated to the value of R 1 010</w:t>
      </w:r>
      <w:r w:rsidR="006E5C6F">
        <w:rPr>
          <w:rFonts w:ascii="Arial Narrow" w:hAnsi="Arial Narrow" w:cs="Arial Narrow"/>
          <w:bCs/>
        </w:rPr>
        <w:t> </w:t>
      </w:r>
      <w:r w:rsidR="003B4CDB" w:rsidRPr="003B4CDB">
        <w:rPr>
          <w:rFonts w:ascii="Arial Narrow" w:hAnsi="Arial Narrow" w:cs="Arial Narrow"/>
          <w:bCs/>
        </w:rPr>
        <w:t>000</w:t>
      </w:r>
      <w:r w:rsidR="006E5C6F">
        <w:rPr>
          <w:rFonts w:ascii="Arial Narrow" w:hAnsi="Arial Narrow" w:cs="Arial Narrow"/>
          <w:bCs/>
        </w:rPr>
        <w:t xml:space="preserve"> (R1m)</w:t>
      </w:r>
      <w:r w:rsidR="003B4CDB" w:rsidRPr="003B4CDB">
        <w:rPr>
          <w:rFonts w:ascii="Arial Narrow" w:hAnsi="Arial Narrow" w:cs="Arial Narrow"/>
          <w:bCs/>
        </w:rPr>
        <w:t xml:space="preserve"> as part of the Phakamisa Ispirit campaign; and</w:t>
      </w:r>
      <w:r w:rsidR="00051BD4">
        <w:rPr>
          <w:rFonts w:ascii="Arial Narrow" w:hAnsi="Arial Narrow" w:cs="Arial Narrow"/>
          <w:bCs/>
        </w:rPr>
        <w:t xml:space="preserve"> the Department has</w:t>
      </w:r>
      <w:r w:rsidR="003B4CDB" w:rsidRPr="003B4CDB">
        <w:rPr>
          <w:rFonts w:ascii="Arial Narrow" w:hAnsi="Arial Narrow" w:cs="Arial Narrow"/>
          <w:bCs/>
        </w:rPr>
        <w:t xml:space="preserve"> supported the Furniture programme by funding </w:t>
      </w:r>
      <w:r w:rsidR="00901F79">
        <w:rPr>
          <w:rFonts w:ascii="Arial Narrow" w:hAnsi="Arial Narrow" w:cs="Arial Narrow"/>
          <w:bCs/>
        </w:rPr>
        <w:t>t</w:t>
      </w:r>
      <w:r w:rsidR="003B4CDB" w:rsidRPr="003B4CDB">
        <w:rPr>
          <w:rFonts w:ascii="Arial Narrow" w:hAnsi="Arial Narrow" w:cs="Arial Narrow"/>
          <w:bCs/>
        </w:rPr>
        <w:t xml:space="preserve">echnical skills development and </w:t>
      </w:r>
      <w:r w:rsidR="00051BD4">
        <w:rPr>
          <w:rFonts w:ascii="Arial Narrow" w:hAnsi="Arial Narrow" w:cs="Arial Narrow"/>
          <w:bCs/>
        </w:rPr>
        <w:t>i</w:t>
      </w:r>
      <w:r w:rsidR="003B4CDB" w:rsidRPr="003B4CDB">
        <w:rPr>
          <w:rFonts w:ascii="Arial Narrow" w:hAnsi="Arial Narrow" w:cs="Arial Narrow"/>
          <w:bCs/>
        </w:rPr>
        <w:t>ncubation, where 33 Young people have been trained and 34 SMMEs have been incubated in the</w:t>
      </w:r>
      <w:r w:rsidR="00051BD4">
        <w:rPr>
          <w:rFonts w:ascii="Arial Narrow" w:hAnsi="Arial Narrow" w:cs="Arial Narrow"/>
          <w:bCs/>
        </w:rPr>
        <w:t xml:space="preserve"> </w:t>
      </w:r>
      <w:r w:rsidR="00136EF8">
        <w:rPr>
          <w:rFonts w:ascii="Arial Narrow" w:hAnsi="Arial Narrow" w:cs="Arial Narrow"/>
          <w:bCs/>
        </w:rPr>
        <w:t xml:space="preserve">year under review with </w:t>
      </w:r>
      <w:r w:rsidR="00901F79">
        <w:rPr>
          <w:rFonts w:ascii="Arial Narrow" w:hAnsi="Arial Narrow" w:cs="Arial Narrow"/>
          <w:bCs/>
        </w:rPr>
        <w:t>15 jobs created</w:t>
      </w:r>
      <w:r w:rsidR="003B4CDB" w:rsidRPr="003B4CDB">
        <w:rPr>
          <w:rFonts w:ascii="Arial Narrow" w:hAnsi="Arial Narrow" w:cs="Arial Narrow"/>
          <w:bCs/>
        </w:rPr>
        <w:t>.</w:t>
      </w:r>
    </w:p>
    <w:p w14:paraId="72AD2D8B" w14:textId="77777777" w:rsidR="003B4CDB" w:rsidRDefault="003B4CDB" w:rsidP="0025384F">
      <w:pPr>
        <w:spacing w:line="276" w:lineRule="auto"/>
        <w:rPr>
          <w:rFonts w:ascii="Arial Narrow" w:hAnsi="Arial Narrow" w:cs="Arial Narrow"/>
          <w:bCs/>
        </w:rPr>
      </w:pPr>
    </w:p>
    <w:p w14:paraId="4D67B0F3" w14:textId="26E570F6" w:rsidR="00856C3C" w:rsidRPr="00577AF8" w:rsidRDefault="00B153FC" w:rsidP="00BB06ED">
      <w:pPr>
        <w:spacing w:line="276" w:lineRule="auto"/>
        <w:rPr>
          <w:rFonts w:ascii="Arial Narrow" w:hAnsi="Arial Narrow" w:cs="Arial Narrow"/>
          <w:bCs/>
        </w:rPr>
      </w:pPr>
      <w:r>
        <w:rPr>
          <w:rFonts w:ascii="Arial Narrow" w:hAnsi="Arial Narrow" w:cs="Arial Narrow"/>
          <w:bCs/>
        </w:rPr>
        <w:t>Similarly</w:t>
      </w:r>
      <w:r w:rsidR="005B7B9A">
        <w:rPr>
          <w:rFonts w:ascii="Arial Narrow" w:hAnsi="Arial Narrow" w:cs="Arial Narrow"/>
          <w:bCs/>
        </w:rPr>
        <w:t>,</w:t>
      </w:r>
      <w:r>
        <w:rPr>
          <w:rFonts w:ascii="Arial Narrow" w:hAnsi="Arial Narrow" w:cs="Arial Narrow"/>
          <w:bCs/>
        </w:rPr>
        <w:t xml:space="preserve"> to the previous financial year </w:t>
      </w:r>
      <w:r w:rsidR="005B7B9A">
        <w:rPr>
          <w:rFonts w:ascii="Arial Narrow" w:hAnsi="Arial Narrow" w:cs="Arial Narrow"/>
          <w:bCs/>
        </w:rPr>
        <w:t>the Committee remains concerned about the</w:t>
      </w:r>
      <w:r w:rsidR="00A9702D">
        <w:rPr>
          <w:rFonts w:ascii="Arial Narrow" w:hAnsi="Arial Narrow" w:cs="Arial Narrow"/>
          <w:bCs/>
        </w:rPr>
        <w:t xml:space="preserve"> inability by the Department to finalize </w:t>
      </w:r>
      <w:r w:rsidR="00F03042">
        <w:rPr>
          <w:rFonts w:ascii="Arial Narrow" w:hAnsi="Arial Narrow" w:cs="Arial Narrow"/>
          <w:bCs/>
        </w:rPr>
        <w:t>the organizational structure</w:t>
      </w:r>
      <w:r w:rsidR="007454CB">
        <w:rPr>
          <w:rFonts w:ascii="Arial Narrow" w:hAnsi="Arial Narrow" w:cs="Arial Narrow"/>
          <w:bCs/>
        </w:rPr>
        <w:t xml:space="preserve"> as it has not been finalized. In responding to this, the </w:t>
      </w:r>
      <w:r w:rsidR="00CA2B86">
        <w:rPr>
          <w:rFonts w:ascii="Arial Narrow" w:hAnsi="Arial Narrow" w:cs="Arial Narrow"/>
          <w:bCs/>
        </w:rPr>
        <w:t xml:space="preserve">Department </w:t>
      </w:r>
      <w:r w:rsidR="00E113FE">
        <w:rPr>
          <w:rFonts w:ascii="Arial Narrow" w:hAnsi="Arial Narrow" w:cs="Arial Narrow"/>
          <w:bCs/>
        </w:rPr>
        <w:t xml:space="preserve">indicated that </w:t>
      </w:r>
      <w:r w:rsidR="002419FE">
        <w:rPr>
          <w:rFonts w:ascii="Arial Narrow" w:hAnsi="Arial Narrow" w:cs="Arial Narrow"/>
          <w:bCs/>
        </w:rPr>
        <w:t xml:space="preserve">a </w:t>
      </w:r>
      <w:r w:rsidR="00CA2B86" w:rsidRPr="00CA2B86">
        <w:rPr>
          <w:rFonts w:ascii="Arial Narrow" w:hAnsi="Arial Narrow" w:cs="Arial Narrow"/>
          <w:bCs/>
        </w:rPr>
        <w:t xml:space="preserve">thorough consultation process in the </w:t>
      </w:r>
      <w:r w:rsidR="002419FE">
        <w:rPr>
          <w:rFonts w:ascii="Arial Narrow" w:hAnsi="Arial Narrow" w:cs="Arial Narrow"/>
          <w:bCs/>
        </w:rPr>
        <w:t>D</w:t>
      </w:r>
      <w:r w:rsidR="00CA2B86" w:rsidRPr="00CA2B86">
        <w:rPr>
          <w:rFonts w:ascii="Arial Narrow" w:hAnsi="Arial Narrow" w:cs="Arial Narrow"/>
          <w:bCs/>
        </w:rPr>
        <w:t>epartment</w:t>
      </w:r>
      <w:r w:rsidR="002419FE">
        <w:rPr>
          <w:rFonts w:ascii="Arial Narrow" w:hAnsi="Arial Narrow" w:cs="Arial Narrow"/>
          <w:bCs/>
        </w:rPr>
        <w:t xml:space="preserve"> has taken </w:t>
      </w:r>
      <w:r w:rsidR="00154410">
        <w:rPr>
          <w:rFonts w:ascii="Arial Narrow" w:hAnsi="Arial Narrow" w:cs="Arial Narrow"/>
          <w:bCs/>
        </w:rPr>
        <w:t>place,</w:t>
      </w:r>
      <w:r w:rsidR="002419FE">
        <w:rPr>
          <w:rFonts w:ascii="Arial Narrow" w:hAnsi="Arial Narrow" w:cs="Arial Narrow"/>
          <w:bCs/>
        </w:rPr>
        <w:t xml:space="preserve"> and t</w:t>
      </w:r>
      <w:r w:rsidR="005A2AE7">
        <w:rPr>
          <w:rFonts w:ascii="Arial Narrow" w:hAnsi="Arial Narrow" w:cs="Arial Narrow"/>
          <w:bCs/>
        </w:rPr>
        <w:t>he</w:t>
      </w:r>
      <w:r w:rsidR="00CA2B86" w:rsidRPr="00CA2B86">
        <w:rPr>
          <w:rFonts w:ascii="Arial Narrow" w:hAnsi="Arial Narrow" w:cs="Arial Narrow"/>
          <w:bCs/>
        </w:rPr>
        <w:t xml:space="preserve"> proposed organisational structure has been costed and submitted to the Head of Department (HoD)</w:t>
      </w:r>
      <w:r w:rsidR="005A2AE7">
        <w:rPr>
          <w:rFonts w:ascii="Arial Narrow" w:hAnsi="Arial Narrow" w:cs="Arial Narrow"/>
          <w:bCs/>
        </w:rPr>
        <w:t xml:space="preserve"> for</w:t>
      </w:r>
      <w:r w:rsidR="00CA2B86" w:rsidRPr="00CA2B86">
        <w:rPr>
          <w:rFonts w:ascii="Arial Narrow" w:hAnsi="Arial Narrow" w:cs="Arial Narrow"/>
          <w:bCs/>
        </w:rPr>
        <w:t xml:space="preserve"> Gauteng Treasury for consideration. </w:t>
      </w:r>
      <w:r w:rsidR="00B11EBC">
        <w:rPr>
          <w:rFonts w:ascii="Arial Narrow" w:hAnsi="Arial Narrow" w:cs="Arial Narrow"/>
          <w:bCs/>
        </w:rPr>
        <w:t xml:space="preserve">Once </w:t>
      </w:r>
      <w:r w:rsidR="00CA2B86" w:rsidRPr="00CA2B86">
        <w:rPr>
          <w:rFonts w:ascii="Arial Narrow" w:hAnsi="Arial Narrow" w:cs="Arial Narrow"/>
          <w:bCs/>
        </w:rPr>
        <w:t xml:space="preserve">the HoD: Gauteng Treasury issues a budget certificate in line with the 2015 Directive on changes to the organisational structure, the MEC will formally consult with the Minister for Public Service and Administration (MPSA) through the Office of the Premier (OOP). Upon obtaining concurrence from the MPSA, the </w:t>
      </w:r>
      <w:r w:rsidR="00850331">
        <w:rPr>
          <w:rFonts w:ascii="Arial Narrow" w:hAnsi="Arial Narrow" w:cs="Arial Narrow"/>
          <w:bCs/>
        </w:rPr>
        <w:t>Department</w:t>
      </w:r>
      <w:r w:rsidR="00CA2B86" w:rsidRPr="00CA2B86">
        <w:rPr>
          <w:rFonts w:ascii="Arial Narrow" w:hAnsi="Arial Narrow" w:cs="Arial Narrow"/>
          <w:bCs/>
        </w:rPr>
        <w:t xml:space="preserve"> will implement the new organisational structure.</w:t>
      </w:r>
      <w:r w:rsidR="0054106E">
        <w:rPr>
          <w:rFonts w:ascii="Arial Narrow" w:hAnsi="Arial Narrow" w:cs="Arial Narrow"/>
          <w:bCs/>
        </w:rPr>
        <w:t xml:space="preserve"> </w:t>
      </w:r>
      <w:r w:rsidR="00003DD4">
        <w:rPr>
          <w:rFonts w:ascii="Arial Narrow" w:hAnsi="Arial Narrow" w:cs="Arial Narrow"/>
          <w:bCs/>
        </w:rPr>
        <w:t xml:space="preserve">The implementation of this structure has been an on-going challenge </w:t>
      </w:r>
      <w:r w:rsidR="00B54119">
        <w:rPr>
          <w:rFonts w:ascii="Arial Narrow" w:hAnsi="Arial Narrow" w:cs="Arial Narrow"/>
          <w:bCs/>
        </w:rPr>
        <w:t xml:space="preserve">for the Department for lengthy </w:t>
      </w:r>
      <w:r w:rsidR="00EF7498">
        <w:rPr>
          <w:rFonts w:ascii="Arial Narrow" w:hAnsi="Arial Narrow" w:cs="Arial Narrow"/>
          <w:bCs/>
        </w:rPr>
        <w:t>period</w:t>
      </w:r>
      <w:r w:rsidR="00B54119">
        <w:rPr>
          <w:rFonts w:ascii="Arial Narrow" w:hAnsi="Arial Narrow" w:cs="Arial Narrow"/>
          <w:bCs/>
        </w:rPr>
        <w:t xml:space="preserve"> and thus contributing to the </w:t>
      </w:r>
      <w:r w:rsidR="007A4D8F">
        <w:rPr>
          <w:rFonts w:ascii="Arial Narrow" w:eastAsia="Calibri" w:hAnsi="Arial Narrow" w:cs="Times New Roman"/>
          <w:lang w:val="en-GB"/>
        </w:rPr>
        <w:t xml:space="preserve">to the high vacancy rate </w:t>
      </w:r>
      <w:r w:rsidR="00577AF8">
        <w:rPr>
          <w:rFonts w:ascii="Arial Narrow" w:eastAsia="Calibri" w:hAnsi="Arial Narrow" w:cs="Times New Roman"/>
          <w:lang w:val="en-GB"/>
        </w:rPr>
        <w:t xml:space="preserve">which is </w:t>
      </w:r>
      <w:r w:rsidR="007A4D8F">
        <w:rPr>
          <w:rFonts w:ascii="Arial Narrow" w:eastAsia="Calibri" w:hAnsi="Arial Narrow" w:cs="Times New Roman"/>
          <w:lang w:val="en-GB"/>
        </w:rPr>
        <w:t xml:space="preserve">not only </w:t>
      </w:r>
      <w:r w:rsidR="007A4D8F" w:rsidRPr="007A4D8F">
        <w:rPr>
          <w:rFonts w:ascii="Arial Narrow" w:eastAsia="Calibri" w:hAnsi="Arial Narrow" w:cs="Times New Roman"/>
          <w:lang w:val="en-GB"/>
        </w:rPr>
        <w:t xml:space="preserve">limited to the SMS posts </w:t>
      </w:r>
      <w:r w:rsidR="007A4D8F">
        <w:rPr>
          <w:rFonts w:ascii="Arial Narrow" w:eastAsia="Calibri" w:hAnsi="Arial Narrow" w:cs="Times New Roman"/>
          <w:lang w:val="en-GB"/>
        </w:rPr>
        <w:t xml:space="preserve">but </w:t>
      </w:r>
      <w:r w:rsidR="007A4D8F" w:rsidRPr="007A4D8F">
        <w:rPr>
          <w:rFonts w:ascii="Arial Narrow" w:eastAsia="Calibri" w:hAnsi="Arial Narrow" w:cs="Times New Roman"/>
          <w:lang w:val="en-GB"/>
        </w:rPr>
        <w:t xml:space="preserve">the overall rate </w:t>
      </w:r>
      <w:r w:rsidR="00577AF8">
        <w:rPr>
          <w:rFonts w:ascii="Arial Narrow" w:eastAsia="Calibri" w:hAnsi="Arial Narrow" w:cs="Times New Roman"/>
          <w:lang w:val="en-GB"/>
        </w:rPr>
        <w:t>with</w:t>
      </w:r>
      <w:r w:rsidR="007A4D8F" w:rsidRPr="007A4D8F">
        <w:rPr>
          <w:rFonts w:ascii="Arial Narrow" w:eastAsia="Calibri" w:hAnsi="Arial Narrow" w:cs="Times New Roman"/>
          <w:lang w:val="en-GB"/>
        </w:rPr>
        <w:t>in the Department</w:t>
      </w:r>
      <w:r w:rsidR="00C71DFF">
        <w:rPr>
          <w:rFonts w:ascii="Arial Narrow" w:eastAsia="Calibri" w:hAnsi="Arial Narrow" w:cs="Times New Roman"/>
          <w:lang w:val="en-GB"/>
        </w:rPr>
        <w:t xml:space="preserve">. </w:t>
      </w:r>
      <w:r w:rsidR="007A4D8F" w:rsidRPr="007A4D8F">
        <w:rPr>
          <w:rFonts w:ascii="Arial Narrow" w:eastAsia="Calibri" w:hAnsi="Arial Narrow" w:cs="Times New Roman"/>
          <w:lang w:val="en-GB"/>
        </w:rPr>
        <w:t xml:space="preserve"> </w:t>
      </w:r>
    </w:p>
    <w:p w14:paraId="0BDA26A8" w14:textId="5D91DB3C" w:rsidR="008D1BAC" w:rsidRDefault="008D1BAC" w:rsidP="002B25FD">
      <w:pPr>
        <w:spacing w:line="276" w:lineRule="auto"/>
        <w:rPr>
          <w:rFonts w:ascii="Arial Narrow" w:hAnsi="Arial Narrow" w:cs="Arial Narrow"/>
          <w:bCs/>
        </w:rPr>
      </w:pPr>
    </w:p>
    <w:p w14:paraId="60E876EF" w14:textId="77777777" w:rsidR="00E934AA" w:rsidRDefault="00E934AA" w:rsidP="00C93456">
      <w:pPr>
        <w:spacing w:line="276" w:lineRule="auto"/>
        <w:rPr>
          <w:rFonts w:ascii="Arial Narrow" w:hAnsi="Arial Narrow" w:cs="Arial Narrow"/>
          <w:b/>
          <w:bCs/>
        </w:rPr>
      </w:pPr>
    </w:p>
    <w:p w14:paraId="749E9455" w14:textId="77777777" w:rsidR="00E934AA" w:rsidRDefault="00E934AA" w:rsidP="00C93456">
      <w:pPr>
        <w:spacing w:line="276" w:lineRule="auto"/>
        <w:rPr>
          <w:rFonts w:ascii="Arial Narrow" w:hAnsi="Arial Narrow" w:cs="Arial Narrow"/>
          <w:b/>
          <w:bCs/>
        </w:rPr>
      </w:pPr>
    </w:p>
    <w:p w14:paraId="53BF85A6" w14:textId="77777777" w:rsidR="00E934AA" w:rsidRDefault="00E934AA" w:rsidP="00C93456">
      <w:pPr>
        <w:spacing w:line="276" w:lineRule="auto"/>
        <w:rPr>
          <w:rFonts w:ascii="Arial Narrow" w:hAnsi="Arial Narrow" w:cs="Arial Narrow"/>
          <w:b/>
          <w:bCs/>
        </w:rPr>
      </w:pPr>
    </w:p>
    <w:p w14:paraId="769F68D3" w14:textId="77777777" w:rsidR="00E934AA" w:rsidRDefault="00E934AA" w:rsidP="00C93456">
      <w:pPr>
        <w:spacing w:line="276" w:lineRule="auto"/>
        <w:rPr>
          <w:rFonts w:ascii="Arial Narrow" w:hAnsi="Arial Narrow" w:cs="Arial Narrow"/>
          <w:b/>
          <w:bCs/>
        </w:rPr>
      </w:pPr>
    </w:p>
    <w:p w14:paraId="029FCA24" w14:textId="77777777" w:rsidR="00E934AA" w:rsidRDefault="00E934AA" w:rsidP="00C93456">
      <w:pPr>
        <w:spacing w:line="276" w:lineRule="auto"/>
        <w:rPr>
          <w:rFonts w:ascii="Arial Narrow" w:hAnsi="Arial Narrow" w:cs="Arial Narrow"/>
          <w:b/>
          <w:bCs/>
        </w:rPr>
      </w:pPr>
    </w:p>
    <w:p w14:paraId="4B09C236" w14:textId="5C855878" w:rsidR="00FE0B83" w:rsidRPr="0079000E" w:rsidRDefault="00FE0B83" w:rsidP="00C93456">
      <w:pPr>
        <w:spacing w:line="276" w:lineRule="auto"/>
        <w:rPr>
          <w:rFonts w:ascii="Arial Narrow" w:hAnsi="Arial Narrow" w:cs="Arial Narrow"/>
          <w:b/>
          <w:bCs/>
        </w:rPr>
      </w:pPr>
      <w:r w:rsidRPr="0079000E">
        <w:rPr>
          <w:rFonts w:ascii="Arial Narrow" w:hAnsi="Arial Narrow" w:cs="Arial Narrow"/>
          <w:b/>
          <w:bCs/>
        </w:rPr>
        <w:t>PROGRAMME 2. Integrated Economic Development Services</w:t>
      </w:r>
    </w:p>
    <w:p w14:paraId="506C80E3" w14:textId="77777777" w:rsidR="00FE0B83" w:rsidRPr="0079000E" w:rsidRDefault="00FE0B83" w:rsidP="00C93456">
      <w:pPr>
        <w:spacing w:line="276" w:lineRule="auto"/>
        <w:rPr>
          <w:rFonts w:ascii="Arial Narrow" w:hAnsi="Arial Narrow" w:cs="Arial Narrow"/>
          <w:b/>
          <w:bCs/>
        </w:rPr>
      </w:pPr>
    </w:p>
    <w:p w14:paraId="6D995430" w14:textId="226B7303" w:rsidR="00AA0371" w:rsidRDefault="00AA0371" w:rsidP="00C93456">
      <w:pPr>
        <w:spacing w:line="276" w:lineRule="auto"/>
        <w:rPr>
          <w:rFonts w:ascii="Arial Narrow" w:hAnsi="Arial Narrow" w:cs="Arial Narrow"/>
          <w:bCs/>
          <w:lang w:val="en-US"/>
        </w:rPr>
      </w:pPr>
      <w:r w:rsidRPr="00AA0371">
        <w:rPr>
          <w:rFonts w:ascii="Arial Narrow" w:hAnsi="Arial Narrow" w:cs="Arial Narrow"/>
          <w:bCs/>
          <w:lang w:val="en-US"/>
        </w:rPr>
        <w:t xml:space="preserve">The purpose of this programme is to ensure radical transformation that addresses the triple policy imperatives of decent work, inclusive </w:t>
      </w:r>
      <w:proofErr w:type="gramStart"/>
      <w:r w:rsidRPr="00AA0371">
        <w:rPr>
          <w:rFonts w:ascii="Arial Narrow" w:hAnsi="Arial Narrow" w:cs="Arial Narrow"/>
          <w:bCs/>
          <w:lang w:val="en-US"/>
        </w:rPr>
        <w:t>economy</w:t>
      </w:r>
      <w:proofErr w:type="gramEnd"/>
      <w:r w:rsidRPr="00AA0371">
        <w:rPr>
          <w:rFonts w:ascii="Arial Narrow" w:hAnsi="Arial Narrow" w:cs="Arial Narrow"/>
          <w:bCs/>
          <w:lang w:val="en-US"/>
        </w:rPr>
        <w:t xml:space="preserve"> and equality. The programme’s objective is to develop a new, smart, </w:t>
      </w:r>
      <w:r w:rsidR="00372ED9" w:rsidRPr="00AA0371">
        <w:rPr>
          <w:rFonts w:ascii="Arial Narrow" w:hAnsi="Arial Narrow" w:cs="Arial Narrow"/>
          <w:bCs/>
          <w:lang w:val="en-US"/>
        </w:rPr>
        <w:t>knowledge-based</w:t>
      </w:r>
      <w:r w:rsidRPr="00AA0371">
        <w:rPr>
          <w:rFonts w:ascii="Arial Narrow" w:hAnsi="Arial Narrow" w:cs="Arial Narrow"/>
          <w:bCs/>
          <w:lang w:val="en-US"/>
        </w:rPr>
        <w:t xml:space="preserve"> economy and industries that are responsive to the triple policy imperatives of job creation, an inclusive economy and equality, and that fosters competitiven</w:t>
      </w:r>
      <w:r>
        <w:rPr>
          <w:rFonts w:ascii="Arial Narrow" w:hAnsi="Arial Narrow" w:cs="Arial Narrow"/>
          <w:bCs/>
          <w:lang w:val="en-US"/>
        </w:rPr>
        <w:t xml:space="preserve">ess. </w:t>
      </w:r>
    </w:p>
    <w:p w14:paraId="2E3F9978" w14:textId="77777777" w:rsidR="008E5A81" w:rsidRDefault="008E5A81" w:rsidP="00C93456">
      <w:pPr>
        <w:spacing w:line="276" w:lineRule="auto"/>
        <w:rPr>
          <w:rFonts w:ascii="Arial Narrow" w:hAnsi="Arial Narrow" w:cs="Arial Narrow"/>
          <w:bCs/>
          <w:lang w:val="en-US"/>
        </w:rPr>
      </w:pPr>
    </w:p>
    <w:p w14:paraId="58EF56F3" w14:textId="77777777" w:rsidR="002831F4" w:rsidRDefault="004C476A" w:rsidP="00C93456">
      <w:pPr>
        <w:spacing w:line="276" w:lineRule="auto"/>
        <w:rPr>
          <w:rFonts w:ascii="Arial Narrow" w:hAnsi="Arial Narrow" w:cs="Arial Narrow"/>
          <w:bCs/>
        </w:rPr>
      </w:pPr>
      <w:r w:rsidRPr="002803B2">
        <w:rPr>
          <w:rFonts w:ascii="Arial Narrow" w:hAnsi="Arial Narrow" w:cs="Arial Narrow"/>
          <w:bCs/>
        </w:rPr>
        <w:t>Under this programme, two</w:t>
      </w:r>
      <w:r w:rsidR="0017572A" w:rsidRPr="002803B2">
        <w:rPr>
          <w:rFonts w:ascii="Arial Narrow" w:hAnsi="Arial Narrow" w:cs="Arial Narrow"/>
          <w:bCs/>
        </w:rPr>
        <w:t xml:space="preserve"> agencies are housed namely: the Gauteng Growth and De</w:t>
      </w:r>
      <w:r w:rsidRPr="002803B2">
        <w:rPr>
          <w:rFonts w:ascii="Arial Narrow" w:hAnsi="Arial Narrow" w:cs="Arial Narrow"/>
          <w:bCs/>
        </w:rPr>
        <w:t xml:space="preserve">velopment Agency (GGDA) </w:t>
      </w:r>
      <w:r w:rsidR="0017572A" w:rsidRPr="002803B2">
        <w:rPr>
          <w:rFonts w:ascii="Arial Narrow" w:hAnsi="Arial Narrow" w:cs="Arial Narrow"/>
          <w:bCs/>
        </w:rPr>
        <w:t>and the Gauteng Enterprise Propeller (GEP).</w:t>
      </w:r>
      <w:r w:rsidRPr="002803B2">
        <w:rPr>
          <w:rFonts w:ascii="Arial Narrow" w:hAnsi="Arial Narrow" w:cs="Arial Narrow"/>
          <w:bCs/>
        </w:rPr>
        <w:t xml:space="preserve"> Furthermore</w:t>
      </w:r>
      <w:r w:rsidR="00F44392" w:rsidRPr="002803B2">
        <w:rPr>
          <w:rFonts w:ascii="Arial Narrow" w:hAnsi="Arial Narrow" w:cs="Arial Narrow"/>
          <w:bCs/>
        </w:rPr>
        <w:t>,</w:t>
      </w:r>
      <w:r w:rsidRPr="002803B2">
        <w:rPr>
          <w:rFonts w:ascii="Arial Narrow" w:hAnsi="Arial Narrow" w:cs="Arial Narrow"/>
          <w:bCs/>
        </w:rPr>
        <w:t xml:space="preserve"> the Automotive Industrial Development Centre (AIDC), and The Innovation Hub (TIH) are implement</w:t>
      </w:r>
      <w:r w:rsidR="00F44392" w:rsidRPr="002803B2">
        <w:rPr>
          <w:rFonts w:ascii="Arial Narrow" w:hAnsi="Arial Narrow" w:cs="Arial Narrow"/>
          <w:bCs/>
        </w:rPr>
        <w:t>ing</w:t>
      </w:r>
      <w:r w:rsidRPr="002803B2">
        <w:rPr>
          <w:rFonts w:ascii="Arial Narrow" w:hAnsi="Arial Narrow" w:cs="Arial Narrow"/>
          <w:bCs/>
        </w:rPr>
        <w:t xml:space="preserve"> agents for the GGDA.</w:t>
      </w:r>
      <w:r w:rsidR="0024799E" w:rsidRPr="002803B2">
        <w:rPr>
          <w:rFonts w:ascii="Arial Narrow" w:hAnsi="Arial Narrow" w:cs="Arial Narrow"/>
          <w:bCs/>
        </w:rPr>
        <w:t xml:space="preserve"> All these agencies and subsidiary companies have reported independently on the financial and non-financial information for the year under review.</w:t>
      </w:r>
      <w:r w:rsidR="0024799E">
        <w:rPr>
          <w:rFonts w:ascii="Arial Narrow" w:hAnsi="Arial Narrow" w:cs="Arial Narrow"/>
          <w:bCs/>
        </w:rPr>
        <w:t xml:space="preserve"> </w:t>
      </w:r>
    </w:p>
    <w:p w14:paraId="5F38A4C7" w14:textId="77777777" w:rsidR="00EF7498" w:rsidRDefault="00EF7498" w:rsidP="00C93456">
      <w:pPr>
        <w:spacing w:line="276" w:lineRule="auto"/>
        <w:rPr>
          <w:rFonts w:ascii="Arial Narrow" w:hAnsi="Arial Narrow" w:cs="Arial Narrow"/>
          <w:bCs/>
        </w:rPr>
      </w:pPr>
    </w:p>
    <w:p w14:paraId="30B6474F" w14:textId="12F44246" w:rsidR="00C71DFF" w:rsidRDefault="00C71DFF" w:rsidP="00C93456">
      <w:pPr>
        <w:spacing w:line="276" w:lineRule="auto"/>
        <w:rPr>
          <w:rFonts w:ascii="Arial Narrow" w:hAnsi="Arial Narrow" w:cs="Arial Narrow"/>
          <w:bCs/>
        </w:rPr>
      </w:pPr>
      <w:r>
        <w:rPr>
          <w:rFonts w:ascii="Arial Narrow" w:hAnsi="Arial Narrow" w:cs="Arial Narrow"/>
          <w:bCs/>
        </w:rPr>
        <w:t>In the year under review</w:t>
      </w:r>
      <w:r w:rsidR="00EF7498">
        <w:rPr>
          <w:rFonts w:ascii="Arial Narrow" w:hAnsi="Arial Narrow" w:cs="Arial Narrow"/>
          <w:bCs/>
        </w:rPr>
        <w:t xml:space="preserve">, the Department reports to have spent R 223 876 000 (R 233.8m) which would represent a total expenditure of </w:t>
      </w:r>
      <w:r w:rsidR="00FC4A5C">
        <w:rPr>
          <w:rFonts w:ascii="Arial Narrow" w:hAnsi="Arial Narrow" w:cs="Arial Narrow"/>
          <w:bCs/>
        </w:rPr>
        <w:t xml:space="preserve">100% of </w:t>
      </w:r>
      <w:r w:rsidR="00EF7498">
        <w:rPr>
          <w:rFonts w:ascii="Arial Narrow" w:hAnsi="Arial Narrow" w:cs="Arial Narrow"/>
          <w:bCs/>
        </w:rPr>
        <w:t>its</w:t>
      </w:r>
      <w:r w:rsidR="00FC4A5C">
        <w:rPr>
          <w:rFonts w:ascii="Arial Narrow" w:hAnsi="Arial Narrow" w:cs="Arial Narrow"/>
          <w:bCs/>
        </w:rPr>
        <w:t xml:space="preserve"> allocation</w:t>
      </w:r>
      <w:r w:rsidR="00902B3E">
        <w:rPr>
          <w:rFonts w:ascii="Arial Narrow" w:hAnsi="Arial Narrow" w:cs="Arial Narrow"/>
          <w:bCs/>
        </w:rPr>
        <w:t xml:space="preserve">, whilst the programme </w:t>
      </w:r>
      <w:r w:rsidR="00902B3E" w:rsidRPr="00902B3E">
        <w:rPr>
          <w:rFonts w:ascii="Arial Narrow" w:hAnsi="Arial Narrow" w:cs="Arial Narrow"/>
          <w:bCs/>
        </w:rPr>
        <w:t>attained 4 of its 8</w:t>
      </w:r>
      <w:r w:rsidR="00902B3E">
        <w:rPr>
          <w:rFonts w:ascii="Arial Narrow" w:hAnsi="Arial Narrow" w:cs="Arial Narrow"/>
          <w:bCs/>
        </w:rPr>
        <w:t xml:space="preserve"> constituting to </w:t>
      </w:r>
      <w:r w:rsidR="00902B3E" w:rsidRPr="00902B3E">
        <w:rPr>
          <w:rFonts w:ascii="Arial Narrow" w:hAnsi="Arial Narrow" w:cs="Arial Narrow"/>
          <w:bCs/>
        </w:rPr>
        <w:t>50%</w:t>
      </w:r>
      <w:r w:rsidR="00902B3E">
        <w:rPr>
          <w:rFonts w:ascii="Arial Narrow" w:hAnsi="Arial Narrow" w:cs="Arial Narrow"/>
          <w:bCs/>
        </w:rPr>
        <w:t xml:space="preserve"> attainment of </w:t>
      </w:r>
      <w:r w:rsidR="00902B3E" w:rsidRPr="00902B3E">
        <w:rPr>
          <w:rFonts w:ascii="Arial Narrow" w:hAnsi="Arial Narrow" w:cs="Arial Narrow"/>
          <w:bCs/>
        </w:rPr>
        <w:t>targets</w:t>
      </w:r>
      <w:r w:rsidR="00FC4A5C">
        <w:rPr>
          <w:rFonts w:ascii="Arial Narrow" w:hAnsi="Arial Narrow" w:cs="Arial Narrow"/>
          <w:bCs/>
        </w:rPr>
        <w:t xml:space="preserve">. </w:t>
      </w:r>
      <w:r w:rsidR="00A178A3">
        <w:rPr>
          <w:rFonts w:ascii="Arial Narrow" w:hAnsi="Arial Narrow" w:cs="Arial Narrow"/>
          <w:bCs/>
        </w:rPr>
        <w:t>The Committee noted that i</w:t>
      </w:r>
      <w:r w:rsidR="00A178A3" w:rsidRPr="00A178A3">
        <w:rPr>
          <w:rFonts w:ascii="Arial Narrow" w:hAnsi="Arial Narrow" w:cs="Arial Narrow"/>
          <w:bCs/>
        </w:rPr>
        <w:t>n terms of service delivery, the performance</w:t>
      </w:r>
      <w:r w:rsidR="00A178A3">
        <w:rPr>
          <w:rFonts w:ascii="Arial Narrow" w:hAnsi="Arial Narrow" w:cs="Arial Narrow"/>
          <w:bCs/>
        </w:rPr>
        <w:t xml:space="preserve"> of the programme </w:t>
      </w:r>
      <w:r w:rsidR="00A178A3" w:rsidRPr="00A178A3">
        <w:rPr>
          <w:rFonts w:ascii="Arial Narrow" w:hAnsi="Arial Narrow" w:cs="Arial Narrow"/>
          <w:bCs/>
        </w:rPr>
        <w:t xml:space="preserve">cannot be assessed as the targets are not part of the annual </w:t>
      </w:r>
      <w:r w:rsidR="00A178A3">
        <w:rPr>
          <w:rFonts w:ascii="Arial Narrow" w:hAnsi="Arial Narrow" w:cs="Arial Narrow"/>
          <w:bCs/>
        </w:rPr>
        <w:t>report of the Department</w:t>
      </w:r>
      <w:r w:rsidR="00E34D6C">
        <w:rPr>
          <w:rFonts w:ascii="Arial Narrow" w:hAnsi="Arial Narrow" w:cs="Arial Narrow"/>
          <w:bCs/>
        </w:rPr>
        <w:t xml:space="preserve">, however, will be assessed when considering agencies. </w:t>
      </w:r>
      <w:r w:rsidR="00C7071C">
        <w:rPr>
          <w:rFonts w:ascii="Arial Narrow" w:hAnsi="Arial Narrow" w:cs="Arial Narrow"/>
          <w:bCs/>
        </w:rPr>
        <w:t xml:space="preserve">In addition to this, </w:t>
      </w:r>
      <w:r w:rsidR="00C17722">
        <w:rPr>
          <w:rFonts w:ascii="Arial Narrow" w:hAnsi="Arial Narrow" w:cs="Arial Narrow"/>
          <w:bCs/>
        </w:rPr>
        <w:t>detailed expenditure on</w:t>
      </w:r>
      <w:r w:rsidR="00C7071C">
        <w:rPr>
          <w:rFonts w:ascii="Arial Narrow" w:hAnsi="Arial Narrow" w:cs="Arial Narrow"/>
          <w:bCs/>
        </w:rPr>
        <w:t xml:space="preserve"> the allocated amount which is mainly transferred to entities </w:t>
      </w:r>
      <w:r w:rsidR="00C17722">
        <w:rPr>
          <w:rFonts w:ascii="Arial Narrow" w:hAnsi="Arial Narrow" w:cs="Arial Narrow"/>
          <w:bCs/>
        </w:rPr>
        <w:t>will be unpacked when reflecting on entities.</w:t>
      </w:r>
      <w:r w:rsidR="00EF7498">
        <w:rPr>
          <w:rFonts w:ascii="Arial Narrow" w:hAnsi="Arial Narrow" w:cs="Arial Narrow"/>
          <w:bCs/>
        </w:rPr>
        <w:t xml:space="preserve"> However, during the Committee’s interrogation of the Annual Report under review, the Committee noted that </w:t>
      </w:r>
      <w:bookmarkStart w:id="23" w:name="_Hlk151373133"/>
      <w:r w:rsidR="00EF7498">
        <w:rPr>
          <w:rFonts w:ascii="Arial Narrow" w:hAnsi="Arial Narrow" w:cs="Arial Narrow"/>
          <w:bCs/>
        </w:rPr>
        <w:t xml:space="preserve">GEP as an entity spent an amount of R 304 154 000 (R 304.1m) representing a 134.96% expenditure. </w:t>
      </w:r>
      <w:r w:rsidR="00EF7498" w:rsidRPr="006B22ED">
        <w:rPr>
          <w:rFonts w:ascii="Arial Narrow" w:hAnsi="Arial Narrow" w:cs="Arial Narrow"/>
          <w:b/>
        </w:rPr>
        <w:t xml:space="preserve">The Committee is concerned with the financials provided noting that in the 2021/22 FY, the entity failed to submit its Annual Report on time due the Auditors being unable to verify information </w:t>
      </w:r>
      <w:r w:rsidR="006B22ED" w:rsidRPr="006B22ED">
        <w:rPr>
          <w:rFonts w:ascii="Arial Narrow" w:hAnsi="Arial Narrow" w:cs="Arial Narrow"/>
          <w:b/>
        </w:rPr>
        <w:t>provided by the entity as there seems to be a misalignment with regards to information provided.  Furthermore, the Committee continues to question the role of the Agency Oversight within the Department in ensuring that entities perform satisfactorily.</w:t>
      </w:r>
      <w:r w:rsidR="006B22ED">
        <w:rPr>
          <w:rFonts w:ascii="Arial Narrow" w:hAnsi="Arial Narrow" w:cs="Arial Narrow"/>
          <w:bCs/>
        </w:rPr>
        <w:t xml:space="preserve">  </w:t>
      </w:r>
    </w:p>
    <w:p w14:paraId="66CAF9ED" w14:textId="77777777" w:rsidR="00C71DFF" w:rsidRDefault="00C71DFF" w:rsidP="00C93456">
      <w:pPr>
        <w:spacing w:line="276" w:lineRule="auto"/>
        <w:rPr>
          <w:rFonts w:ascii="Arial Narrow" w:hAnsi="Arial Narrow" w:cs="Arial Narrow"/>
          <w:bCs/>
        </w:rPr>
      </w:pPr>
    </w:p>
    <w:bookmarkEnd w:id="23"/>
    <w:p w14:paraId="4F556EDF" w14:textId="6B08AE61" w:rsidR="000D2133" w:rsidRPr="000D2133" w:rsidRDefault="006B22ED" w:rsidP="000D2133">
      <w:pPr>
        <w:spacing w:line="276" w:lineRule="auto"/>
        <w:rPr>
          <w:rFonts w:ascii="Arial Narrow" w:hAnsi="Arial Narrow" w:cs="Arial Narrow"/>
          <w:bCs/>
        </w:rPr>
      </w:pPr>
      <w:r>
        <w:rPr>
          <w:rFonts w:ascii="Arial Narrow" w:hAnsi="Arial Narrow" w:cs="Arial Narrow"/>
          <w:bCs/>
        </w:rPr>
        <w:t xml:space="preserve">On the implementation of the Township Economic Development Act (TEDA), the Department outlined some of the projects that have been implemented such as the </w:t>
      </w:r>
      <w:r w:rsidRPr="006B22ED">
        <w:rPr>
          <w:rFonts w:ascii="Arial Narrow" w:hAnsi="Arial Narrow" w:cs="Arial Narrow"/>
          <w:bCs/>
        </w:rPr>
        <w:t>Infill residential and commercial development</w:t>
      </w:r>
      <w:r>
        <w:rPr>
          <w:rFonts w:ascii="Arial Narrow" w:hAnsi="Arial Narrow" w:cs="Arial Narrow"/>
          <w:bCs/>
        </w:rPr>
        <w:t xml:space="preserve"> wherein </w:t>
      </w:r>
      <w:r w:rsidRPr="006B22ED">
        <w:rPr>
          <w:rFonts w:ascii="Arial Narrow" w:hAnsi="Arial Narrow" w:cs="Arial Narrow"/>
          <w:bCs/>
        </w:rPr>
        <w:t>45 township residents</w:t>
      </w:r>
      <w:r>
        <w:rPr>
          <w:rFonts w:ascii="Arial Narrow" w:hAnsi="Arial Narrow" w:cs="Arial Narrow"/>
          <w:bCs/>
        </w:rPr>
        <w:t xml:space="preserve"> have been</w:t>
      </w:r>
      <w:r w:rsidRPr="006B22ED">
        <w:rPr>
          <w:rFonts w:ascii="Arial Narrow" w:hAnsi="Arial Narrow" w:cs="Arial Narrow"/>
          <w:bCs/>
        </w:rPr>
        <w:t xml:space="preserve"> funded and to date construction has started in Tembisa and Mamelodi following successful rezoning applications</w:t>
      </w:r>
      <w:r>
        <w:rPr>
          <w:rFonts w:ascii="Arial Narrow" w:hAnsi="Arial Narrow" w:cs="Arial Narrow"/>
          <w:bCs/>
        </w:rPr>
        <w:t xml:space="preserve"> with </w:t>
      </w:r>
      <w:r w:rsidRPr="006B22ED">
        <w:rPr>
          <w:rFonts w:ascii="Arial Narrow" w:hAnsi="Arial Narrow" w:cs="Arial Narrow"/>
          <w:bCs/>
        </w:rPr>
        <w:t>200 jobs created</w:t>
      </w:r>
      <w:r>
        <w:rPr>
          <w:rFonts w:ascii="Arial Narrow" w:hAnsi="Arial Narrow" w:cs="Arial Narrow"/>
          <w:bCs/>
        </w:rPr>
        <w:t xml:space="preserve"> in the process. The </w:t>
      </w:r>
      <w:r w:rsidRPr="006B22ED">
        <w:rPr>
          <w:rFonts w:ascii="Arial Narrow" w:hAnsi="Arial Narrow" w:cs="Arial Narrow"/>
          <w:bCs/>
        </w:rPr>
        <w:t>Township Retail Programme</w:t>
      </w:r>
      <w:r>
        <w:rPr>
          <w:rFonts w:ascii="Arial Narrow" w:hAnsi="Arial Narrow" w:cs="Arial Narrow"/>
          <w:bCs/>
        </w:rPr>
        <w:t xml:space="preserve"> has </w:t>
      </w:r>
      <w:r w:rsidR="000D2133">
        <w:rPr>
          <w:rFonts w:ascii="Arial Narrow" w:hAnsi="Arial Narrow" w:cs="Arial Narrow"/>
          <w:bCs/>
        </w:rPr>
        <w:t xml:space="preserve">created </w:t>
      </w:r>
      <w:r w:rsidR="000D2133" w:rsidRPr="000D2133">
        <w:rPr>
          <w:rFonts w:ascii="Arial Narrow" w:hAnsi="Arial Narrow" w:cs="Arial Narrow"/>
          <w:bCs/>
        </w:rPr>
        <w:t>8450 jobs in the first year of implementation and to date</w:t>
      </w:r>
      <w:r w:rsidR="000D2133">
        <w:rPr>
          <w:rFonts w:ascii="Arial Narrow" w:hAnsi="Arial Narrow" w:cs="Arial Narrow"/>
          <w:bCs/>
        </w:rPr>
        <w:t xml:space="preserve"> within the 2023/24 FY between the 1</w:t>
      </w:r>
      <w:r w:rsidR="000D2133" w:rsidRPr="000D2133">
        <w:rPr>
          <w:rFonts w:ascii="Arial Narrow" w:hAnsi="Arial Narrow" w:cs="Arial Narrow"/>
          <w:bCs/>
          <w:vertAlign w:val="superscript"/>
        </w:rPr>
        <w:t>st</w:t>
      </w:r>
      <w:r w:rsidR="000D2133">
        <w:rPr>
          <w:rFonts w:ascii="Arial Narrow" w:hAnsi="Arial Narrow" w:cs="Arial Narrow"/>
          <w:bCs/>
        </w:rPr>
        <w:t xml:space="preserve"> and 2</w:t>
      </w:r>
      <w:r w:rsidR="000D2133" w:rsidRPr="000D2133">
        <w:rPr>
          <w:rFonts w:ascii="Arial Narrow" w:hAnsi="Arial Narrow" w:cs="Arial Narrow"/>
          <w:bCs/>
          <w:vertAlign w:val="superscript"/>
        </w:rPr>
        <w:t>nd</w:t>
      </w:r>
      <w:r w:rsidR="000D2133">
        <w:rPr>
          <w:rFonts w:ascii="Arial Narrow" w:hAnsi="Arial Narrow" w:cs="Arial Narrow"/>
          <w:bCs/>
        </w:rPr>
        <w:t xml:space="preserve"> Quarter 1</w:t>
      </w:r>
      <w:r w:rsidR="000D2133" w:rsidRPr="000D2133">
        <w:rPr>
          <w:rFonts w:ascii="Arial Narrow" w:hAnsi="Arial Narrow" w:cs="Arial Narrow"/>
          <w:bCs/>
        </w:rPr>
        <w:t>200 jobs created</w:t>
      </w:r>
      <w:r w:rsidR="000D2133">
        <w:rPr>
          <w:rFonts w:ascii="Arial Narrow" w:hAnsi="Arial Narrow" w:cs="Arial Narrow"/>
          <w:bCs/>
        </w:rPr>
        <w:t xml:space="preserve"> have been created</w:t>
      </w:r>
      <w:r w:rsidR="000D2133" w:rsidRPr="000D2133">
        <w:rPr>
          <w:rFonts w:ascii="Arial Narrow" w:hAnsi="Arial Narrow" w:cs="Arial Narrow"/>
          <w:bCs/>
        </w:rPr>
        <w:t>.</w:t>
      </w:r>
      <w:r w:rsidR="000D2133">
        <w:rPr>
          <w:rFonts w:ascii="Arial Narrow" w:hAnsi="Arial Narrow" w:cs="Arial Narrow"/>
          <w:bCs/>
        </w:rPr>
        <w:t xml:space="preserve"> Within the same programme </w:t>
      </w:r>
      <w:r w:rsidR="000D2133" w:rsidRPr="000D2133">
        <w:rPr>
          <w:rFonts w:ascii="Arial Narrow" w:hAnsi="Arial Narrow" w:cs="Arial Narrow"/>
          <w:bCs/>
        </w:rPr>
        <w:t>45 township manufacturers</w:t>
      </w:r>
      <w:r w:rsidR="000D2133">
        <w:rPr>
          <w:rFonts w:ascii="Arial Narrow" w:hAnsi="Arial Narrow" w:cs="Arial Narrow"/>
          <w:bCs/>
        </w:rPr>
        <w:t xml:space="preserve"> were</w:t>
      </w:r>
      <w:r w:rsidR="000D2133" w:rsidRPr="000D2133">
        <w:rPr>
          <w:rFonts w:ascii="Arial Narrow" w:hAnsi="Arial Narrow" w:cs="Arial Narrow"/>
          <w:bCs/>
        </w:rPr>
        <w:t xml:space="preserve"> onboarded</w:t>
      </w:r>
      <w:r w:rsidR="000D2133">
        <w:rPr>
          <w:rFonts w:ascii="Arial Narrow" w:hAnsi="Arial Narrow" w:cs="Arial Narrow"/>
          <w:bCs/>
        </w:rPr>
        <w:t xml:space="preserve">, </w:t>
      </w:r>
      <w:r w:rsidR="000D2133" w:rsidRPr="000D2133">
        <w:rPr>
          <w:rFonts w:ascii="Arial Narrow" w:hAnsi="Arial Narrow" w:cs="Arial Narrow"/>
          <w:bCs/>
        </w:rPr>
        <w:t>3 distribution centres completed</w:t>
      </w:r>
      <w:r w:rsidR="000D2133">
        <w:rPr>
          <w:rFonts w:ascii="Arial Narrow" w:hAnsi="Arial Narrow" w:cs="Arial Narrow"/>
          <w:bCs/>
        </w:rPr>
        <w:t xml:space="preserve"> in</w:t>
      </w:r>
      <w:r w:rsidR="000D2133" w:rsidRPr="000D2133">
        <w:rPr>
          <w:rFonts w:ascii="Arial Narrow" w:hAnsi="Arial Narrow" w:cs="Arial Narrow"/>
          <w:bCs/>
        </w:rPr>
        <w:t xml:space="preserve"> Katlehong, Mamelodi and Kagiso</w:t>
      </w:r>
      <w:r w:rsidR="000D2133">
        <w:rPr>
          <w:rFonts w:ascii="Arial Narrow" w:hAnsi="Arial Narrow" w:cs="Arial Narrow"/>
          <w:bCs/>
        </w:rPr>
        <w:t xml:space="preserve">, </w:t>
      </w:r>
      <w:r w:rsidR="000D2133" w:rsidRPr="000D2133">
        <w:rPr>
          <w:rFonts w:ascii="Arial Narrow" w:hAnsi="Arial Narrow" w:cs="Arial Narrow"/>
          <w:bCs/>
        </w:rPr>
        <w:t xml:space="preserve">8 645 stores refurbished in the townships across the </w:t>
      </w:r>
      <w:proofErr w:type="gramStart"/>
      <w:r w:rsidR="000D2133" w:rsidRPr="000D2133">
        <w:rPr>
          <w:rFonts w:ascii="Arial Narrow" w:hAnsi="Arial Narrow" w:cs="Arial Narrow"/>
          <w:bCs/>
        </w:rPr>
        <w:t>Province</w:t>
      </w:r>
      <w:proofErr w:type="gramEnd"/>
      <w:r w:rsidR="000D2133">
        <w:rPr>
          <w:rFonts w:ascii="Arial Narrow" w:hAnsi="Arial Narrow" w:cs="Arial Narrow"/>
          <w:bCs/>
        </w:rPr>
        <w:t xml:space="preserve">, </w:t>
      </w:r>
      <w:r w:rsidR="000D2133" w:rsidRPr="000D2133">
        <w:rPr>
          <w:rFonts w:ascii="Arial Narrow" w:hAnsi="Arial Narrow" w:cs="Arial Narrow"/>
          <w:bCs/>
        </w:rPr>
        <w:t>5 SMME</w:t>
      </w:r>
      <w:r w:rsidR="000D2133">
        <w:rPr>
          <w:rFonts w:ascii="Arial Narrow" w:hAnsi="Arial Narrow" w:cs="Arial Narrow"/>
          <w:bCs/>
        </w:rPr>
        <w:t>’</w:t>
      </w:r>
      <w:r w:rsidR="000D2133" w:rsidRPr="000D2133">
        <w:rPr>
          <w:rFonts w:ascii="Arial Narrow" w:hAnsi="Arial Narrow" w:cs="Arial Narrow"/>
          <w:bCs/>
        </w:rPr>
        <w:t>s at Hostels supported with equipment valued at R500</w:t>
      </w:r>
      <w:r w:rsidR="000D2133">
        <w:rPr>
          <w:rFonts w:ascii="Arial Narrow" w:hAnsi="Arial Narrow" w:cs="Arial Narrow"/>
          <w:bCs/>
        </w:rPr>
        <w:t xml:space="preserve"> 000</w:t>
      </w:r>
      <w:r w:rsidR="000D2133" w:rsidRPr="000D2133">
        <w:rPr>
          <w:rFonts w:ascii="Arial Narrow" w:hAnsi="Arial Narrow" w:cs="Arial Narrow"/>
          <w:bCs/>
        </w:rPr>
        <w:t xml:space="preserve"> in partnership with CCBSA.</w:t>
      </w:r>
      <w:r w:rsidR="000D2133">
        <w:rPr>
          <w:rFonts w:ascii="Arial Narrow" w:hAnsi="Arial Narrow" w:cs="Arial Narrow"/>
          <w:bCs/>
        </w:rPr>
        <w:t xml:space="preserve"> In continuing to outline some of the strides made through the implementation of the Act</w:t>
      </w:r>
      <w:r w:rsidR="00451856">
        <w:rPr>
          <w:rFonts w:ascii="Arial Narrow" w:hAnsi="Arial Narrow" w:cs="Arial Narrow"/>
          <w:bCs/>
        </w:rPr>
        <w:t xml:space="preserve">, on the </w:t>
      </w:r>
      <w:r w:rsidR="00451856" w:rsidRPr="00451856">
        <w:rPr>
          <w:rFonts w:ascii="Arial Narrow" w:hAnsi="Arial Narrow" w:cs="Arial Narrow"/>
          <w:bCs/>
        </w:rPr>
        <w:t>Last Mile Project</w:t>
      </w:r>
      <w:r w:rsidR="00451856">
        <w:rPr>
          <w:rFonts w:ascii="Arial Narrow" w:hAnsi="Arial Narrow" w:cs="Arial Narrow"/>
          <w:bCs/>
        </w:rPr>
        <w:t xml:space="preserve"> </w:t>
      </w:r>
      <w:r w:rsidR="000D2133">
        <w:rPr>
          <w:rFonts w:ascii="Arial Narrow" w:hAnsi="Arial Narrow" w:cs="Arial Narrow"/>
          <w:bCs/>
        </w:rPr>
        <w:t xml:space="preserve"> </w:t>
      </w:r>
      <w:r w:rsidR="000D2133" w:rsidRPr="000D2133">
        <w:rPr>
          <w:rFonts w:ascii="Arial Narrow" w:hAnsi="Arial Narrow" w:cs="Arial Narrow"/>
          <w:bCs/>
        </w:rPr>
        <w:t>530 youth</w:t>
      </w:r>
      <w:r w:rsidR="000D2133">
        <w:rPr>
          <w:rFonts w:ascii="Arial Narrow" w:hAnsi="Arial Narrow" w:cs="Arial Narrow"/>
          <w:bCs/>
        </w:rPr>
        <w:t>s</w:t>
      </w:r>
      <w:r w:rsidR="000D2133" w:rsidRPr="000D2133">
        <w:rPr>
          <w:rFonts w:ascii="Arial Narrow" w:hAnsi="Arial Narrow" w:cs="Arial Narrow"/>
          <w:bCs/>
        </w:rPr>
        <w:t xml:space="preserve"> trained and graduated fr</w:t>
      </w:r>
      <w:r w:rsidR="000D2133">
        <w:rPr>
          <w:rFonts w:ascii="Arial Narrow" w:hAnsi="Arial Narrow" w:cs="Arial Narrow"/>
          <w:bCs/>
        </w:rPr>
        <w:t>om</w:t>
      </w:r>
      <w:r w:rsidR="000D2133" w:rsidRPr="000D2133">
        <w:rPr>
          <w:rFonts w:ascii="Arial Narrow" w:hAnsi="Arial Narrow" w:cs="Arial Narrow"/>
          <w:bCs/>
        </w:rPr>
        <w:t xml:space="preserve"> the programme in the last financial year</w:t>
      </w:r>
      <w:r w:rsidR="000D2133">
        <w:rPr>
          <w:rFonts w:ascii="Arial Narrow" w:hAnsi="Arial Narrow" w:cs="Arial Narrow"/>
          <w:bCs/>
        </w:rPr>
        <w:t xml:space="preserve">, </w:t>
      </w:r>
      <w:r w:rsidR="000D2133" w:rsidRPr="000D2133">
        <w:rPr>
          <w:rFonts w:ascii="Arial Narrow" w:hAnsi="Arial Narrow" w:cs="Arial Narrow"/>
          <w:bCs/>
        </w:rPr>
        <w:t>130 secured contracts and assets for the market</w:t>
      </w:r>
      <w:r w:rsidR="000D2133">
        <w:rPr>
          <w:rFonts w:ascii="Arial Narrow" w:hAnsi="Arial Narrow" w:cs="Arial Narrow"/>
          <w:bCs/>
        </w:rPr>
        <w:t xml:space="preserve">, </w:t>
      </w:r>
      <w:r w:rsidR="000D2133" w:rsidRPr="000D2133">
        <w:rPr>
          <w:rFonts w:ascii="Arial Narrow" w:hAnsi="Arial Narrow" w:cs="Arial Narrow"/>
          <w:bCs/>
        </w:rPr>
        <w:t>60 jobs created in the current financial year</w:t>
      </w:r>
      <w:r w:rsidR="000D2133">
        <w:rPr>
          <w:rFonts w:ascii="Arial Narrow" w:hAnsi="Arial Narrow" w:cs="Arial Narrow"/>
          <w:bCs/>
        </w:rPr>
        <w:t xml:space="preserve">, </w:t>
      </w:r>
      <w:r w:rsidR="000D2133" w:rsidRPr="000D2133">
        <w:rPr>
          <w:rFonts w:ascii="Arial Narrow" w:hAnsi="Arial Narrow" w:cs="Arial Narrow"/>
          <w:bCs/>
        </w:rPr>
        <w:t>262 merchants participating in the programme in partnership with UberEats</w:t>
      </w:r>
      <w:r w:rsidR="000D2133">
        <w:rPr>
          <w:rFonts w:ascii="Arial Narrow" w:hAnsi="Arial Narrow" w:cs="Arial Narrow"/>
          <w:bCs/>
        </w:rPr>
        <w:t xml:space="preserve"> with </w:t>
      </w:r>
      <w:r w:rsidR="000D2133" w:rsidRPr="000D2133">
        <w:rPr>
          <w:rFonts w:ascii="Arial Narrow" w:hAnsi="Arial Narrow" w:cs="Arial Narrow"/>
          <w:bCs/>
        </w:rPr>
        <w:t>72 beneficiaries obtained licences  in Alexander(32) and Soweto (40)</w:t>
      </w:r>
      <w:r w:rsidR="000D2133">
        <w:rPr>
          <w:rFonts w:ascii="Arial Narrow" w:hAnsi="Arial Narrow" w:cs="Arial Narrow"/>
          <w:bCs/>
        </w:rPr>
        <w:t xml:space="preserve">, </w:t>
      </w:r>
      <w:r w:rsidR="000D2133" w:rsidRPr="000D2133">
        <w:rPr>
          <w:rFonts w:ascii="Arial Narrow" w:hAnsi="Arial Narrow" w:cs="Arial Narrow"/>
          <w:bCs/>
        </w:rPr>
        <w:t>30 youth</w:t>
      </w:r>
      <w:r w:rsidR="000D2133">
        <w:rPr>
          <w:rFonts w:ascii="Arial Narrow" w:hAnsi="Arial Narrow" w:cs="Arial Narrow"/>
          <w:bCs/>
        </w:rPr>
        <w:t>s</w:t>
      </w:r>
      <w:r w:rsidR="000D2133" w:rsidRPr="000D2133">
        <w:rPr>
          <w:rFonts w:ascii="Arial Narrow" w:hAnsi="Arial Narrow" w:cs="Arial Narrow"/>
          <w:bCs/>
        </w:rPr>
        <w:t xml:space="preserve"> currently undergoing training in Reiger Park</w:t>
      </w:r>
      <w:r w:rsidR="000D2133">
        <w:rPr>
          <w:rFonts w:ascii="Arial Narrow" w:hAnsi="Arial Narrow" w:cs="Arial Narrow"/>
          <w:bCs/>
        </w:rPr>
        <w:t xml:space="preserve">, </w:t>
      </w:r>
      <w:r w:rsidR="000D2133" w:rsidRPr="000D2133">
        <w:rPr>
          <w:rFonts w:ascii="Arial Narrow" w:hAnsi="Arial Narrow" w:cs="Arial Narrow"/>
          <w:bCs/>
        </w:rPr>
        <w:t>120k orders driven through the merchants and over R</w:t>
      </w:r>
      <w:r w:rsidR="000D2133">
        <w:rPr>
          <w:rFonts w:ascii="Arial Narrow" w:hAnsi="Arial Narrow" w:cs="Arial Narrow"/>
          <w:bCs/>
        </w:rPr>
        <w:t xml:space="preserve"> </w:t>
      </w:r>
      <w:r w:rsidR="000D2133" w:rsidRPr="000D2133">
        <w:rPr>
          <w:rFonts w:ascii="Arial Narrow" w:hAnsi="Arial Narrow" w:cs="Arial Narrow"/>
          <w:bCs/>
        </w:rPr>
        <w:t>24</w:t>
      </w:r>
      <w:r w:rsidR="000D2133">
        <w:rPr>
          <w:rFonts w:ascii="Arial Narrow" w:hAnsi="Arial Narrow" w:cs="Arial Narrow"/>
          <w:bCs/>
        </w:rPr>
        <w:t> 000 000 (R24m)</w:t>
      </w:r>
      <w:r w:rsidR="000D2133" w:rsidRPr="000D2133">
        <w:rPr>
          <w:rFonts w:ascii="Arial Narrow" w:hAnsi="Arial Narrow" w:cs="Arial Narrow"/>
          <w:bCs/>
        </w:rPr>
        <w:t xml:space="preserve"> in Revenue</w:t>
      </w:r>
      <w:r w:rsidR="000D2133">
        <w:rPr>
          <w:rFonts w:ascii="Arial Narrow" w:hAnsi="Arial Narrow" w:cs="Arial Narrow"/>
          <w:bCs/>
        </w:rPr>
        <w:t xml:space="preserve">, </w:t>
      </w:r>
      <w:r w:rsidR="000D2133" w:rsidRPr="000D2133">
        <w:rPr>
          <w:rFonts w:ascii="Arial Narrow" w:hAnsi="Arial Narrow" w:cs="Arial Narrow"/>
          <w:bCs/>
        </w:rPr>
        <w:t xml:space="preserve">5 Courier applications still in pipeline pending due to missing documents </w:t>
      </w:r>
      <w:r w:rsidR="000D2133">
        <w:rPr>
          <w:rFonts w:ascii="Arial Narrow" w:hAnsi="Arial Narrow" w:cs="Arial Narrow"/>
          <w:bCs/>
        </w:rPr>
        <w:t xml:space="preserve">and </w:t>
      </w:r>
      <w:r w:rsidR="000D2133" w:rsidRPr="000D2133">
        <w:rPr>
          <w:rFonts w:ascii="Arial Narrow" w:hAnsi="Arial Narrow" w:cs="Arial Narrow"/>
          <w:bCs/>
        </w:rPr>
        <w:t>64 couriers activated as job opportunities</w:t>
      </w:r>
      <w:r w:rsidR="000D2133">
        <w:rPr>
          <w:rFonts w:ascii="Arial Narrow" w:hAnsi="Arial Narrow" w:cs="Arial Narrow"/>
          <w:bCs/>
        </w:rPr>
        <w:t xml:space="preserve">. </w:t>
      </w:r>
    </w:p>
    <w:p w14:paraId="7CAB45C1" w14:textId="77777777" w:rsidR="006B22ED" w:rsidRDefault="006B22ED" w:rsidP="006B22ED">
      <w:pPr>
        <w:spacing w:line="276" w:lineRule="auto"/>
        <w:rPr>
          <w:rFonts w:ascii="Arial Narrow" w:hAnsi="Arial Narrow" w:cs="Arial Narrow"/>
          <w:bCs/>
        </w:rPr>
      </w:pPr>
    </w:p>
    <w:p w14:paraId="08EB5B07" w14:textId="546F8995" w:rsidR="00451856" w:rsidRDefault="00451856" w:rsidP="00451856">
      <w:pPr>
        <w:spacing w:line="276" w:lineRule="auto"/>
        <w:rPr>
          <w:rFonts w:ascii="Arial Narrow" w:hAnsi="Arial Narrow" w:cs="Arial Narrow"/>
          <w:bCs/>
        </w:rPr>
      </w:pPr>
      <w:r>
        <w:rPr>
          <w:rFonts w:ascii="Arial Narrow" w:hAnsi="Arial Narrow" w:cs="Arial Narrow"/>
          <w:bCs/>
        </w:rPr>
        <w:t xml:space="preserve">On the </w:t>
      </w:r>
      <w:r w:rsidRPr="00451856">
        <w:rPr>
          <w:rFonts w:ascii="Arial Narrow" w:hAnsi="Arial Narrow" w:cs="Arial Narrow"/>
          <w:bCs/>
        </w:rPr>
        <w:t>Township Broadband</w:t>
      </w:r>
      <w:r>
        <w:rPr>
          <w:rFonts w:ascii="Arial Narrow" w:hAnsi="Arial Narrow" w:cs="Arial Narrow"/>
          <w:bCs/>
        </w:rPr>
        <w:t xml:space="preserve"> Project, </w:t>
      </w:r>
      <w:r w:rsidRPr="00451856">
        <w:rPr>
          <w:rFonts w:ascii="Arial Narrow" w:hAnsi="Arial Narrow" w:cs="Arial Narrow"/>
          <w:bCs/>
        </w:rPr>
        <w:t xml:space="preserve">13 townships covered with Broadband </w:t>
      </w:r>
      <w:r>
        <w:rPr>
          <w:rFonts w:ascii="Arial Narrow" w:hAnsi="Arial Narrow" w:cs="Arial Narrow"/>
          <w:bCs/>
        </w:rPr>
        <w:t>across the Province</w:t>
      </w:r>
      <w:r w:rsidRPr="00451856">
        <w:rPr>
          <w:rFonts w:ascii="Arial Narrow" w:hAnsi="Arial Narrow" w:cs="Arial Narrow"/>
          <w:bCs/>
        </w:rPr>
        <w:t>, including 6 hostels</w:t>
      </w:r>
      <w:r>
        <w:rPr>
          <w:rFonts w:ascii="Arial Narrow" w:hAnsi="Arial Narrow" w:cs="Arial Narrow"/>
          <w:bCs/>
        </w:rPr>
        <w:t xml:space="preserve">. </w:t>
      </w:r>
      <w:r w:rsidRPr="00FA165A">
        <w:rPr>
          <w:rFonts w:ascii="Arial Narrow" w:hAnsi="Arial Narrow" w:cs="Arial Narrow"/>
          <w:b/>
        </w:rPr>
        <w:t xml:space="preserve">However, the view of the Committee is that despite the strides made, the Department should make </w:t>
      </w:r>
      <w:r w:rsidR="00154410">
        <w:rPr>
          <w:rFonts w:ascii="Arial Narrow" w:hAnsi="Arial Narrow" w:cs="Arial Narrow"/>
          <w:b/>
        </w:rPr>
        <w:t>efforts</w:t>
      </w:r>
      <w:r w:rsidRPr="00FA165A">
        <w:rPr>
          <w:rFonts w:ascii="Arial Narrow" w:hAnsi="Arial Narrow" w:cs="Arial Narrow"/>
          <w:b/>
        </w:rPr>
        <w:t xml:space="preserve"> </w:t>
      </w:r>
      <w:r w:rsidR="00FA165A" w:rsidRPr="00FA165A">
        <w:rPr>
          <w:rFonts w:ascii="Arial Narrow" w:hAnsi="Arial Narrow" w:cs="Arial Narrow"/>
          <w:b/>
        </w:rPr>
        <w:t xml:space="preserve">to implement such projects </w:t>
      </w:r>
      <w:r w:rsidRPr="00FA165A">
        <w:rPr>
          <w:rFonts w:ascii="Arial Narrow" w:hAnsi="Arial Narrow" w:cs="Arial Narrow"/>
          <w:b/>
        </w:rPr>
        <w:t xml:space="preserve">in many of the deprived and depressed areas of the </w:t>
      </w:r>
      <w:proofErr w:type="gramStart"/>
      <w:r w:rsidRPr="00FA165A">
        <w:rPr>
          <w:rFonts w:ascii="Arial Narrow" w:hAnsi="Arial Narrow" w:cs="Arial Narrow"/>
          <w:b/>
        </w:rPr>
        <w:t>Province</w:t>
      </w:r>
      <w:proofErr w:type="gramEnd"/>
      <w:r>
        <w:rPr>
          <w:rFonts w:ascii="Arial Narrow" w:hAnsi="Arial Narrow" w:cs="Arial Narrow"/>
          <w:bCs/>
        </w:rPr>
        <w:t xml:space="preserve">. On the </w:t>
      </w:r>
      <w:r w:rsidRPr="00451856">
        <w:rPr>
          <w:rFonts w:ascii="Arial Narrow" w:hAnsi="Arial Narrow" w:cs="Arial Narrow"/>
          <w:bCs/>
        </w:rPr>
        <w:t>Cellphone Repair Project</w:t>
      </w:r>
      <w:r>
        <w:rPr>
          <w:rFonts w:ascii="Arial Narrow" w:hAnsi="Arial Narrow" w:cs="Arial Narrow"/>
          <w:bCs/>
        </w:rPr>
        <w:t xml:space="preserve">, </w:t>
      </w:r>
      <w:r w:rsidRPr="00451856">
        <w:rPr>
          <w:rFonts w:ascii="Arial Narrow" w:hAnsi="Arial Narrow" w:cs="Arial Narrow"/>
          <w:bCs/>
        </w:rPr>
        <w:t>120 yo</w:t>
      </w:r>
      <w:r>
        <w:rPr>
          <w:rFonts w:ascii="Arial Narrow" w:hAnsi="Arial Narrow" w:cs="Arial Narrow"/>
          <w:bCs/>
        </w:rPr>
        <w:t>ung people are</w:t>
      </w:r>
      <w:r w:rsidRPr="00451856">
        <w:rPr>
          <w:rFonts w:ascii="Arial Narrow" w:hAnsi="Arial Narrow" w:cs="Arial Narrow"/>
          <w:bCs/>
        </w:rPr>
        <w:t xml:space="preserve"> undergoing training </w:t>
      </w:r>
      <w:r>
        <w:rPr>
          <w:rFonts w:ascii="Arial Narrow" w:hAnsi="Arial Narrow" w:cs="Arial Narrow"/>
          <w:bCs/>
        </w:rPr>
        <w:t xml:space="preserve">was </w:t>
      </w:r>
      <w:r w:rsidRPr="00451856">
        <w:rPr>
          <w:rFonts w:ascii="Arial Narrow" w:hAnsi="Arial Narrow" w:cs="Arial Narrow"/>
          <w:bCs/>
        </w:rPr>
        <w:t>due for completion end of October 2023</w:t>
      </w:r>
      <w:r>
        <w:rPr>
          <w:rFonts w:ascii="Arial Narrow" w:hAnsi="Arial Narrow" w:cs="Arial Narrow"/>
          <w:bCs/>
        </w:rPr>
        <w:t xml:space="preserve"> </w:t>
      </w:r>
      <w:r>
        <w:rPr>
          <w:rFonts w:ascii="Arial Narrow" w:hAnsi="Arial Narrow" w:cs="Arial Narrow"/>
          <w:bCs/>
        </w:rPr>
        <w:lastRenderedPageBreak/>
        <w:t xml:space="preserve">with the following breakdown in terms of area and numbers </w:t>
      </w:r>
      <w:r w:rsidRPr="00451856">
        <w:rPr>
          <w:rFonts w:ascii="Arial Narrow" w:hAnsi="Arial Narrow" w:cs="Arial Narrow"/>
          <w:bCs/>
        </w:rPr>
        <w:t xml:space="preserve">Kagiso </w:t>
      </w:r>
      <w:r>
        <w:rPr>
          <w:rFonts w:ascii="Arial Narrow" w:hAnsi="Arial Narrow" w:cs="Arial Narrow"/>
          <w:bCs/>
        </w:rPr>
        <w:t xml:space="preserve">– </w:t>
      </w:r>
      <w:r w:rsidRPr="00451856">
        <w:rPr>
          <w:rFonts w:ascii="Arial Narrow" w:hAnsi="Arial Narrow" w:cs="Arial Narrow"/>
          <w:bCs/>
        </w:rPr>
        <w:t>20</w:t>
      </w:r>
      <w:r>
        <w:rPr>
          <w:rFonts w:ascii="Arial Narrow" w:hAnsi="Arial Narrow" w:cs="Arial Narrow"/>
          <w:bCs/>
        </w:rPr>
        <w:t xml:space="preserve">, </w:t>
      </w:r>
      <w:r w:rsidRPr="00451856">
        <w:rPr>
          <w:rFonts w:ascii="Arial Narrow" w:hAnsi="Arial Narrow" w:cs="Arial Narrow"/>
          <w:bCs/>
        </w:rPr>
        <w:t xml:space="preserve">Rabie Ridge </w:t>
      </w:r>
      <w:r>
        <w:rPr>
          <w:rFonts w:ascii="Arial Narrow" w:hAnsi="Arial Narrow" w:cs="Arial Narrow"/>
          <w:bCs/>
        </w:rPr>
        <w:t>–</w:t>
      </w:r>
      <w:r w:rsidRPr="00451856">
        <w:rPr>
          <w:rFonts w:ascii="Arial Narrow" w:hAnsi="Arial Narrow" w:cs="Arial Narrow"/>
          <w:bCs/>
        </w:rPr>
        <w:t xml:space="preserve"> 20</w:t>
      </w:r>
      <w:r>
        <w:rPr>
          <w:rFonts w:ascii="Arial Narrow" w:hAnsi="Arial Narrow" w:cs="Arial Narrow"/>
          <w:bCs/>
        </w:rPr>
        <w:t xml:space="preserve">, </w:t>
      </w:r>
      <w:r w:rsidRPr="00451856">
        <w:rPr>
          <w:rFonts w:ascii="Arial Narrow" w:hAnsi="Arial Narrow" w:cs="Arial Narrow"/>
          <w:bCs/>
        </w:rPr>
        <w:t xml:space="preserve">Alexandra </w:t>
      </w:r>
      <w:r>
        <w:rPr>
          <w:rFonts w:ascii="Arial Narrow" w:hAnsi="Arial Narrow" w:cs="Arial Narrow"/>
          <w:bCs/>
        </w:rPr>
        <w:t>–</w:t>
      </w:r>
      <w:r w:rsidRPr="00451856">
        <w:rPr>
          <w:rFonts w:ascii="Arial Narrow" w:hAnsi="Arial Narrow" w:cs="Arial Narrow"/>
          <w:bCs/>
        </w:rPr>
        <w:t xml:space="preserve"> 20</w:t>
      </w:r>
      <w:r>
        <w:rPr>
          <w:rFonts w:ascii="Arial Narrow" w:hAnsi="Arial Narrow" w:cs="Arial Narrow"/>
          <w:bCs/>
        </w:rPr>
        <w:t xml:space="preserve">, </w:t>
      </w:r>
      <w:r w:rsidRPr="00451856">
        <w:rPr>
          <w:rFonts w:ascii="Arial Narrow" w:hAnsi="Arial Narrow" w:cs="Arial Narrow"/>
          <w:bCs/>
        </w:rPr>
        <w:t xml:space="preserve">Westbury </w:t>
      </w:r>
      <w:r>
        <w:rPr>
          <w:rFonts w:ascii="Arial Narrow" w:hAnsi="Arial Narrow" w:cs="Arial Narrow"/>
          <w:bCs/>
        </w:rPr>
        <w:t>–</w:t>
      </w:r>
      <w:r w:rsidRPr="00451856">
        <w:rPr>
          <w:rFonts w:ascii="Arial Narrow" w:hAnsi="Arial Narrow" w:cs="Arial Narrow"/>
          <w:bCs/>
        </w:rPr>
        <w:t xml:space="preserve"> 20</w:t>
      </w:r>
      <w:r>
        <w:rPr>
          <w:rFonts w:ascii="Arial Narrow" w:hAnsi="Arial Narrow" w:cs="Arial Narrow"/>
          <w:bCs/>
        </w:rPr>
        <w:t xml:space="preserve">, </w:t>
      </w:r>
      <w:r w:rsidRPr="00451856">
        <w:rPr>
          <w:rFonts w:ascii="Arial Narrow" w:hAnsi="Arial Narrow" w:cs="Arial Narrow"/>
          <w:bCs/>
        </w:rPr>
        <w:t>Orange Farm -20</w:t>
      </w:r>
      <w:r>
        <w:rPr>
          <w:rFonts w:ascii="Arial Narrow" w:hAnsi="Arial Narrow" w:cs="Arial Narrow"/>
          <w:bCs/>
        </w:rPr>
        <w:t xml:space="preserve">, </w:t>
      </w:r>
      <w:r w:rsidRPr="00451856">
        <w:rPr>
          <w:rFonts w:ascii="Arial Narrow" w:hAnsi="Arial Narrow" w:cs="Arial Narrow"/>
          <w:bCs/>
        </w:rPr>
        <w:t>Sebokeng -20</w:t>
      </w:r>
      <w:r>
        <w:rPr>
          <w:rFonts w:ascii="Arial Narrow" w:hAnsi="Arial Narrow" w:cs="Arial Narrow"/>
          <w:bCs/>
        </w:rPr>
        <w:t>.</w:t>
      </w:r>
    </w:p>
    <w:p w14:paraId="4AEC1B4E" w14:textId="77777777" w:rsidR="00451856" w:rsidRDefault="00451856" w:rsidP="00451856">
      <w:pPr>
        <w:spacing w:line="276" w:lineRule="auto"/>
        <w:rPr>
          <w:rFonts w:ascii="Arial Narrow" w:hAnsi="Arial Narrow" w:cs="Arial Narrow"/>
          <w:bCs/>
        </w:rPr>
      </w:pPr>
    </w:p>
    <w:p w14:paraId="4CF04CEC" w14:textId="0D61D008" w:rsidR="006B22ED" w:rsidRDefault="00451856" w:rsidP="00AC483E">
      <w:pPr>
        <w:spacing w:line="276" w:lineRule="auto"/>
        <w:rPr>
          <w:rFonts w:ascii="Arial Narrow" w:hAnsi="Arial Narrow" w:cs="Arial Narrow"/>
          <w:bCs/>
        </w:rPr>
      </w:pPr>
      <w:r>
        <w:rPr>
          <w:rFonts w:ascii="Arial Narrow" w:hAnsi="Arial Narrow" w:cs="Arial Narrow"/>
          <w:bCs/>
        </w:rPr>
        <w:t xml:space="preserve">The Department reported that on the </w:t>
      </w:r>
      <w:r w:rsidRPr="00451856">
        <w:rPr>
          <w:rFonts w:ascii="Arial Narrow" w:hAnsi="Arial Narrow" w:cs="Arial Narrow"/>
          <w:bCs/>
        </w:rPr>
        <w:t>Taxi Economy Project</w:t>
      </w:r>
      <w:r>
        <w:rPr>
          <w:rFonts w:ascii="Arial Narrow" w:hAnsi="Arial Narrow" w:cs="Arial Narrow"/>
          <w:bCs/>
        </w:rPr>
        <w:t xml:space="preserve">, </w:t>
      </w:r>
      <w:r w:rsidR="00AC483E" w:rsidRPr="00AC483E">
        <w:rPr>
          <w:rFonts w:ascii="Arial Narrow" w:hAnsi="Arial Narrow" w:cs="Arial Narrow"/>
          <w:bCs/>
        </w:rPr>
        <w:t>three (3) taxi economic nodes (fuel depots – Phase 1) developed as a catalyst for the development of the newly conceptualised Taxi Economic Nodes consisting of Fuel (Phase 1) and Retail (Phase 2) facilities</w:t>
      </w:r>
      <w:r w:rsidR="00AC483E">
        <w:rPr>
          <w:rFonts w:ascii="Arial Narrow" w:hAnsi="Arial Narrow" w:cs="Arial Narrow"/>
          <w:bCs/>
        </w:rPr>
        <w:t xml:space="preserve">. This would be in </w:t>
      </w:r>
      <w:r w:rsidR="00AC483E" w:rsidRPr="00AC483E">
        <w:rPr>
          <w:rFonts w:ascii="Arial Narrow" w:hAnsi="Arial Narrow" w:cs="Arial Narrow"/>
          <w:bCs/>
        </w:rPr>
        <w:tab/>
      </w:r>
      <w:proofErr w:type="spellStart"/>
      <w:r w:rsidR="00AC483E" w:rsidRPr="00AC483E">
        <w:rPr>
          <w:rFonts w:ascii="Arial Narrow" w:hAnsi="Arial Narrow" w:cs="Arial Narrow"/>
          <w:bCs/>
        </w:rPr>
        <w:t>Mabopane</w:t>
      </w:r>
      <w:proofErr w:type="spellEnd"/>
      <w:r w:rsidR="00AC483E" w:rsidRPr="00AC483E">
        <w:rPr>
          <w:rFonts w:ascii="Arial Narrow" w:hAnsi="Arial Narrow" w:cs="Arial Narrow"/>
          <w:bCs/>
        </w:rPr>
        <w:t>, Soshanguve and Stinkwater/</w:t>
      </w:r>
      <w:proofErr w:type="spellStart"/>
      <w:r w:rsidR="00AC483E" w:rsidRPr="00AC483E">
        <w:rPr>
          <w:rFonts w:ascii="Arial Narrow" w:hAnsi="Arial Narrow" w:cs="Arial Narrow"/>
          <w:bCs/>
        </w:rPr>
        <w:t>Eersterus</w:t>
      </w:r>
      <w:proofErr w:type="spellEnd"/>
      <w:r w:rsidR="00AC483E" w:rsidRPr="00AC483E">
        <w:rPr>
          <w:rFonts w:ascii="Arial Narrow" w:hAnsi="Arial Narrow" w:cs="Arial Narrow"/>
          <w:bCs/>
        </w:rPr>
        <w:t xml:space="preserve"> Funding Model for Retail developed,</w:t>
      </w:r>
      <w:r w:rsidR="00AC483E">
        <w:rPr>
          <w:rFonts w:ascii="Arial Narrow" w:hAnsi="Arial Narrow" w:cs="Arial Narrow"/>
          <w:bCs/>
        </w:rPr>
        <w:t xml:space="preserve"> and t</w:t>
      </w:r>
      <w:r w:rsidR="00AC483E" w:rsidRPr="00AC483E">
        <w:rPr>
          <w:rFonts w:ascii="Arial Narrow" w:hAnsi="Arial Narrow" w:cs="Arial Narrow"/>
          <w:bCs/>
        </w:rPr>
        <w:t xml:space="preserve">hree (3) new sites Alexandra, Westbury and Emfuleni identified for implementation of Phase 1.  </w:t>
      </w:r>
      <w:r w:rsidR="00AC483E">
        <w:rPr>
          <w:rFonts w:ascii="Arial Narrow" w:hAnsi="Arial Narrow" w:cs="Arial Narrow"/>
          <w:bCs/>
        </w:rPr>
        <w:t>Whilst m</w:t>
      </w:r>
      <w:r w:rsidR="00AC483E" w:rsidRPr="00AC483E">
        <w:rPr>
          <w:rFonts w:ascii="Arial Narrow" w:hAnsi="Arial Narrow" w:cs="Arial Narrow"/>
          <w:bCs/>
        </w:rPr>
        <w:t>unicipal approvals</w:t>
      </w:r>
      <w:r w:rsidR="00AC483E">
        <w:rPr>
          <w:rFonts w:ascii="Arial Narrow" w:hAnsi="Arial Narrow" w:cs="Arial Narrow"/>
          <w:bCs/>
        </w:rPr>
        <w:t xml:space="preserve"> are</w:t>
      </w:r>
      <w:r w:rsidR="00AC483E" w:rsidRPr="00AC483E">
        <w:rPr>
          <w:rFonts w:ascii="Arial Narrow" w:hAnsi="Arial Narrow" w:cs="Arial Narrow"/>
          <w:bCs/>
        </w:rPr>
        <w:t xml:space="preserve"> in process</w:t>
      </w:r>
      <w:r w:rsidR="00AC483E">
        <w:rPr>
          <w:rFonts w:ascii="Arial Narrow" w:hAnsi="Arial Narrow" w:cs="Arial Narrow"/>
          <w:bCs/>
        </w:rPr>
        <w:t xml:space="preserve"> and </w:t>
      </w:r>
      <w:r w:rsidR="00AC483E" w:rsidRPr="00AC483E">
        <w:rPr>
          <w:rFonts w:ascii="Arial Narrow" w:hAnsi="Arial Narrow" w:cs="Arial Narrow"/>
          <w:bCs/>
        </w:rPr>
        <w:t>Sebokeng, Soshanguve and Kokosi negotiations and agreements with Taxi Industry</w:t>
      </w:r>
      <w:r w:rsidR="00AC483E">
        <w:rPr>
          <w:rFonts w:ascii="Arial Narrow" w:hAnsi="Arial Narrow" w:cs="Arial Narrow"/>
          <w:bCs/>
        </w:rPr>
        <w:t xml:space="preserve"> are</w:t>
      </w:r>
      <w:r w:rsidR="00AC483E" w:rsidRPr="00AC483E">
        <w:rPr>
          <w:rFonts w:ascii="Arial Narrow" w:hAnsi="Arial Narrow" w:cs="Arial Narrow"/>
          <w:bCs/>
        </w:rPr>
        <w:t xml:space="preserve"> underway</w:t>
      </w:r>
      <w:r w:rsidR="00AC483E">
        <w:rPr>
          <w:rFonts w:ascii="Arial Narrow" w:hAnsi="Arial Narrow" w:cs="Arial Narrow"/>
          <w:bCs/>
        </w:rPr>
        <w:t xml:space="preserve"> with each </w:t>
      </w:r>
      <w:r w:rsidR="00AC483E" w:rsidRPr="00AC483E">
        <w:rPr>
          <w:rFonts w:ascii="Arial Narrow" w:hAnsi="Arial Narrow" w:cs="Arial Narrow"/>
          <w:bCs/>
        </w:rPr>
        <w:t>hub cost</w:t>
      </w:r>
      <w:r w:rsidR="00AC483E">
        <w:rPr>
          <w:rFonts w:ascii="Arial Narrow" w:hAnsi="Arial Narrow" w:cs="Arial Narrow"/>
          <w:bCs/>
        </w:rPr>
        <w:t>ing</w:t>
      </w:r>
      <w:r w:rsidR="00AC483E" w:rsidRPr="00AC483E">
        <w:rPr>
          <w:rFonts w:ascii="Arial Narrow" w:hAnsi="Arial Narrow" w:cs="Arial Narrow"/>
          <w:bCs/>
        </w:rPr>
        <w:t xml:space="preserve"> R</w:t>
      </w:r>
      <w:r w:rsidR="00AC483E">
        <w:rPr>
          <w:rFonts w:ascii="Arial Narrow" w:hAnsi="Arial Narrow" w:cs="Arial Narrow"/>
          <w:bCs/>
        </w:rPr>
        <w:t xml:space="preserve"> </w:t>
      </w:r>
      <w:r w:rsidR="00AC483E" w:rsidRPr="00AC483E">
        <w:rPr>
          <w:rFonts w:ascii="Arial Narrow" w:hAnsi="Arial Narrow" w:cs="Arial Narrow"/>
          <w:bCs/>
        </w:rPr>
        <w:t>68</w:t>
      </w:r>
      <w:r w:rsidR="00AC483E">
        <w:rPr>
          <w:rFonts w:ascii="Arial Narrow" w:hAnsi="Arial Narrow" w:cs="Arial Narrow"/>
          <w:bCs/>
        </w:rPr>
        <w:t> 000 000 (R68m)</w:t>
      </w:r>
      <w:r w:rsidR="00AC483E" w:rsidRPr="00AC483E">
        <w:rPr>
          <w:rFonts w:ascii="Arial Narrow" w:hAnsi="Arial Narrow" w:cs="Arial Narrow"/>
          <w:bCs/>
        </w:rPr>
        <w:t xml:space="preserve"> on average and the Trust Fund has committed 10% to leverage private sector investment.</w:t>
      </w:r>
      <w:r>
        <w:rPr>
          <w:rFonts w:ascii="Arial Narrow" w:hAnsi="Arial Narrow" w:cs="Arial Narrow"/>
          <w:bCs/>
        </w:rPr>
        <w:t xml:space="preserve"> </w:t>
      </w:r>
    </w:p>
    <w:p w14:paraId="086D7FEF" w14:textId="77777777" w:rsidR="00451856" w:rsidRDefault="00451856" w:rsidP="00C93456">
      <w:pPr>
        <w:spacing w:line="276" w:lineRule="auto"/>
        <w:rPr>
          <w:rFonts w:ascii="Arial Narrow" w:hAnsi="Arial Narrow" w:cs="Arial Narrow"/>
          <w:bCs/>
        </w:rPr>
      </w:pPr>
    </w:p>
    <w:p w14:paraId="40BD0555" w14:textId="4EC19745" w:rsidR="00F85A79" w:rsidRPr="00F85A79" w:rsidRDefault="00F85A79" w:rsidP="00F85A79">
      <w:pPr>
        <w:spacing w:line="276" w:lineRule="auto"/>
        <w:rPr>
          <w:rFonts w:ascii="Arial Narrow" w:hAnsi="Arial Narrow" w:cs="Arial Narrow"/>
          <w:bCs/>
        </w:rPr>
      </w:pPr>
      <w:r>
        <w:rPr>
          <w:rFonts w:ascii="Arial Narrow" w:hAnsi="Arial Narrow" w:cs="Arial Narrow"/>
          <w:bCs/>
        </w:rPr>
        <w:t xml:space="preserve">With respect to the various funds established to support the Township Economic Development Act, the Department reported that through GEP, established the </w:t>
      </w:r>
      <w:r w:rsidRPr="00F85A79">
        <w:rPr>
          <w:rFonts w:ascii="Arial Narrow" w:hAnsi="Arial Narrow" w:cs="Arial Narrow"/>
          <w:bCs/>
        </w:rPr>
        <w:t>Township Economic Partnership Fund (TEPF) in collaboration with Industrial Development Corporation (IDC)which has different products based on the Township Economy Act. The fund is currently fully subscribed following the launch of the Kasi Umnotho Fund in partnership with Family Tree. The Department</w:t>
      </w:r>
      <w:r>
        <w:rPr>
          <w:rFonts w:ascii="Arial Narrow" w:hAnsi="Arial Narrow" w:cs="Arial Narrow"/>
          <w:bCs/>
        </w:rPr>
        <w:t xml:space="preserve"> including GEP</w:t>
      </w:r>
      <w:r w:rsidRPr="00F85A79">
        <w:rPr>
          <w:rFonts w:ascii="Arial Narrow" w:hAnsi="Arial Narrow" w:cs="Arial Narrow"/>
          <w:bCs/>
        </w:rPr>
        <w:t xml:space="preserve"> has approached</w:t>
      </w:r>
      <w:r>
        <w:rPr>
          <w:rFonts w:ascii="Arial Narrow" w:hAnsi="Arial Narrow" w:cs="Arial Narrow"/>
          <w:bCs/>
        </w:rPr>
        <w:t xml:space="preserve"> Provincial</w:t>
      </w:r>
      <w:r w:rsidRPr="00F85A79">
        <w:rPr>
          <w:rFonts w:ascii="Arial Narrow" w:hAnsi="Arial Narrow" w:cs="Arial Narrow"/>
          <w:bCs/>
        </w:rPr>
        <w:t xml:space="preserve"> Treasury to recapitalise the fund to cover more industries </w:t>
      </w:r>
      <w:r>
        <w:rPr>
          <w:rFonts w:ascii="Arial Narrow" w:hAnsi="Arial Narrow" w:cs="Arial Narrow"/>
          <w:bCs/>
        </w:rPr>
        <w:t>within</w:t>
      </w:r>
      <w:r w:rsidRPr="00F85A79">
        <w:rPr>
          <w:rFonts w:ascii="Arial Narrow" w:hAnsi="Arial Narrow" w:cs="Arial Narrow"/>
          <w:bCs/>
        </w:rPr>
        <w:t xml:space="preserve"> township</w:t>
      </w:r>
      <w:r>
        <w:rPr>
          <w:rFonts w:ascii="Arial Narrow" w:hAnsi="Arial Narrow" w:cs="Arial Narrow"/>
          <w:bCs/>
        </w:rPr>
        <w:t xml:space="preserve">s and to </w:t>
      </w:r>
      <w:r w:rsidRPr="00F85A79">
        <w:rPr>
          <w:rFonts w:ascii="Arial Narrow" w:hAnsi="Arial Narrow" w:cs="Arial Narrow"/>
          <w:bCs/>
        </w:rPr>
        <w:t>date more than 1000 jobs have been stimulated.</w:t>
      </w:r>
      <w:r>
        <w:rPr>
          <w:rFonts w:ascii="Arial Narrow" w:hAnsi="Arial Narrow" w:cs="Arial Narrow"/>
          <w:bCs/>
        </w:rPr>
        <w:t xml:space="preserve"> </w:t>
      </w:r>
      <w:bookmarkStart w:id="24" w:name="_Hlk151373587"/>
      <w:r w:rsidRPr="00F85A79">
        <w:rPr>
          <w:rFonts w:ascii="Arial Narrow" w:hAnsi="Arial Narrow" w:cs="Arial Narrow"/>
          <w:b/>
        </w:rPr>
        <w:t xml:space="preserve">The Committee should be appraised on the details related to the functioning of the Kasi Umnotho Fund and the role of Family Tree, noting that several concerns were previously raised by the Committee </w:t>
      </w:r>
      <w:proofErr w:type="gramStart"/>
      <w:r>
        <w:rPr>
          <w:rFonts w:ascii="Arial Narrow" w:hAnsi="Arial Narrow" w:cs="Arial Narrow"/>
          <w:b/>
        </w:rPr>
        <w:t>in particular on</w:t>
      </w:r>
      <w:proofErr w:type="gramEnd"/>
      <w:r>
        <w:rPr>
          <w:rFonts w:ascii="Arial Narrow" w:hAnsi="Arial Narrow" w:cs="Arial Narrow"/>
          <w:b/>
        </w:rPr>
        <w:t xml:space="preserve"> </w:t>
      </w:r>
      <w:r w:rsidRPr="00F85A79">
        <w:rPr>
          <w:rFonts w:ascii="Arial Narrow" w:hAnsi="Arial Narrow" w:cs="Arial Narrow"/>
          <w:b/>
        </w:rPr>
        <w:t>Family Tree.</w:t>
      </w:r>
      <w:r>
        <w:rPr>
          <w:rFonts w:ascii="Arial Narrow" w:hAnsi="Arial Narrow" w:cs="Arial Narrow"/>
          <w:bCs/>
        </w:rPr>
        <w:t xml:space="preserve">  </w:t>
      </w:r>
    </w:p>
    <w:p w14:paraId="2E826925" w14:textId="77777777" w:rsidR="00F85A79" w:rsidRPr="00F85A79" w:rsidRDefault="00F85A79" w:rsidP="00F85A79">
      <w:pPr>
        <w:spacing w:line="276" w:lineRule="auto"/>
        <w:rPr>
          <w:rFonts w:ascii="Arial Narrow" w:hAnsi="Arial Narrow" w:cs="Arial Narrow"/>
          <w:bCs/>
        </w:rPr>
      </w:pPr>
    </w:p>
    <w:bookmarkEnd w:id="24"/>
    <w:p w14:paraId="16B31BB9" w14:textId="3FBEBF44" w:rsidR="003930F2" w:rsidRDefault="00FA165A" w:rsidP="00F85A79">
      <w:pPr>
        <w:spacing w:line="276" w:lineRule="auto"/>
        <w:rPr>
          <w:rFonts w:ascii="Arial Narrow" w:hAnsi="Arial Narrow" w:cs="Arial Narrow"/>
          <w:bCs/>
        </w:rPr>
      </w:pPr>
      <w:r>
        <w:rPr>
          <w:rFonts w:ascii="Arial Narrow" w:hAnsi="Arial Narrow" w:cs="Arial Narrow"/>
          <w:bCs/>
        </w:rPr>
        <w:t>Furthermore, t</w:t>
      </w:r>
      <w:r w:rsidR="00F85A79" w:rsidRPr="00F85A79">
        <w:rPr>
          <w:rFonts w:ascii="Arial Narrow" w:hAnsi="Arial Narrow" w:cs="Arial Narrow"/>
          <w:bCs/>
        </w:rPr>
        <w:t>he various funds under the TEPF are at various stages of implementation with the following outputs achieved to date</w:t>
      </w:r>
      <w:r>
        <w:rPr>
          <w:rFonts w:ascii="Arial Narrow" w:hAnsi="Arial Narrow" w:cs="Arial Narrow"/>
          <w:bCs/>
        </w:rPr>
        <w:t>, with the t</w:t>
      </w:r>
      <w:r w:rsidR="00F85A79" w:rsidRPr="00F85A79">
        <w:rPr>
          <w:rFonts w:ascii="Arial Narrow" w:hAnsi="Arial Narrow" w:cs="Arial Narrow"/>
          <w:bCs/>
        </w:rPr>
        <w:t xml:space="preserve">otal value of </w:t>
      </w:r>
      <w:r>
        <w:rPr>
          <w:rFonts w:ascii="Arial Narrow" w:hAnsi="Arial Narrow" w:cs="Arial Narrow"/>
          <w:bCs/>
        </w:rPr>
        <w:t>a</w:t>
      </w:r>
      <w:r w:rsidR="00F85A79" w:rsidRPr="00F85A79">
        <w:rPr>
          <w:rFonts w:ascii="Arial Narrow" w:hAnsi="Arial Narrow" w:cs="Arial Narrow"/>
          <w:bCs/>
        </w:rPr>
        <w:t>pprovals made to SMME</w:t>
      </w:r>
      <w:r>
        <w:rPr>
          <w:rFonts w:ascii="Arial Narrow" w:hAnsi="Arial Narrow" w:cs="Arial Narrow"/>
          <w:bCs/>
        </w:rPr>
        <w:t>’</w:t>
      </w:r>
      <w:r w:rsidR="00F85A79" w:rsidRPr="00F85A79">
        <w:rPr>
          <w:rFonts w:ascii="Arial Narrow" w:hAnsi="Arial Narrow" w:cs="Arial Narrow"/>
          <w:bCs/>
        </w:rPr>
        <w:t>s</w:t>
      </w:r>
      <w:r>
        <w:rPr>
          <w:rFonts w:ascii="Arial Narrow" w:hAnsi="Arial Narrow" w:cs="Arial Narrow"/>
          <w:bCs/>
        </w:rPr>
        <w:t xml:space="preserve"> is</w:t>
      </w:r>
      <w:r w:rsidR="00F85A79" w:rsidRPr="00F85A79">
        <w:rPr>
          <w:rFonts w:ascii="Arial Narrow" w:hAnsi="Arial Narrow" w:cs="Arial Narrow"/>
          <w:bCs/>
        </w:rPr>
        <w:t xml:space="preserve"> at R 323</w:t>
      </w:r>
      <w:r>
        <w:rPr>
          <w:rFonts w:ascii="Arial Narrow" w:hAnsi="Arial Narrow" w:cs="Arial Narrow"/>
          <w:bCs/>
        </w:rPr>
        <w:t> 000 000 (R323m). Whilst there have been 1598 beneficiaries and 5467 job created. However, t</w:t>
      </w:r>
      <w:r w:rsidR="00F85A79" w:rsidRPr="00F85A79">
        <w:rPr>
          <w:rFonts w:ascii="Arial Narrow" w:hAnsi="Arial Narrow" w:cs="Arial Narrow"/>
          <w:bCs/>
        </w:rPr>
        <w:t xml:space="preserve">wo funds </w:t>
      </w:r>
      <w:proofErr w:type="gramStart"/>
      <w:r w:rsidR="00F85A79" w:rsidRPr="00F85A79">
        <w:rPr>
          <w:rFonts w:ascii="Arial Narrow" w:hAnsi="Arial Narrow" w:cs="Arial Narrow"/>
          <w:bCs/>
        </w:rPr>
        <w:t>namely;</w:t>
      </w:r>
      <w:proofErr w:type="gramEnd"/>
      <w:r w:rsidR="00F85A79" w:rsidRPr="00F85A79">
        <w:rPr>
          <w:rFonts w:ascii="Arial Narrow" w:hAnsi="Arial Narrow" w:cs="Arial Narrow"/>
          <w:bCs/>
        </w:rPr>
        <w:t xml:space="preserve"> Kasi </w:t>
      </w:r>
      <w:r>
        <w:rPr>
          <w:rFonts w:ascii="Arial Narrow" w:hAnsi="Arial Narrow" w:cs="Arial Narrow"/>
          <w:bCs/>
        </w:rPr>
        <w:t>Um</w:t>
      </w:r>
      <w:r w:rsidR="00F85A79" w:rsidRPr="00F85A79">
        <w:rPr>
          <w:rFonts w:ascii="Arial Narrow" w:hAnsi="Arial Narrow" w:cs="Arial Narrow"/>
          <w:bCs/>
        </w:rPr>
        <w:t>notho and Indlu township property fund</w:t>
      </w:r>
      <w:r>
        <w:rPr>
          <w:rFonts w:ascii="Arial Narrow" w:hAnsi="Arial Narrow" w:cs="Arial Narrow"/>
          <w:bCs/>
        </w:rPr>
        <w:t>s</w:t>
      </w:r>
      <w:r w:rsidR="00F85A79" w:rsidRPr="00F85A79">
        <w:rPr>
          <w:rFonts w:ascii="Arial Narrow" w:hAnsi="Arial Narrow" w:cs="Arial Narrow"/>
          <w:bCs/>
        </w:rPr>
        <w:t xml:space="preserve"> experienced delay</w:t>
      </w:r>
      <w:r>
        <w:rPr>
          <w:rFonts w:ascii="Arial Narrow" w:hAnsi="Arial Narrow" w:cs="Arial Narrow"/>
          <w:bCs/>
        </w:rPr>
        <w:t>s in</w:t>
      </w:r>
      <w:r w:rsidR="00F85A79" w:rsidRPr="00F85A79">
        <w:rPr>
          <w:rFonts w:ascii="Arial Narrow" w:hAnsi="Arial Narrow" w:cs="Arial Narrow"/>
          <w:bCs/>
        </w:rPr>
        <w:t xml:space="preserve"> implementation due to prolonged processes of finalizing approvals by their bank</w:t>
      </w:r>
      <w:r>
        <w:rPr>
          <w:rFonts w:ascii="Arial Narrow" w:hAnsi="Arial Narrow" w:cs="Arial Narrow"/>
          <w:bCs/>
        </w:rPr>
        <w:t>ing</w:t>
      </w:r>
      <w:r w:rsidR="00F85A79" w:rsidRPr="00F85A79">
        <w:rPr>
          <w:rFonts w:ascii="Arial Narrow" w:hAnsi="Arial Narrow" w:cs="Arial Narrow"/>
          <w:bCs/>
        </w:rPr>
        <w:t xml:space="preserve"> sector partners. These have since been finalized and implementation will take place in</w:t>
      </w:r>
      <w:r>
        <w:rPr>
          <w:rFonts w:ascii="Arial Narrow" w:hAnsi="Arial Narrow" w:cs="Arial Narrow"/>
          <w:bCs/>
        </w:rPr>
        <w:t xml:space="preserve"> the 3</w:t>
      </w:r>
      <w:r w:rsidRPr="00FA165A">
        <w:rPr>
          <w:rFonts w:ascii="Arial Narrow" w:hAnsi="Arial Narrow" w:cs="Arial Narrow"/>
          <w:bCs/>
          <w:vertAlign w:val="superscript"/>
        </w:rPr>
        <w:t>rd</w:t>
      </w:r>
      <w:r>
        <w:rPr>
          <w:rFonts w:ascii="Arial Narrow" w:hAnsi="Arial Narrow" w:cs="Arial Narrow"/>
          <w:bCs/>
        </w:rPr>
        <w:t xml:space="preserve"> </w:t>
      </w:r>
      <w:r w:rsidR="00F85A79" w:rsidRPr="00F85A79">
        <w:rPr>
          <w:rFonts w:ascii="Arial Narrow" w:hAnsi="Arial Narrow" w:cs="Arial Narrow"/>
          <w:bCs/>
        </w:rPr>
        <w:t xml:space="preserve">Quarter of the </w:t>
      </w:r>
      <w:r>
        <w:rPr>
          <w:rFonts w:ascii="Arial Narrow" w:hAnsi="Arial Narrow" w:cs="Arial Narrow"/>
          <w:bCs/>
        </w:rPr>
        <w:t>20</w:t>
      </w:r>
      <w:r w:rsidR="00F85A79" w:rsidRPr="00F85A79">
        <w:rPr>
          <w:rFonts w:ascii="Arial Narrow" w:hAnsi="Arial Narrow" w:cs="Arial Narrow"/>
          <w:bCs/>
        </w:rPr>
        <w:t>23/24 FY</w:t>
      </w:r>
      <w:r>
        <w:rPr>
          <w:rFonts w:ascii="Arial Narrow" w:hAnsi="Arial Narrow" w:cs="Arial Narrow"/>
          <w:bCs/>
        </w:rPr>
        <w:t xml:space="preserve">, in this regard the Committee will continuously monitor progress in this regard. </w:t>
      </w:r>
    </w:p>
    <w:p w14:paraId="2D700319" w14:textId="77777777" w:rsidR="003930F2" w:rsidRDefault="003930F2" w:rsidP="00C93456">
      <w:pPr>
        <w:spacing w:line="276" w:lineRule="auto"/>
        <w:rPr>
          <w:rFonts w:ascii="Arial Narrow" w:hAnsi="Arial Narrow" w:cs="Arial Narrow"/>
          <w:bCs/>
        </w:rPr>
      </w:pPr>
    </w:p>
    <w:p w14:paraId="050554E7" w14:textId="09733060" w:rsidR="00B73468" w:rsidRDefault="00B73468" w:rsidP="00F5762A">
      <w:pPr>
        <w:spacing w:line="276" w:lineRule="auto"/>
        <w:rPr>
          <w:rFonts w:ascii="Arial Narrow" w:hAnsi="Arial Narrow" w:cs="Arial Narrow"/>
          <w:b/>
        </w:rPr>
      </w:pPr>
      <w:bookmarkStart w:id="25" w:name="_Hlk120227531"/>
      <w:r>
        <w:rPr>
          <w:rFonts w:ascii="Arial Narrow" w:hAnsi="Arial Narrow" w:cs="Arial Narrow"/>
          <w:bCs/>
        </w:rPr>
        <w:t>The Committee</w:t>
      </w:r>
      <w:r w:rsidR="002803B2">
        <w:rPr>
          <w:rFonts w:ascii="Arial Narrow" w:hAnsi="Arial Narrow" w:cs="Arial Narrow"/>
          <w:bCs/>
        </w:rPr>
        <w:t xml:space="preserve"> continues to implore on the Department that the </w:t>
      </w:r>
      <w:r>
        <w:rPr>
          <w:rFonts w:ascii="Arial Narrow" w:hAnsi="Arial Narrow" w:cs="Arial Narrow"/>
          <w:bCs/>
        </w:rPr>
        <w:t>funds that have been outlined</w:t>
      </w:r>
      <w:r w:rsidR="002803B2">
        <w:rPr>
          <w:rFonts w:ascii="Arial Narrow" w:hAnsi="Arial Narrow" w:cs="Arial Narrow"/>
          <w:bCs/>
        </w:rPr>
        <w:t xml:space="preserve"> are being </w:t>
      </w:r>
      <w:r>
        <w:rPr>
          <w:rFonts w:ascii="Arial Narrow" w:hAnsi="Arial Narrow" w:cs="Arial Narrow"/>
          <w:bCs/>
        </w:rPr>
        <w:t>leveraged on</w:t>
      </w:r>
      <w:r w:rsidR="002803B2">
        <w:rPr>
          <w:rFonts w:ascii="Arial Narrow" w:hAnsi="Arial Narrow" w:cs="Arial Narrow"/>
          <w:bCs/>
        </w:rPr>
        <w:t xml:space="preserve"> and as such these </w:t>
      </w:r>
      <w:r>
        <w:rPr>
          <w:rFonts w:ascii="Arial Narrow" w:hAnsi="Arial Narrow" w:cs="Arial Narrow"/>
          <w:bCs/>
        </w:rPr>
        <w:t>funds</w:t>
      </w:r>
      <w:r w:rsidR="002803B2">
        <w:rPr>
          <w:rFonts w:ascii="Arial Narrow" w:hAnsi="Arial Narrow" w:cs="Arial Narrow"/>
          <w:bCs/>
        </w:rPr>
        <w:t xml:space="preserve"> </w:t>
      </w:r>
      <w:r>
        <w:rPr>
          <w:rFonts w:ascii="Arial Narrow" w:hAnsi="Arial Narrow" w:cs="Arial Narrow"/>
          <w:bCs/>
        </w:rPr>
        <w:t xml:space="preserve">should bear fruit </w:t>
      </w:r>
      <w:r w:rsidR="00C72BBC">
        <w:rPr>
          <w:rFonts w:ascii="Arial Narrow" w:hAnsi="Arial Narrow" w:cs="Arial Narrow"/>
          <w:bCs/>
        </w:rPr>
        <w:t xml:space="preserve">and realise </w:t>
      </w:r>
      <w:r>
        <w:rPr>
          <w:rFonts w:ascii="Arial Narrow" w:hAnsi="Arial Narrow" w:cs="Arial Narrow"/>
          <w:bCs/>
        </w:rPr>
        <w:t>tangible outcomes such as</w:t>
      </w:r>
      <w:r w:rsidR="00C72BBC">
        <w:rPr>
          <w:rFonts w:ascii="Arial Narrow" w:hAnsi="Arial Narrow" w:cs="Arial Narrow"/>
          <w:bCs/>
        </w:rPr>
        <w:t xml:space="preserve"> the number of jobs created in various sectors</w:t>
      </w:r>
      <w:r>
        <w:rPr>
          <w:rFonts w:ascii="Arial Narrow" w:hAnsi="Arial Narrow" w:cs="Arial Narrow"/>
          <w:bCs/>
        </w:rPr>
        <w:t xml:space="preserve"> and other economic opportunities within townships in the </w:t>
      </w:r>
      <w:proofErr w:type="gramStart"/>
      <w:r>
        <w:rPr>
          <w:rFonts w:ascii="Arial Narrow" w:hAnsi="Arial Narrow" w:cs="Arial Narrow"/>
          <w:bCs/>
        </w:rPr>
        <w:t>Province</w:t>
      </w:r>
      <w:proofErr w:type="gramEnd"/>
      <w:r>
        <w:rPr>
          <w:rFonts w:ascii="Arial Narrow" w:hAnsi="Arial Narrow" w:cs="Arial Narrow"/>
          <w:bCs/>
        </w:rPr>
        <w:t>.</w:t>
      </w:r>
      <w:r w:rsidR="002803B2">
        <w:rPr>
          <w:rFonts w:ascii="Arial Narrow" w:hAnsi="Arial Narrow" w:cs="Arial Narrow"/>
          <w:bCs/>
        </w:rPr>
        <w:t xml:space="preserve"> </w:t>
      </w:r>
      <w:bookmarkStart w:id="26" w:name="_Hlk151378022"/>
      <w:r w:rsidR="00C72BBC" w:rsidRPr="00C72BBC">
        <w:rPr>
          <w:rFonts w:ascii="Arial Narrow" w:hAnsi="Arial Narrow" w:cs="Arial Narrow"/>
          <w:b/>
        </w:rPr>
        <w:t>It is in this light that the Department should</w:t>
      </w:r>
      <w:r w:rsidR="00154410">
        <w:rPr>
          <w:rFonts w:ascii="Arial Narrow" w:hAnsi="Arial Narrow" w:cs="Arial Narrow"/>
          <w:b/>
        </w:rPr>
        <w:t>,</w:t>
      </w:r>
      <w:r w:rsidR="00C72BBC" w:rsidRPr="00C72BBC">
        <w:rPr>
          <w:rFonts w:ascii="Arial Narrow" w:hAnsi="Arial Narrow" w:cs="Arial Narrow"/>
          <w:b/>
        </w:rPr>
        <w:t xml:space="preserve"> on a quarterly basis</w:t>
      </w:r>
      <w:r w:rsidR="00154410">
        <w:rPr>
          <w:rFonts w:ascii="Arial Narrow" w:hAnsi="Arial Narrow" w:cs="Arial Narrow"/>
          <w:b/>
        </w:rPr>
        <w:t>,</w:t>
      </w:r>
      <w:r w:rsidR="002803B2">
        <w:rPr>
          <w:rFonts w:ascii="Arial Narrow" w:hAnsi="Arial Narrow" w:cs="Arial Narrow"/>
          <w:b/>
        </w:rPr>
        <w:t xml:space="preserve"> continue to</w:t>
      </w:r>
      <w:r w:rsidR="00C72BBC" w:rsidRPr="00C72BBC">
        <w:rPr>
          <w:rFonts w:ascii="Arial Narrow" w:hAnsi="Arial Narrow" w:cs="Arial Narrow"/>
          <w:b/>
        </w:rPr>
        <w:t xml:space="preserve"> report on the number of jobs created both permanent and temporary jobs </w:t>
      </w:r>
      <w:r w:rsidR="002803B2" w:rsidRPr="00C72BBC">
        <w:rPr>
          <w:rFonts w:ascii="Arial Narrow" w:hAnsi="Arial Narrow" w:cs="Arial Narrow"/>
          <w:b/>
        </w:rPr>
        <w:t>and</w:t>
      </w:r>
      <w:r w:rsidR="00C72BBC" w:rsidRPr="00C72BBC">
        <w:rPr>
          <w:rFonts w:ascii="Arial Narrow" w:hAnsi="Arial Narrow" w:cs="Arial Narrow"/>
          <w:b/>
        </w:rPr>
        <w:t xml:space="preserve"> linking them to the funds that have been leveraged on.</w:t>
      </w:r>
    </w:p>
    <w:bookmarkEnd w:id="26"/>
    <w:p w14:paraId="00986FF8" w14:textId="77777777" w:rsidR="008E450E" w:rsidRDefault="008E450E" w:rsidP="00F5762A">
      <w:pPr>
        <w:spacing w:line="276" w:lineRule="auto"/>
        <w:rPr>
          <w:rFonts w:ascii="Arial Narrow" w:hAnsi="Arial Narrow" w:cs="Arial Narrow"/>
          <w:b/>
        </w:rPr>
      </w:pPr>
    </w:p>
    <w:p w14:paraId="0FF65BF1" w14:textId="285DC9F6" w:rsidR="008E450E" w:rsidRPr="008E450E" w:rsidRDefault="008E450E" w:rsidP="00F5762A">
      <w:pPr>
        <w:spacing w:line="276" w:lineRule="auto"/>
        <w:rPr>
          <w:rFonts w:ascii="Arial Narrow" w:hAnsi="Arial Narrow" w:cs="Arial Narrow"/>
          <w:bCs/>
        </w:rPr>
      </w:pPr>
      <w:r w:rsidRPr="008E450E">
        <w:rPr>
          <w:rFonts w:ascii="Arial Narrow" w:hAnsi="Arial Narrow" w:cs="Arial Narrow"/>
          <w:bCs/>
        </w:rPr>
        <w:t>The Committee noted that in terms of the status of the implementation of the GEP turnaround strategy, the entity managed to implement 57% of the recommendations of the strategy. In the current year to date, the entity continues to implement the remaining 6 (43%) of the key recommendations. The recommendations are in line with the process to reconfigure GEP. These recommendations include the review of the Gauteng Entrepreneurship Model (GEM), the review of operations management guidelines, methodology and processes informed by the Department of Public Service and Administration (DPSA) operations management framework, the review and development of the GEP commercial strategy as well as the profiling of position post restructuring and change management implementation.</w:t>
      </w:r>
    </w:p>
    <w:bookmarkEnd w:id="25"/>
    <w:p w14:paraId="24674604" w14:textId="77777777" w:rsidR="00CD0857" w:rsidRDefault="00CD0857" w:rsidP="00C93456">
      <w:pPr>
        <w:spacing w:line="276" w:lineRule="auto"/>
        <w:rPr>
          <w:rFonts w:ascii="Arial Narrow" w:hAnsi="Arial Narrow" w:cs="Arial Narrow"/>
          <w:bCs/>
        </w:rPr>
      </w:pPr>
    </w:p>
    <w:p w14:paraId="53EDB126" w14:textId="77777777" w:rsidR="00FE0B83" w:rsidRPr="0079000E" w:rsidRDefault="00FE0B83" w:rsidP="00C93456">
      <w:pPr>
        <w:spacing w:line="276" w:lineRule="auto"/>
        <w:rPr>
          <w:rFonts w:ascii="Arial Narrow" w:hAnsi="Arial Narrow" w:cs="Arial Narrow"/>
          <w:b/>
          <w:bCs/>
        </w:rPr>
      </w:pPr>
      <w:r w:rsidRPr="0079000E">
        <w:rPr>
          <w:rFonts w:ascii="Arial Narrow" w:hAnsi="Arial Narrow" w:cs="Arial Narrow"/>
          <w:b/>
          <w:bCs/>
        </w:rPr>
        <w:t>PROGRAMME 3. Trade and Sector Development</w:t>
      </w:r>
    </w:p>
    <w:p w14:paraId="60B1F2F1" w14:textId="77777777" w:rsidR="00FE0B83" w:rsidRPr="0079000E" w:rsidRDefault="00FE0B83" w:rsidP="00C93456">
      <w:pPr>
        <w:spacing w:line="276" w:lineRule="auto"/>
        <w:rPr>
          <w:rFonts w:ascii="Arial Narrow" w:hAnsi="Arial Narrow" w:cs="Arial Narrow"/>
          <w:bCs/>
        </w:rPr>
      </w:pPr>
    </w:p>
    <w:p w14:paraId="25C1F639" w14:textId="77777777" w:rsidR="00AA0371" w:rsidRPr="0079000E" w:rsidRDefault="00AA0371" w:rsidP="00C93456">
      <w:pPr>
        <w:spacing w:line="276" w:lineRule="auto"/>
        <w:rPr>
          <w:rFonts w:ascii="Arial Narrow" w:hAnsi="Arial Narrow" w:cs="Arial Narrow"/>
          <w:bCs/>
        </w:rPr>
      </w:pPr>
      <w:r w:rsidRPr="00AA0371">
        <w:rPr>
          <w:rFonts w:ascii="Arial Narrow" w:hAnsi="Arial Narrow" w:cs="Arial Narrow"/>
          <w:bCs/>
          <w:lang w:val="en-US"/>
        </w:rPr>
        <w:t xml:space="preserve">The purpose of this programme is to ensure Re-Industrialization that addresses the triple policy imperatives of decent work, inclusive </w:t>
      </w:r>
      <w:proofErr w:type="gramStart"/>
      <w:r w:rsidRPr="00AA0371">
        <w:rPr>
          <w:rFonts w:ascii="Arial Narrow" w:hAnsi="Arial Narrow" w:cs="Arial Narrow"/>
          <w:bCs/>
          <w:lang w:val="en-US"/>
        </w:rPr>
        <w:t>economy</w:t>
      </w:r>
      <w:proofErr w:type="gramEnd"/>
      <w:r w:rsidRPr="00AA0371">
        <w:rPr>
          <w:rFonts w:ascii="Arial Narrow" w:hAnsi="Arial Narrow" w:cs="Arial Narrow"/>
          <w:bCs/>
          <w:lang w:val="en-US"/>
        </w:rPr>
        <w:t xml:space="preserve"> and equality. The programme’s objective is to support, stimulate the competitiveness of, and transform the 11 identified economic growth sectors (finance, automotive industry, </w:t>
      </w:r>
      <w:r w:rsidRPr="00AA0371">
        <w:rPr>
          <w:rFonts w:ascii="Arial Narrow" w:hAnsi="Arial Narrow" w:cs="Arial Narrow"/>
          <w:bCs/>
          <w:lang w:val="en-US"/>
        </w:rPr>
        <w:lastRenderedPageBreak/>
        <w:t xml:space="preserve">manufacturing, </w:t>
      </w:r>
      <w:proofErr w:type="gramStart"/>
      <w:r w:rsidRPr="00AA0371">
        <w:rPr>
          <w:rFonts w:ascii="Arial Narrow" w:hAnsi="Arial Narrow" w:cs="Arial Narrow"/>
          <w:bCs/>
          <w:lang w:val="en-US"/>
        </w:rPr>
        <w:t>information</w:t>
      </w:r>
      <w:proofErr w:type="gramEnd"/>
      <w:r w:rsidRPr="00AA0371">
        <w:rPr>
          <w:rFonts w:ascii="Arial Narrow" w:hAnsi="Arial Narrow" w:cs="Arial Narrow"/>
          <w:bCs/>
          <w:lang w:val="en-US"/>
        </w:rPr>
        <w:t xml:space="preserve"> and communications technology (ICT), tourism, pharmaceuticals, creative industries, construction, real estate, mineral beneficiation a</w:t>
      </w:r>
      <w:r>
        <w:rPr>
          <w:rFonts w:ascii="Arial Narrow" w:hAnsi="Arial Narrow" w:cs="Arial Narrow"/>
          <w:bCs/>
          <w:lang w:val="en-US"/>
        </w:rPr>
        <w:t xml:space="preserve">nd </w:t>
      </w:r>
      <w:proofErr w:type="spellStart"/>
      <w:r>
        <w:rPr>
          <w:rFonts w:ascii="Arial Narrow" w:hAnsi="Arial Narrow" w:cs="Arial Narrow"/>
          <w:bCs/>
          <w:lang w:val="en-US"/>
        </w:rPr>
        <w:t>agro</w:t>
      </w:r>
      <w:proofErr w:type="spellEnd"/>
      <w:r>
        <w:rPr>
          <w:rFonts w:ascii="Arial Narrow" w:hAnsi="Arial Narrow" w:cs="Arial Narrow"/>
          <w:bCs/>
          <w:lang w:val="en-US"/>
        </w:rPr>
        <w:t xml:space="preserve">-processing). </w:t>
      </w:r>
    </w:p>
    <w:p w14:paraId="035B469C" w14:textId="77777777" w:rsidR="002803B2" w:rsidRDefault="002803B2" w:rsidP="00C93456">
      <w:pPr>
        <w:spacing w:line="276" w:lineRule="auto"/>
        <w:rPr>
          <w:rFonts w:ascii="Arial Narrow" w:hAnsi="Arial Narrow" w:cs="Arial Narrow"/>
          <w:bCs/>
        </w:rPr>
      </w:pPr>
    </w:p>
    <w:p w14:paraId="4982A7A6" w14:textId="4477726B" w:rsidR="00362C83" w:rsidRDefault="00C96233" w:rsidP="00C93456">
      <w:pPr>
        <w:spacing w:line="276" w:lineRule="auto"/>
        <w:rPr>
          <w:rFonts w:ascii="Arial Narrow" w:hAnsi="Arial Narrow" w:cs="Arial Narrow"/>
          <w:bCs/>
        </w:rPr>
      </w:pPr>
      <w:r>
        <w:rPr>
          <w:rFonts w:ascii="Arial Narrow" w:hAnsi="Arial Narrow" w:cs="Arial Narrow"/>
          <w:bCs/>
        </w:rPr>
        <w:t>In the year under review the Committee noted that the Department</w:t>
      </w:r>
      <w:r w:rsidR="00E76541">
        <w:rPr>
          <w:rFonts w:ascii="Arial Narrow" w:hAnsi="Arial Narrow" w:cs="Arial Narrow"/>
          <w:bCs/>
        </w:rPr>
        <w:t xml:space="preserve"> under this programme</w:t>
      </w:r>
      <w:r>
        <w:rPr>
          <w:rFonts w:ascii="Arial Narrow" w:hAnsi="Arial Narrow" w:cs="Arial Narrow"/>
          <w:bCs/>
        </w:rPr>
        <w:t xml:space="preserve"> budgeted an amount o</w:t>
      </w:r>
      <w:r w:rsidR="00576104">
        <w:rPr>
          <w:rFonts w:ascii="Arial Narrow" w:hAnsi="Arial Narrow" w:cs="Arial Narrow"/>
          <w:bCs/>
        </w:rPr>
        <w:t xml:space="preserve">f R 798 613 000 (R 798.6m) </w:t>
      </w:r>
      <w:r>
        <w:rPr>
          <w:rFonts w:ascii="Arial Narrow" w:hAnsi="Arial Narrow" w:cs="Arial Narrow"/>
          <w:bCs/>
        </w:rPr>
        <w:t xml:space="preserve">and the programme thus spent </w:t>
      </w:r>
      <w:r w:rsidR="00822CD9">
        <w:rPr>
          <w:rFonts w:ascii="Arial Narrow" w:hAnsi="Arial Narrow" w:cs="Arial Narrow"/>
          <w:bCs/>
        </w:rPr>
        <w:t>100</w:t>
      </w:r>
      <w:r w:rsidRPr="00C96233">
        <w:rPr>
          <w:rFonts w:ascii="Arial Narrow" w:hAnsi="Arial Narrow" w:cs="Arial Narrow"/>
          <w:bCs/>
        </w:rPr>
        <w:t xml:space="preserve">% of its budget. </w:t>
      </w:r>
      <w:r w:rsidR="00CC3A34">
        <w:rPr>
          <w:rFonts w:ascii="Arial Narrow" w:hAnsi="Arial Narrow" w:cs="Arial Narrow"/>
          <w:bCs/>
        </w:rPr>
        <w:t>Individual spending by entities within this programme will</w:t>
      </w:r>
      <w:r w:rsidR="00576104">
        <w:rPr>
          <w:rFonts w:ascii="Arial Narrow" w:hAnsi="Arial Narrow" w:cs="Arial Narrow"/>
          <w:bCs/>
        </w:rPr>
        <w:t xml:space="preserve"> be</w:t>
      </w:r>
      <w:r w:rsidR="00CC3A34">
        <w:rPr>
          <w:rFonts w:ascii="Arial Narrow" w:hAnsi="Arial Narrow" w:cs="Arial Narrow"/>
          <w:bCs/>
        </w:rPr>
        <w:t xml:space="preserve"> highlighted when considering agency oversight.</w:t>
      </w:r>
      <w:r w:rsidR="00D7013B">
        <w:rPr>
          <w:rFonts w:ascii="Arial Narrow" w:hAnsi="Arial Narrow" w:cs="Arial Narrow"/>
          <w:bCs/>
        </w:rPr>
        <w:t xml:space="preserve"> The programme attained 3 out of the planned 8 targets. </w:t>
      </w:r>
    </w:p>
    <w:p w14:paraId="2560CEE2" w14:textId="02A41B6F" w:rsidR="00E27BE4" w:rsidRDefault="00E27BE4" w:rsidP="00C93456">
      <w:pPr>
        <w:spacing w:line="276" w:lineRule="auto"/>
        <w:rPr>
          <w:rFonts w:ascii="Arial Narrow" w:hAnsi="Arial Narrow" w:cs="Arial Narrow"/>
          <w:bCs/>
        </w:rPr>
      </w:pPr>
      <w:bookmarkStart w:id="27" w:name="_Hlk120227804"/>
    </w:p>
    <w:p w14:paraId="655637D3" w14:textId="4C820B03" w:rsidR="00170BF3" w:rsidRPr="00170BF3" w:rsidRDefault="00576104" w:rsidP="00170BF3">
      <w:pPr>
        <w:spacing w:line="276" w:lineRule="auto"/>
        <w:rPr>
          <w:rFonts w:ascii="Arial Narrow" w:hAnsi="Arial Narrow" w:cs="Arial Narrow"/>
          <w:bCs/>
        </w:rPr>
      </w:pPr>
      <w:r>
        <w:rPr>
          <w:rFonts w:ascii="Arial Narrow" w:hAnsi="Arial Narrow" w:cs="Arial Narrow"/>
          <w:bCs/>
        </w:rPr>
        <w:t xml:space="preserve">Under this programme and </w:t>
      </w:r>
      <w:proofErr w:type="gramStart"/>
      <w:r>
        <w:rPr>
          <w:rFonts w:ascii="Arial Narrow" w:hAnsi="Arial Narrow" w:cs="Arial Narrow"/>
          <w:bCs/>
        </w:rPr>
        <w:t>in particular within</w:t>
      </w:r>
      <w:proofErr w:type="gramEnd"/>
      <w:r>
        <w:rPr>
          <w:rFonts w:ascii="Arial Narrow" w:hAnsi="Arial Narrow" w:cs="Arial Narrow"/>
          <w:bCs/>
        </w:rPr>
        <w:t xml:space="preserve"> the Gauteng Growth Development Agency (GGDA) which is housed under this programme, </w:t>
      </w:r>
      <w:r w:rsidR="00170BF3">
        <w:rPr>
          <w:rFonts w:ascii="Arial Narrow" w:hAnsi="Arial Narrow" w:cs="Arial Narrow"/>
          <w:bCs/>
        </w:rPr>
        <w:t xml:space="preserve">many infrastructure projects have experienced delays. </w:t>
      </w:r>
      <w:bookmarkStart w:id="28" w:name="_Hlk151374640"/>
      <w:r w:rsidR="00170BF3">
        <w:rPr>
          <w:rFonts w:ascii="Arial Narrow" w:hAnsi="Arial Narrow" w:cs="Arial Narrow"/>
          <w:bCs/>
        </w:rPr>
        <w:t xml:space="preserve">Key highlights relate to </w:t>
      </w:r>
      <w:r w:rsidR="00170BF3" w:rsidRPr="00170BF3">
        <w:rPr>
          <w:rFonts w:ascii="Arial Narrow" w:hAnsi="Arial Narrow" w:cs="Arial Narrow"/>
          <w:bCs/>
        </w:rPr>
        <w:t>the Constitutional Hill Visitor Centre</w:t>
      </w:r>
      <w:r w:rsidR="00170BF3">
        <w:rPr>
          <w:rFonts w:ascii="Arial Narrow" w:hAnsi="Arial Narrow" w:cs="Arial Narrow"/>
          <w:bCs/>
        </w:rPr>
        <w:t xml:space="preserve"> which</w:t>
      </w:r>
      <w:r w:rsidR="00170BF3" w:rsidRPr="00170BF3">
        <w:rPr>
          <w:rFonts w:ascii="Arial Narrow" w:hAnsi="Arial Narrow" w:cs="Arial Narrow"/>
          <w:bCs/>
        </w:rPr>
        <w:t xml:space="preserve"> terminate</w:t>
      </w:r>
      <w:r w:rsidR="00170BF3">
        <w:rPr>
          <w:rFonts w:ascii="Arial Narrow" w:hAnsi="Arial Narrow" w:cs="Arial Narrow"/>
          <w:bCs/>
        </w:rPr>
        <w:t>d</w:t>
      </w:r>
      <w:r w:rsidR="00170BF3" w:rsidRPr="00170BF3">
        <w:rPr>
          <w:rFonts w:ascii="Arial Narrow" w:hAnsi="Arial Narrow" w:cs="Arial Narrow"/>
          <w:bCs/>
        </w:rPr>
        <w:t xml:space="preserve"> the contractor’s contract due to poor and slow performance as the contractor faced financial difficulties. </w:t>
      </w:r>
      <w:r w:rsidR="00170BF3">
        <w:rPr>
          <w:rFonts w:ascii="Arial Narrow" w:hAnsi="Arial Narrow" w:cs="Arial Narrow"/>
          <w:bCs/>
        </w:rPr>
        <w:t>In remedying the situation, the Department indicated that s</w:t>
      </w:r>
      <w:r w:rsidR="00170BF3" w:rsidRPr="00170BF3">
        <w:rPr>
          <w:rFonts w:ascii="Arial Narrow" w:hAnsi="Arial Narrow" w:cs="Arial Narrow"/>
          <w:bCs/>
        </w:rPr>
        <w:t xml:space="preserve">everal intervention measures </w:t>
      </w:r>
      <w:r w:rsidR="00170BF3">
        <w:rPr>
          <w:rFonts w:ascii="Arial Narrow" w:hAnsi="Arial Narrow" w:cs="Arial Narrow"/>
          <w:bCs/>
        </w:rPr>
        <w:t>have been</w:t>
      </w:r>
      <w:r w:rsidR="00170BF3" w:rsidRPr="00170BF3">
        <w:rPr>
          <w:rFonts w:ascii="Arial Narrow" w:hAnsi="Arial Narrow" w:cs="Arial Narrow"/>
          <w:bCs/>
        </w:rPr>
        <w:t xml:space="preserve"> implemented by the principal agent and GGDA on efforts to salvage the project. This included the certification of two progress certificates a month assist the contractor with cash flow. Further to that, as per the JBCC, the contractor was requested to provide an advance payment guarantee for approval, this was to further assist the contractor with cashflow. The contractor failed to provide such and as thus the interventions measures were not effective in improving the pace at which work was delivered and thus, not resulting nontangible physical progress.</w:t>
      </w:r>
      <w:r w:rsidR="00170BF3">
        <w:rPr>
          <w:rFonts w:ascii="Arial Narrow" w:hAnsi="Arial Narrow" w:cs="Arial Narrow"/>
          <w:bCs/>
        </w:rPr>
        <w:t xml:space="preserve"> </w:t>
      </w:r>
      <w:bookmarkEnd w:id="28"/>
    </w:p>
    <w:p w14:paraId="37A88D92" w14:textId="77777777" w:rsidR="00170BF3" w:rsidRPr="00170BF3" w:rsidRDefault="00170BF3" w:rsidP="00170BF3">
      <w:pPr>
        <w:spacing w:line="276" w:lineRule="auto"/>
        <w:rPr>
          <w:rFonts w:ascii="Arial Narrow" w:hAnsi="Arial Narrow" w:cs="Arial Narrow"/>
          <w:bCs/>
        </w:rPr>
      </w:pPr>
    </w:p>
    <w:p w14:paraId="11D25DD9" w14:textId="2A805A47" w:rsidR="00170BF3" w:rsidRPr="009263D1" w:rsidRDefault="00170BF3" w:rsidP="00170BF3">
      <w:pPr>
        <w:spacing w:line="276" w:lineRule="auto"/>
        <w:rPr>
          <w:rFonts w:ascii="Arial Narrow" w:hAnsi="Arial Narrow" w:cs="Arial Narrow"/>
          <w:b/>
        </w:rPr>
      </w:pPr>
      <w:r w:rsidRPr="00170BF3">
        <w:rPr>
          <w:rFonts w:ascii="Arial Narrow" w:hAnsi="Arial Narrow" w:cs="Arial Narrow"/>
          <w:bCs/>
        </w:rPr>
        <w:t>The</w:t>
      </w:r>
      <w:r>
        <w:rPr>
          <w:rFonts w:ascii="Arial Narrow" w:hAnsi="Arial Narrow" w:cs="Arial Narrow"/>
          <w:bCs/>
        </w:rPr>
        <w:t xml:space="preserve"> Department indicated that the</w:t>
      </w:r>
      <w:r w:rsidRPr="00170BF3">
        <w:rPr>
          <w:rFonts w:ascii="Arial Narrow" w:hAnsi="Arial Narrow" w:cs="Arial Narrow"/>
          <w:bCs/>
        </w:rPr>
        <w:t xml:space="preserve"> contractor was issued with the intent to terminate notice as per the JBCC contract, it was issued to the contractor on the 18</w:t>
      </w:r>
      <w:r w:rsidRPr="00170BF3">
        <w:rPr>
          <w:rFonts w:ascii="Arial Narrow" w:hAnsi="Arial Narrow" w:cs="Arial Narrow"/>
          <w:bCs/>
          <w:vertAlign w:val="superscript"/>
        </w:rPr>
        <w:t>th</w:t>
      </w:r>
      <w:r>
        <w:rPr>
          <w:rFonts w:ascii="Arial Narrow" w:hAnsi="Arial Narrow" w:cs="Arial Narrow"/>
          <w:bCs/>
        </w:rPr>
        <w:t xml:space="preserve"> </w:t>
      </w:r>
      <w:r w:rsidRPr="00170BF3">
        <w:rPr>
          <w:rFonts w:ascii="Arial Narrow" w:hAnsi="Arial Narrow" w:cs="Arial Narrow"/>
          <w:bCs/>
        </w:rPr>
        <w:t>of July 2023 with the final date to remedy the default by the 1</w:t>
      </w:r>
      <w:r w:rsidRPr="00170BF3">
        <w:rPr>
          <w:rFonts w:ascii="Arial Narrow" w:hAnsi="Arial Narrow" w:cs="Arial Narrow"/>
          <w:bCs/>
          <w:vertAlign w:val="superscript"/>
        </w:rPr>
        <w:t>st</w:t>
      </w:r>
      <w:r>
        <w:rPr>
          <w:rFonts w:ascii="Arial Narrow" w:hAnsi="Arial Narrow" w:cs="Arial Narrow"/>
          <w:bCs/>
        </w:rPr>
        <w:t xml:space="preserve"> </w:t>
      </w:r>
      <w:r w:rsidRPr="00170BF3">
        <w:rPr>
          <w:rFonts w:ascii="Arial Narrow" w:hAnsi="Arial Narrow" w:cs="Arial Narrow"/>
          <w:bCs/>
        </w:rPr>
        <w:t>of August 2023. The contractor failed to remedy the default</w:t>
      </w:r>
      <w:r>
        <w:rPr>
          <w:rFonts w:ascii="Arial Narrow" w:hAnsi="Arial Narrow" w:cs="Arial Narrow"/>
          <w:bCs/>
        </w:rPr>
        <w:t>s</w:t>
      </w:r>
      <w:r w:rsidRPr="00170BF3">
        <w:rPr>
          <w:rFonts w:ascii="Arial Narrow" w:hAnsi="Arial Narrow" w:cs="Arial Narrow"/>
          <w:bCs/>
        </w:rPr>
        <w:t xml:space="preserve"> within the period of the Notice of Intention to Terminate</w:t>
      </w:r>
      <w:r>
        <w:rPr>
          <w:rFonts w:ascii="Arial Narrow" w:hAnsi="Arial Narrow" w:cs="Arial Narrow"/>
          <w:bCs/>
        </w:rPr>
        <w:t xml:space="preserve"> thus the </w:t>
      </w:r>
      <w:r w:rsidRPr="00170BF3">
        <w:rPr>
          <w:rFonts w:ascii="Arial Narrow" w:hAnsi="Arial Narrow" w:cs="Arial Narrow"/>
          <w:bCs/>
        </w:rPr>
        <w:t>contract with the contractor was then terminated on the 15</w:t>
      </w:r>
      <w:r w:rsidRPr="00170BF3">
        <w:rPr>
          <w:rFonts w:ascii="Arial Narrow" w:hAnsi="Arial Narrow" w:cs="Arial Narrow"/>
          <w:bCs/>
          <w:vertAlign w:val="superscript"/>
        </w:rPr>
        <w:t>th</w:t>
      </w:r>
      <w:r>
        <w:rPr>
          <w:rFonts w:ascii="Arial Narrow" w:hAnsi="Arial Narrow" w:cs="Arial Narrow"/>
          <w:bCs/>
        </w:rPr>
        <w:t xml:space="preserve"> of</w:t>
      </w:r>
      <w:r w:rsidRPr="00170BF3">
        <w:rPr>
          <w:rFonts w:ascii="Arial Narrow" w:hAnsi="Arial Narrow" w:cs="Arial Narrow"/>
          <w:bCs/>
        </w:rPr>
        <w:t xml:space="preserve"> August 2023</w:t>
      </w:r>
      <w:bookmarkStart w:id="29" w:name="_Hlk151374901"/>
      <w:r>
        <w:rPr>
          <w:rFonts w:ascii="Arial Narrow" w:hAnsi="Arial Narrow" w:cs="Arial Narrow"/>
          <w:bCs/>
        </w:rPr>
        <w:t xml:space="preserve">. </w:t>
      </w:r>
      <w:proofErr w:type="gramStart"/>
      <w:r w:rsidR="009263D1" w:rsidRPr="009263D1">
        <w:rPr>
          <w:rFonts w:ascii="Arial Narrow" w:hAnsi="Arial Narrow" w:cs="Arial Narrow"/>
          <w:b/>
        </w:rPr>
        <w:t>I</w:t>
      </w:r>
      <w:r w:rsidRPr="009263D1">
        <w:rPr>
          <w:rFonts w:ascii="Arial Narrow" w:hAnsi="Arial Narrow" w:cs="Arial Narrow"/>
          <w:b/>
        </w:rPr>
        <w:t>n light of</w:t>
      </w:r>
      <w:proofErr w:type="gramEnd"/>
      <w:r w:rsidRPr="009263D1">
        <w:rPr>
          <w:rFonts w:ascii="Arial Narrow" w:hAnsi="Arial Narrow" w:cs="Arial Narrow"/>
          <w:b/>
        </w:rPr>
        <w:t xml:space="preserve"> this</w:t>
      </w:r>
      <w:r w:rsidR="009263D1">
        <w:rPr>
          <w:rFonts w:ascii="Arial Narrow" w:hAnsi="Arial Narrow" w:cs="Arial Narrow"/>
          <w:b/>
        </w:rPr>
        <w:t xml:space="preserve">, the Committee </w:t>
      </w:r>
      <w:r w:rsidRPr="009263D1">
        <w:rPr>
          <w:rFonts w:ascii="Arial Narrow" w:hAnsi="Arial Narrow" w:cs="Arial Narrow"/>
          <w:b/>
        </w:rPr>
        <w:t xml:space="preserve">questions the due diligence study undertaken by the Department including the bidding and supply chain management processes undertaken prior appointing the contractor. The full effectiveness of the Department to conduct thorough validation of the bidding contractors is placed in question, as </w:t>
      </w:r>
      <w:r w:rsidR="009263D1" w:rsidRPr="009263D1">
        <w:rPr>
          <w:rFonts w:ascii="Arial Narrow" w:hAnsi="Arial Narrow" w:cs="Arial Narrow"/>
          <w:b/>
        </w:rPr>
        <w:t xml:space="preserve">capable and reputable contractors were to be appointed </w:t>
      </w:r>
      <w:proofErr w:type="gramStart"/>
      <w:r w:rsidR="009263D1" w:rsidRPr="009263D1">
        <w:rPr>
          <w:rFonts w:ascii="Arial Narrow" w:hAnsi="Arial Narrow" w:cs="Arial Narrow"/>
          <w:b/>
        </w:rPr>
        <w:t>in order to</w:t>
      </w:r>
      <w:proofErr w:type="gramEnd"/>
      <w:r w:rsidR="009263D1" w:rsidRPr="009263D1">
        <w:rPr>
          <w:rFonts w:ascii="Arial Narrow" w:hAnsi="Arial Narrow" w:cs="Arial Narrow"/>
          <w:b/>
        </w:rPr>
        <w:t xml:space="preserve"> complete the project timeously. In addition to this, the Department should also highlight to the Committee what other punitive measures were taken on the contractor for failure to deliver apart from terminating the contract</w:t>
      </w:r>
      <w:r w:rsidR="00154410">
        <w:rPr>
          <w:rFonts w:ascii="Arial Narrow" w:hAnsi="Arial Narrow" w:cs="Arial Narrow"/>
          <w:b/>
        </w:rPr>
        <w:t>.</w:t>
      </w:r>
      <w:bookmarkEnd w:id="29"/>
      <w:r w:rsidR="009263D1" w:rsidRPr="009263D1">
        <w:rPr>
          <w:rFonts w:ascii="Arial Narrow" w:hAnsi="Arial Narrow" w:cs="Arial Narrow"/>
          <w:b/>
        </w:rPr>
        <w:t xml:space="preserve"> </w:t>
      </w:r>
    </w:p>
    <w:p w14:paraId="5EE9998B" w14:textId="77777777" w:rsidR="00170BF3" w:rsidRDefault="00170BF3" w:rsidP="00170BF3">
      <w:pPr>
        <w:spacing w:line="276" w:lineRule="auto"/>
        <w:rPr>
          <w:rFonts w:ascii="Arial Narrow" w:hAnsi="Arial Narrow" w:cs="Arial Narrow"/>
          <w:bCs/>
        </w:rPr>
      </w:pPr>
    </w:p>
    <w:p w14:paraId="60DC6AF7" w14:textId="27E5B5BC" w:rsidR="009263D1" w:rsidRPr="009263D1" w:rsidRDefault="009263D1" w:rsidP="009263D1">
      <w:pPr>
        <w:spacing w:line="276" w:lineRule="auto"/>
        <w:rPr>
          <w:rFonts w:ascii="Arial Narrow" w:hAnsi="Arial Narrow" w:cs="Arial Narrow"/>
          <w:bCs/>
        </w:rPr>
      </w:pPr>
      <w:r>
        <w:rPr>
          <w:rFonts w:ascii="Arial Narrow" w:hAnsi="Arial Narrow" w:cs="Arial Narrow"/>
          <w:bCs/>
        </w:rPr>
        <w:t xml:space="preserve">In formulating a way </w:t>
      </w:r>
      <w:r w:rsidR="00E357DE">
        <w:rPr>
          <w:rFonts w:ascii="Arial Narrow" w:hAnsi="Arial Narrow" w:cs="Arial Narrow"/>
          <w:bCs/>
        </w:rPr>
        <w:t>forward,</w:t>
      </w:r>
      <w:r>
        <w:rPr>
          <w:rFonts w:ascii="Arial Narrow" w:hAnsi="Arial Narrow" w:cs="Arial Narrow"/>
          <w:bCs/>
        </w:rPr>
        <w:t xml:space="preserve"> the Department informed the Committee that</w:t>
      </w:r>
      <w:r w:rsidR="00170BF3" w:rsidRPr="00170BF3">
        <w:rPr>
          <w:rFonts w:ascii="Arial Narrow" w:hAnsi="Arial Narrow" w:cs="Arial Narrow"/>
          <w:bCs/>
        </w:rPr>
        <w:t xml:space="preserve"> </w:t>
      </w:r>
      <w:r>
        <w:rPr>
          <w:rFonts w:ascii="Arial Narrow" w:hAnsi="Arial Narrow" w:cs="Arial Narrow"/>
          <w:bCs/>
        </w:rPr>
        <w:t>t</w:t>
      </w:r>
      <w:r w:rsidRPr="009263D1">
        <w:rPr>
          <w:rFonts w:ascii="Arial Narrow" w:hAnsi="Arial Narrow" w:cs="Arial Narrow"/>
          <w:bCs/>
        </w:rPr>
        <w:t xml:space="preserve">he GGDA will initiate </w:t>
      </w:r>
      <w:r>
        <w:rPr>
          <w:rFonts w:ascii="Arial Narrow" w:hAnsi="Arial Narrow" w:cs="Arial Narrow"/>
          <w:bCs/>
        </w:rPr>
        <w:t>a</w:t>
      </w:r>
      <w:r w:rsidRPr="009263D1">
        <w:rPr>
          <w:rFonts w:ascii="Arial Narrow" w:hAnsi="Arial Narrow" w:cs="Arial Narrow"/>
          <w:bCs/>
        </w:rPr>
        <w:t xml:space="preserve"> procurement process to appoint a new Professional Service Provider (PSP) that will undertake stage 3- 6 of the projects. This entails reviewing of existing designs and preparing of tender documents required for the appointment of the new contractor.</w:t>
      </w:r>
      <w:r w:rsidR="00E357DE">
        <w:rPr>
          <w:rFonts w:ascii="Arial Narrow" w:hAnsi="Arial Narrow" w:cs="Arial Narrow"/>
          <w:bCs/>
        </w:rPr>
        <w:t xml:space="preserve"> Thus, the panel of PSP’s was approved by the Board on the 9</w:t>
      </w:r>
      <w:proofErr w:type="gramStart"/>
      <w:r w:rsidR="00E357DE" w:rsidRPr="00E357DE">
        <w:rPr>
          <w:rFonts w:ascii="Arial Narrow" w:hAnsi="Arial Narrow" w:cs="Arial Narrow"/>
          <w:bCs/>
          <w:vertAlign w:val="superscript"/>
        </w:rPr>
        <w:t>th</w:t>
      </w:r>
      <w:r w:rsidR="00E357DE">
        <w:rPr>
          <w:rFonts w:ascii="Arial Narrow" w:hAnsi="Arial Narrow" w:cs="Arial Narrow"/>
          <w:bCs/>
          <w:vertAlign w:val="superscript"/>
        </w:rPr>
        <w:t xml:space="preserve">  </w:t>
      </w:r>
      <w:r w:rsidR="00E357DE">
        <w:rPr>
          <w:rFonts w:ascii="Arial Narrow" w:hAnsi="Arial Narrow" w:cs="Arial Narrow"/>
          <w:bCs/>
        </w:rPr>
        <w:t>of</w:t>
      </w:r>
      <w:proofErr w:type="gramEnd"/>
      <w:r w:rsidR="00E357DE">
        <w:rPr>
          <w:rFonts w:ascii="Arial Narrow" w:hAnsi="Arial Narrow" w:cs="Arial Narrow"/>
          <w:bCs/>
        </w:rPr>
        <w:t xml:space="preserve"> October 2023. </w:t>
      </w:r>
      <w:r w:rsidRPr="009263D1">
        <w:rPr>
          <w:rFonts w:ascii="Arial Narrow" w:hAnsi="Arial Narrow" w:cs="Arial Narrow"/>
          <w:bCs/>
        </w:rPr>
        <w:t xml:space="preserve"> </w:t>
      </w:r>
      <w:r w:rsidRPr="00E357DE">
        <w:rPr>
          <w:rFonts w:ascii="Arial Narrow" w:hAnsi="Arial Narrow" w:cs="Arial Narrow"/>
          <w:b/>
        </w:rPr>
        <w:t xml:space="preserve">Despite providing a way forward, the Committee remains concerned </w:t>
      </w:r>
      <w:r w:rsidR="00D7013B">
        <w:rPr>
          <w:rFonts w:ascii="Arial Narrow" w:hAnsi="Arial Narrow" w:cs="Arial Narrow"/>
          <w:b/>
        </w:rPr>
        <w:t>that</w:t>
      </w:r>
      <w:r w:rsidRPr="00E357DE">
        <w:rPr>
          <w:rFonts w:ascii="Arial Narrow" w:hAnsi="Arial Narrow" w:cs="Arial Narrow"/>
          <w:b/>
        </w:rPr>
        <w:t xml:space="preserve"> there would be</w:t>
      </w:r>
      <w:r w:rsidR="00D7013B">
        <w:rPr>
          <w:rFonts w:ascii="Arial Narrow" w:hAnsi="Arial Narrow" w:cs="Arial Narrow"/>
          <w:b/>
        </w:rPr>
        <w:t xml:space="preserve"> additional</w:t>
      </w:r>
      <w:r w:rsidRPr="00E357DE">
        <w:rPr>
          <w:rFonts w:ascii="Arial Narrow" w:hAnsi="Arial Narrow" w:cs="Arial Narrow"/>
          <w:b/>
        </w:rPr>
        <w:t xml:space="preserve"> cost implications on the appointment of the new </w:t>
      </w:r>
      <w:proofErr w:type="gramStart"/>
      <w:r w:rsidRPr="00E357DE">
        <w:rPr>
          <w:rFonts w:ascii="Arial Narrow" w:hAnsi="Arial Narrow" w:cs="Arial Narrow"/>
          <w:b/>
        </w:rPr>
        <w:t>contractor</w:t>
      </w:r>
      <w:proofErr w:type="gramEnd"/>
      <w:r w:rsidRPr="00E357DE">
        <w:rPr>
          <w:rFonts w:ascii="Arial Narrow" w:hAnsi="Arial Narrow" w:cs="Arial Narrow"/>
          <w:b/>
        </w:rPr>
        <w:t xml:space="preserve"> and this includes other measures that will be taken to ensure that the </w:t>
      </w:r>
      <w:r w:rsidR="00E357DE" w:rsidRPr="00E357DE">
        <w:rPr>
          <w:rFonts w:ascii="Arial Narrow" w:hAnsi="Arial Narrow" w:cs="Arial Narrow"/>
          <w:b/>
        </w:rPr>
        <w:t>appointed PSP will be able to deliver on time and in line with the allocated budget</w:t>
      </w:r>
      <w:r w:rsidR="00E357DE">
        <w:rPr>
          <w:rFonts w:ascii="Arial Narrow" w:hAnsi="Arial Narrow" w:cs="Arial Narrow"/>
          <w:bCs/>
        </w:rPr>
        <w:t>.</w:t>
      </w:r>
      <w:r w:rsidR="00E357DE" w:rsidRPr="00E357DE">
        <w:rPr>
          <w:rFonts w:ascii="Arial Narrow" w:hAnsi="Arial Narrow" w:cs="Arial Narrow"/>
          <w:b/>
        </w:rPr>
        <w:t xml:space="preserve"> </w:t>
      </w:r>
    </w:p>
    <w:p w14:paraId="03007C32" w14:textId="77777777" w:rsidR="009263D1" w:rsidRPr="009263D1" w:rsidRDefault="009263D1" w:rsidP="009263D1">
      <w:pPr>
        <w:spacing w:line="276" w:lineRule="auto"/>
        <w:rPr>
          <w:rFonts w:ascii="Arial Narrow" w:hAnsi="Arial Narrow" w:cs="Arial Narrow"/>
          <w:bCs/>
        </w:rPr>
      </w:pPr>
    </w:p>
    <w:p w14:paraId="62AF0C2A" w14:textId="77777777" w:rsidR="00D7013B" w:rsidRDefault="00E357DE" w:rsidP="00492011">
      <w:pPr>
        <w:spacing w:line="276" w:lineRule="auto"/>
        <w:rPr>
          <w:rFonts w:ascii="Arial Narrow" w:hAnsi="Arial Narrow" w:cs="Arial Narrow"/>
          <w:bCs/>
        </w:rPr>
      </w:pPr>
      <w:r>
        <w:rPr>
          <w:rFonts w:ascii="Arial Narrow" w:hAnsi="Arial Narrow" w:cs="Arial Narrow"/>
          <w:bCs/>
        </w:rPr>
        <w:t>In addition to this, the Committee was informed that t</w:t>
      </w:r>
      <w:r w:rsidRPr="00E357DE">
        <w:rPr>
          <w:rFonts w:ascii="Arial Narrow" w:hAnsi="Arial Narrow" w:cs="Arial Narrow"/>
          <w:bCs/>
        </w:rPr>
        <w:t>here were disruptions at the I</w:t>
      </w:r>
      <w:r>
        <w:rPr>
          <w:rFonts w:ascii="Arial Narrow" w:hAnsi="Arial Narrow" w:cs="Arial Narrow"/>
          <w:bCs/>
        </w:rPr>
        <w:t xml:space="preserve">ndustrial </w:t>
      </w:r>
      <w:r w:rsidRPr="00E357DE">
        <w:rPr>
          <w:rFonts w:ascii="Arial Narrow" w:hAnsi="Arial Narrow" w:cs="Arial Narrow"/>
          <w:bCs/>
        </w:rPr>
        <w:t>D</w:t>
      </w:r>
      <w:r>
        <w:rPr>
          <w:rFonts w:ascii="Arial Narrow" w:hAnsi="Arial Narrow" w:cs="Arial Narrow"/>
          <w:bCs/>
        </w:rPr>
        <w:t xml:space="preserve">evelopment </w:t>
      </w:r>
      <w:r w:rsidRPr="00E357DE">
        <w:rPr>
          <w:rFonts w:ascii="Arial Narrow" w:hAnsi="Arial Narrow" w:cs="Arial Narrow"/>
          <w:bCs/>
        </w:rPr>
        <w:t>Z</w:t>
      </w:r>
      <w:r>
        <w:rPr>
          <w:rFonts w:ascii="Arial Narrow" w:hAnsi="Arial Narrow" w:cs="Arial Narrow"/>
          <w:bCs/>
        </w:rPr>
        <w:t xml:space="preserve">one </w:t>
      </w:r>
      <w:r w:rsidRPr="00E357DE">
        <w:rPr>
          <w:rFonts w:ascii="Arial Narrow" w:hAnsi="Arial Narrow" w:cs="Arial Narrow"/>
          <w:bCs/>
        </w:rPr>
        <w:t>Jewellery Manufacturing Project (JMP) construction due to sub-contracting disputes and this affected the completion date and in turn</w:t>
      </w:r>
      <w:r>
        <w:rPr>
          <w:rFonts w:ascii="Arial Narrow" w:hAnsi="Arial Narrow" w:cs="Arial Narrow"/>
          <w:bCs/>
        </w:rPr>
        <w:t xml:space="preserve"> has been </w:t>
      </w:r>
      <w:r w:rsidRPr="00E357DE">
        <w:rPr>
          <w:rFonts w:ascii="Arial Narrow" w:hAnsi="Arial Narrow" w:cs="Arial Narrow"/>
          <w:bCs/>
        </w:rPr>
        <w:t xml:space="preserve">revised to February 2024. The Biopark Phase 3 at The Innovation Hub (TIH) also </w:t>
      </w:r>
      <w:r>
        <w:rPr>
          <w:rFonts w:ascii="Arial Narrow" w:hAnsi="Arial Narrow" w:cs="Arial Narrow"/>
          <w:bCs/>
        </w:rPr>
        <w:t xml:space="preserve">could not meet </w:t>
      </w:r>
      <w:r w:rsidRPr="00E357DE">
        <w:rPr>
          <w:rFonts w:ascii="Arial Narrow" w:hAnsi="Arial Narrow" w:cs="Arial Narrow"/>
          <w:bCs/>
        </w:rPr>
        <w:t xml:space="preserve">its completion date </w:t>
      </w:r>
      <w:r>
        <w:rPr>
          <w:rFonts w:ascii="Arial Narrow" w:hAnsi="Arial Narrow" w:cs="Arial Narrow"/>
          <w:bCs/>
        </w:rPr>
        <w:t xml:space="preserve">and stood at </w:t>
      </w:r>
      <w:r w:rsidRPr="00E357DE">
        <w:rPr>
          <w:rFonts w:ascii="Arial Narrow" w:hAnsi="Arial Narrow" w:cs="Arial Narrow"/>
          <w:bCs/>
        </w:rPr>
        <w:t>73%</w:t>
      </w:r>
      <w:r>
        <w:rPr>
          <w:rFonts w:ascii="Arial Narrow" w:hAnsi="Arial Narrow" w:cs="Arial Narrow"/>
          <w:bCs/>
        </w:rPr>
        <w:t xml:space="preserve"> completion by </w:t>
      </w:r>
      <w:r w:rsidRPr="00E357DE">
        <w:rPr>
          <w:rFonts w:ascii="Arial Narrow" w:hAnsi="Arial Narrow" w:cs="Arial Narrow"/>
          <w:bCs/>
        </w:rPr>
        <w:t xml:space="preserve">September 2023. </w:t>
      </w:r>
      <w:r w:rsidR="00D7013B">
        <w:rPr>
          <w:rFonts w:ascii="Arial Narrow" w:hAnsi="Arial Narrow" w:cs="Arial Narrow"/>
          <w:bCs/>
        </w:rPr>
        <w:t xml:space="preserve">The Committee is of the view that, such infrastructure projects should be expediated and completed as they impact on job creation initiatives and the </w:t>
      </w:r>
      <w:r w:rsidR="00352910">
        <w:rPr>
          <w:rFonts w:ascii="Arial Narrow" w:hAnsi="Arial Narrow" w:cs="Arial Narrow"/>
          <w:bCs/>
        </w:rPr>
        <w:t>Committee will continuously monitor the abovementioned projects until completion.</w:t>
      </w:r>
    </w:p>
    <w:p w14:paraId="571C7CB6" w14:textId="01BD9FFB" w:rsidR="00492011" w:rsidRPr="00492011" w:rsidRDefault="00352910" w:rsidP="00492011">
      <w:pPr>
        <w:spacing w:line="276" w:lineRule="auto"/>
        <w:rPr>
          <w:rFonts w:ascii="Arial Narrow" w:hAnsi="Arial Narrow" w:cs="Arial Narrow"/>
          <w:bCs/>
        </w:rPr>
      </w:pPr>
      <w:r>
        <w:rPr>
          <w:rFonts w:ascii="Arial Narrow" w:hAnsi="Arial Narrow" w:cs="Arial Narrow"/>
          <w:bCs/>
        </w:rPr>
        <w:t xml:space="preserve"> </w:t>
      </w:r>
      <w:bookmarkEnd w:id="27"/>
    </w:p>
    <w:p w14:paraId="30946954" w14:textId="6B6C8E90" w:rsidR="00643280" w:rsidRDefault="00643280" w:rsidP="00C93456">
      <w:pPr>
        <w:spacing w:line="276" w:lineRule="auto"/>
        <w:rPr>
          <w:rFonts w:ascii="Arial Narrow" w:hAnsi="Arial Narrow" w:cs="Arial Narrow"/>
          <w:bCs/>
        </w:rPr>
      </w:pPr>
      <w:r w:rsidRPr="00193524">
        <w:rPr>
          <w:rFonts w:ascii="Arial Narrow" w:hAnsi="Arial Narrow" w:cs="Arial Narrow"/>
          <w:bCs/>
        </w:rPr>
        <w:t xml:space="preserve">Detailed work on the GGDA will be </w:t>
      </w:r>
      <w:r w:rsidR="00DD4D0F" w:rsidRPr="00193524">
        <w:rPr>
          <w:rFonts w:ascii="Arial Narrow" w:hAnsi="Arial Narrow" w:cs="Arial Narrow"/>
          <w:bCs/>
        </w:rPr>
        <w:t>highlighted</w:t>
      </w:r>
      <w:r w:rsidRPr="00193524">
        <w:rPr>
          <w:rFonts w:ascii="Arial Narrow" w:hAnsi="Arial Narrow" w:cs="Arial Narrow"/>
          <w:bCs/>
        </w:rPr>
        <w:t xml:space="preserve"> under the section relating to entities of the Departmen</w:t>
      </w:r>
      <w:r w:rsidRPr="00204933">
        <w:rPr>
          <w:rFonts w:ascii="Arial Narrow" w:hAnsi="Arial Narrow" w:cs="Arial Narrow"/>
          <w:bCs/>
        </w:rPr>
        <w:t>t.</w:t>
      </w:r>
      <w:r>
        <w:rPr>
          <w:rFonts w:ascii="Arial Narrow" w:hAnsi="Arial Narrow" w:cs="Arial Narrow"/>
          <w:bCs/>
        </w:rPr>
        <w:t xml:space="preserve"> </w:t>
      </w:r>
    </w:p>
    <w:p w14:paraId="24F6ABF2" w14:textId="77777777" w:rsidR="0055117C" w:rsidRDefault="0055117C" w:rsidP="00C93456">
      <w:pPr>
        <w:spacing w:line="276" w:lineRule="auto"/>
        <w:rPr>
          <w:rFonts w:ascii="Arial Narrow" w:hAnsi="Arial Narrow" w:cs="Arial Narrow"/>
          <w:b/>
          <w:bCs/>
        </w:rPr>
      </w:pPr>
    </w:p>
    <w:p w14:paraId="3DE6CD85" w14:textId="77777777" w:rsidR="008E450E" w:rsidRDefault="008E450E" w:rsidP="00C93456">
      <w:pPr>
        <w:spacing w:line="276" w:lineRule="auto"/>
        <w:rPr>
          <w:rFonts w:ascii="Arial Narrow" w:hAnsi="Arial Narrow" w:cs="Arial Narrow"/>
          <w:b/>
          <w:bCs/>
        </w:rPr>
      </w:pPr>
    </w:p>
    <w:p w14:paraId="461EAE7F" w14:textId="77777777" w:rsidR="008E450E" w:rsidRDefault="008E450E" w:rsidP="00C93456">
      <w:pPr>
        <w:spacing w:line="276" w:lineRule="auto"/>
        <w:rPr>
          <w:rFonts w:ascii="Arial Narrow" w:hAnsi="Arial Narrow" w:cs="Arial Narrow"/>
          <w:b/>
          <w:bCs/>
        </w:rPr>
      </w:pPr>
    </w:p>
    <w:p w14:paraId="38159F5B" w14:textId="77777777" w:rsidR="008E450E" w:rsidRDefault="008E450E" w:rsidP="00C93456">
      <w:pPr>
        <w:spacing w:line="276" w:lineRule="auto"/>
        <w:rPr>
          <w:rFonts w:ascii="Arial Narrow" w:hAnsi="Arial Narrow" w:cs="Arial Narrow"/>
          <w:b/>
          <w:bCs/>
        </w:rPr>
      </w:pPr>
    </w:p>
    <w:p w14:paraId="7FFE09F8" w14:textId="77777777" w:rsidR="008E450E" w:rsidRDefault="008E450E" w:rsidP="00C93456">
      <w:pPr>
        <w:spacing w:line="276" w:lineRule="auto"/>
        <w:rPr>
          <w:rFonts w:ascii="Arial Narrow" w:hAnsi="Arial Narrow" w:cs="Arial Narrow"/>
          <w:b/>
          <w:bCs/>
        </w:rPr>
      </w:pPr>
    </w:p>
    <w:p w14:paraId="30ECC9BC" w14:textId="0DFFAF59" w:rsidR="00FE0B83" w:rsidRPr="0079000E" w:rsidRDefault="00FE0B83" w:rsidP="00C93456">
      <w:pPr>
        <w:spacing w:line="276" w:lineRule="auto"/>
        <w:rPr>
          <w:rFonts w:ascii="Arial Narrow" w:hAnsi="Arial Narrow" w:cs="Arial Narrow"/>
          <w:b/>
          <w:bCs/>
        </w:rPr>
      </w:pPr>
      <w:r w:rsidRPr="0079000E">
        <w:rPr>
          <w:rFonts w:ascii="Arial Narrow" w:hAnsi="Arial Narrow" w:cs="Arial Narrow"/>
          <w:b/>
          <w:bCs/>
        </w:rPr>
        <w:t>PROGRAMME 4. Business Regulation and Governance</w:t>
      </w:r>
    </w:p>
    <w:p w14:paraId="0703EFA4" w14:textId="77777777" w:rsidR="00FE0B83" w:rsidRPr="0079000E" w:rsidRDefault="00FE0B83" w:rsidP="00C93456">
      <w:pPr>
        <w:spacing w:line="276" w:lineRule="auto"/>
        <w:rPr>
          <w:rFonts w:ascii="Arial Narrow" w:hAnsi="Arial Narrow" w:cs="Arial Narrow"/>
          <w:b/>
          <w:bCs/>
        </w:rPr>
      </w:pPr>
    </w:p>
    <w:p w14:paraId="3D0D1EDA" w14:textId="77777777" w:rsidR="006664AC" w:rsidRDefault="006664AC" w:rsidP="00C93456">
      <w:pPr>
        <w:spacing w:line="276" w:lineRule="auto"/>
        <w:rPr>
          <w:rFonts w:ascii="Arial Narrow" w:hAnsi="Arial Narrow" w:cs="Arial Narrow"/>
          <w:bCs/>
        </w:rPr>
      </w:pPr>
      <w:r w:rsidRPr="006664AC">
        <w:rPr>
          <w:rFonts w:ascii="Arial Narrow" w:hAnsi="Arial Narrow" w:cs="Arial Narrow"/>
          <w:bCs/>
          <w:lang w:val="en-US"/>
        </w:rPr>
        <w:t>The purpose of this programme is to ensure that the Department’s agencies, Consumers Affairs, and the Gauteng Liquor and Gambling Boards are implementing interventions that contribute to the achievement of the Department’s strategic goals. The programme’s objective is to protect and promote the rights of consumers and facilitate ethical business practices in relation to customer service, regulate the liquor and gambling industries and maximize benefits from these industries that can accrue to broader socio-economic development in the province, and support and promote alignment of the work of GDED’s agencies to that of the Department and ensure accountability of the agencies to the GDED.</w:t>
      </w:r>
    </w:p>
    <w:p w14:paraId="0487FB70" w14:textId="77777777" w:rsidR="00DC693F" w:rsidRDefault="00DC693F" w:rsidP="00C93456">
      <w:pPr>
        <w:spacing w:line="276" w:lineRule="auto"/>
        <w:rPr>
          <w:rFonts w:ascii="Arial Narrow" w:hAnsi="Arial Narrow" w:cs="Arial Narrow"/>
          <w:bCs/>
        </w:rPr>
      </w:pPr>
    </w:p>
    <w:p w14:paraId="38C6516A" w14:textId="07BD4EE2" w:rsidR="001B2ED1" w:rsidRDefault="00817396" w:rsidP="00C93456">
      <w:pPr>
        <w:spacing w:line="276" w:lineRule="auto"/>
        <w:rPr>
          <w:rFonts w:ascii="Arial Narrow" w:hAnsi="Arial Narrow" w:cs="Arial Narrow"/>
          <w:bCs/>
        </w:rPr>
      </w:pPr>
      <w:r w:rsidRPr="008F5995">
        <w:rPr>
          <w:rFonts w:ascii="Arial Narrow" w:hAnsi="Arial Narrow" w:cs="Arial Narrow"/>
          <w:bCs/>
        </w:rPr>
        <w:t>The Committee noted that the programme budgeted an amount of R</w:t>
      </w:r>
      <w:r w:rsidR="00DC693F">
        <w:rPr>
          <w:rFonts w:ascii="Arial Narrow" w:hAnsi="Arial Narrow" w:cs="Arial Narrow"/>
          <w:bCs/>
        </w:rPr>
        <w:t xml:space="preserve"> 146 797 000 (R146.7m)</w:t>
      </w:r>
      <w:r w:rsidRPr="008F5995">
        <w:rPr>
          <w:rFonts w:ascii="Arial Narrow" w:hAnsi="Arial Narrow" w:cs="Arial Narrow"/>
          <w:bCs/>
        </w:rPr>
        <w:t xml:space="preserve"> however</w:t>
      </w:r>
      <w:r w:rsidR="00DD4D0F">
        <w:rPr>
          <w:rFonts w:ascii="Arial Narrow" w:hAnsi="Arial Narrow" w:cs="Arial Narrow"/>
          <w:bCs/>
        </w:rPr>
        <w:t xml:space="preserve"> </w:t>
      </w:r>
      <w:r w:rsidRPr="008F5995">
        <w:rPr>
          <w:rFonts w:ascii="Arial Narrow" w:hAnsi="Arial Narrow" w:cs="Arial Narrow"/>
          <w:bCs/>
        </w:rPr>
        <w:t xml:space="preserve">the expenditure on the programme amounted to </w:t>
      </w:r>
      <w:r w:rsidR="00510D90" w:rsidRPr="00510D90">
        <w:rPr>
          <w:rFonts w:ascii="Arial Narrow" w:hAnsi="Arial Narrow" w:cs="Arial Narrow"/>
          <w:bCs/>
        </w:rPr>
        <w:t>R</w:t>
      </w:r>
      <w:r w:rsidR="00510D90">
        <w:rPr>
          <w:rFonts w:ascii="Arial Narrow" w:hAnsi="Arial Narrow" w:cs="Arial Narrow"/>
          <w:bCs/>
        </w:rPr>
        <w:t xml:space="preserve"> </w:t>
      </w:r>
      <w:r w:rsidR="00DC693F">
        <w:rPr>
          <w:rFonts w:ascii="Arial Narrow" w:hAnsi="Arial Narrow" w:cs="Arial Narrow"/>
          <w:bCs/>
        </w:rPr>
        <w:t>143 344 000 (R143.3m)</w:t>
      </w:r>
      <w:r w:rsidR="00510D90">
        <w:rPr>
          <w:rFonts w:ascii="Arial Narrow" w:hAnsi="Arial Narrow" w:cs="Arial Narrow"/>
          <w:bCs/>
        </w:rPr>
        <w:t xml:space="preserve"> </w:t>
      </w:r>
      <w:r w:rsidR="004E6095" w:rsidRPr="008F5995">
        <w:rPr>
          <w:rFonts w:ascii="Arial Narrow" w:hAnsi="Arial Narrow" w:cs="Arial Narrow"/>
          <w:bCs/>
        </w:rPr>
        <w:t xml:space="preserve">which </w:t>
      </w:r>
      <w:r w:rsidRPr="008F5995">
        <w:rPr>
          <w:rFonts w:ascii="Arial Narrow" w:hAnsi="Arial Narrow" w:cs="Arial Narrow"/>
          <w:bCs/>
        </w:rPr>
        <w:t>constitute</w:t>
      </w:r>
      <w:r w:rsidR="00DC693F">
        <w:rPr>
          <w:rFonts w:ascii="Arial Narrow" w:hAnsi="Arial Narrow" w:cs="Arial Narrow"/>
          <w:bCs/>
        </w:rPr>
        <w:t>d</w:t>
      </w:r>
      <w:r w:rsidRPr="008F5995">
        <w:rPr>
          <w:rFonts w:ascii="Arial Narrow" w:hAnsi="Arial Narrow" w:cs="Arial Narrow"/>
          <w:bCs/>
        </w:rPr>
        <w:t xml:space="preserve"> </w:t>
      </w:r>
      <w:r w:rsidR="00DC693F">
        <w:rPr>
          <w:rFonts w:ascii="Arial Narrow" w:hAnsi="Arial Narrow" w:cs="Arial Narrow"/>
          <w:bCs/>
        </w:rPr>
        <w:t>97.65</w:t>
      </w:r>
      <w:r w:rsidR="00C51F0F" w:rsidRPr="008F5995">
        <w:rPr>
          <w:rFonts w:ascii="Arial Narrow" w:hAnsi="Arial Narrow" w:cs="Arial Narrow"/>
          <w:bCs/>
        </w:rPr>
        <w:t>%</w:t>
      </w:r>
      <w:r w:rsidR="0062023F">
        <w:rPr>
          <w:rFonts w:ascii="Arial Narrow" w:hAnsi="Arial Narrow" w:cs="Arial Narrow"/>
          <w:bCs/>
        </w:rPr>
        <w:t xml:space="preserve">. </w:t>
      </w:r>
      <w:r w:rsidR="00204933" w:rsidRPr="00204933">
        <w:rPr>
          <w:rFonts w:ascii="Arial Narrow" w:hAnsi="Arial Narrow" w:cs="Arial Narrow"/>
          <w:bCs/>
        </w:rPr>
        <w:t>The spending is</w:t>
      </w:r>
      <w:r w:rsidR="00DC693F">
        <w:rPr>
          <w:rFonts w:ascii="Arial Narrow" w:hAnsi="Arial Narrow" w:cs="Arial Narrow"/>
          <w:bCs/>
        </w:rPr>
        <w:t xml:space="preserve"> within the </w:t>
      </w:r>
      <w:r w:rsidR="001B2ED1">
        <w:rPr>
          <w:rFonts w:ascii="Arial Narrow" w:hAnsi="Arial Narrow" w:cs="Arial Narrow"/>
          <w:bCs/>
        </w:rPr>
        <w:t>3% threshold</w:t>
      </w:r>
      <w:r w:rsidR="00DC693F">
        <w:rPr>
          <w:rFonts w:ascii="Arial Narrow" w:hAnsi="Arial Narrow" w:cs="Arial Narrow"/>
          <w:bCs/>
        </w:rPr>
        <w:t xml:space="preserve">. The Committee noted that the </w:t>
      </w:r>
      <w:r w:rsidR="00DC693F" w:rsidRPr="00DC693F">
        <w:rPr>
          <w:rFonts w:ascii="Arial Narrow" w:hAnsi="Arial Narrow" w:cs="Arial Narrow"/>
          <w:bCs/>
        </w:rPr>
        <w:t>programme attained 7 of its 14</w:t>
      </w:r>
      <w:r w:rsidR="00DC693F">
        <w:rPr>
          <w:rFonts w:ascii="Arial Narrow" w:hAnsi="Arial Narrow" w:cs="Arial Narrow"/>
          <w:bCs/>
        </w:rPr>
        <w:t xml:space="preserve"> which amounted to </w:t>
      </w:r>
      <w:r w:rsidR="00DC693F" w:rsidRPr="00DC693F">
        <w:rPr>
          <w:rFonts w:ascii="Arial Narrow" w:hAnsi="Arial Narrow" w:cs="Arial Narrow"/>
          <w:bCs/>
        </w:rPr>
        <w:t>50%</w:t>
      </w:r>
      <w:r w:rsidR="00DC693F">
        <w:rPr>
          <w:rFonts w:ascii="Arial Narrow" w:hAnsi="Arial Narrow" w:cs="Arial Narrow"/>
          <w:bCs/>
        </w:rPr>
        <w:t xml:space="preserve"> attainment of </w:t>
      </w:r>
      <w:r w:rsidR="00DC693F" w:rsidRPr="00DC693F">
        <w:rPr>
          <w:rFonts w:ascii="Arial Narrow" w:hAnsi="Arial Narrow" w:cs="Arial Narrow"/>
          <w:bCs/>
        </w:rPr>
        <w:t>set targets</w:t>
      </w:r>
      <w:r w:rsidR="00DC693F">
        <w:rPr>
          <w:rFonts w:ascii="Arial Narrow" w:hAnsi="Arial Narrow" w:cs="Arial Narrow"/>
          <w:bCs/>
        </w:rPr>
        <w:t xml:space="preserve">. The Committee is concerned with the </w:t>
      </w:r>
      <w:r w:rsidR="0081293B">
        <w:rPr>
          <w:rFonts w:ascii="Arial Narrow" w:hAnsi="Arial Narrow" w:cs="Arial Narrow"/>
          <w:bCs/>
        </w:rPr>
        <w:t>misalignment between targets attained and the allocation spent</w:t>
      </w:r>
      <w:r w:rsidR="00DC693F">
        <w:rPr>
          <w:rFonts w:ascii="Arial Narrow" w:hAnsi="Arial Narrow" w:cs="Arial Narrow"/>
          <w:bCs/>
        </w:rPr>
        <w:t xml:space="preserve"> within this programme</w:t>
      </w:r>
      <w:r w:rsidR="0081293B">
        <w:rPr>
          <w:rFonts w:ascii="Arial Narrow" w:hAnsi="Arial Narrow" w:cs="Arial Narrow"/>
          <w:bCs/>
        </w:rPr>
        <w:t xml:space="preserve">, therefore the Committee implores to the Department that there should always be alignment between inputs and outputs. </w:t>
      </w:r>
    </w:p>
    <w:p w14:paraId="26A119E2" w14:textId="654A160C" w:rsidR="001B2ED1" w:rsidRDefault="001B2ED1" w:rsidP="00C93456">
      <w:pPr>
        <w:spacing w:line="276" w:lineRule="auto"/>
        <w:rPr>
          <w:rFonts w:ascii="Arial Narrow" w:hAnsi="Arial Narrow" w:cs="Arial Narrow"/>
          <w:bCs/>
        </w:rPr>
      </w:pPr>
    </w:p>
    <w:p w14:paraId="1A5DE171" w14:textId="31579E07" w:rsidR="005259C6" w:rsidRPr="005259C6" w:rsidRDefault="00DC693F" w:rsidP="005259C6">
      <w:pPr>
        <w:spacing w:line="276" w:lineRule="auto"/>
        <w:rPr>
          <w:rFonts w:ascii="Arial Narrow" w:hAnsi="Arial Narrow" w:cs="Arial Narrow"/>
          <w:bCs/>
        </w:rPr>
      </w:pPr>
      <w:r>
        <w:rPr>
          <w:rFonts w:ascii="Arial Narrow" w:hAnsi="Arial Narrow" w:cs="Arial Narrow"/>
          <w:bCs/>
        </w:rPr>
        <w:t>T</w:t>
      </w:r>
      <w:r w:rsidRPr="00DC693F">
        <w:rPr>
          <w:rFonts w:ascii="Arial Narrow" w:hAnsi="Arial Narrow" w:cs="Arial Narrow"/>
          <w:bCs/>
        </w:rPr>
        <w:t>he sub-programme, Consumer Affairs attained 3 of its 6 set targets</w:t>
      </w:r>
      <w:r>
        <w:rPr>
          <w:rFonts w:ascii="Arial Narrow" w:hAnsi="Arial Narrow" w:cs="Arial Narrow"/>
          <w:bCs/>
        </w:rPr>
        <w:t xml:space="preserve"> and these</w:t>
      </w:r>
      <w:r w:rsidRPr="00DC693F">
        <w:rPr>
          <w:rFonts w:ascii="Arial Narrow" w:hAnsi="Arial Narrow" w:cs="Arial Narrow"/>
          <w:bCs/>
        </w:rPr>
        <w:t xml:space="preserve"> includ</w:t>
      </w:r>
      <w:r>
        <w:rPr>
          <w:rFonts w:ascii="Arial Narrow" w:hAnsi="Arial Narrow" w:cs="Arial Narrow"/>
          <w:bCs/>
        </w:rPr>
        <w:t>ed</w:t>
      </w:r>
      <w:r w:rsidRPr="00DC693F">
        <w:rPr>
          <w:rFonts w:ascii="Arial Narrow" w:hAnsi="Arial Narrow" w:cs="Arial Narrow"/>
          <w:bCs/>
        </w:rPr>
        <w:t xml:space="preserve"> the 50-youth recruited as consumer champions, 250 SMME</w:t>
      </w:r>
      <w:r>
        <w:rPr>
          <w:rFonts w:ascii="Arial Narrow" w:hAnsi="Arial Narrow" w:cs="Arial Narrow"/>
          <w:bCs/>
        </w:rPr>
        <w:t>’</w:t>
      </w:r>
      <w:r w:rsidRPr="00DC693F">
        <w:rPr>
          <w:rFonts w:ascii="Arial Narrow" w:hAnsi="Arial Narrow" w:cs="Arial Narrow"/>
          <w:bCs/>
        </w:rPr>
        <w:t xml:space="preserve">s empowered to comply with consumer laws, and 100% cases prosecuted </w:t>
      </w:r>
      <w:r>
        <w:rPr>
          <w:rFonts w:ascii="Arial Narrow" w:hAnsi="Arial Narrow" w:cs="Arial Narrow"/>
          <w:bCs/>
        </w:rPr>
        <w:t>o</w:t>
      </w:r>
      <w:r w:rsidRPr="00DC693F">
        <w:rPr>
          <w:rFonts w:ascii="Arial Narrow" w:hAnsi="Arial Narrow" w:cs="Arial Narrow"/>
          <w:bCs/>
        </w:rPr>
        <w:t xml:space="preserve">n the consumer laws. </w:t>
      </w:r>
      <w:r w:rsidR="005259C6">
        <w:rPr>
          <w:rFonts w:ascii="Arial Narrow" w:hAnsi="Arial Narrow" w:cs="Arial Narrow"/>
          <w:bCs/>
        </w:rPr>
        <w:t xml:space="preserve">The Department outlined the role of the 50-youth consumer champions wherein their </w:t>
      </w:r>
      <w:r w:rsidR="005259C6" w:rsidRPr="005259C6">
        <w:rPr>
          <w:rFonts w:ascii="Arial Narrow" w:hAnsi="Arial Narrow" w:cs="Arial Narrow"/>
          <w:bCs/>
        </w:rPr>
        <w:t>daily activities are to assist with consumer education initiatives</w:t>
      </w:r>
      <w:r w:rsidR="005259C6">
        <w:rPr>
          <w:rFonts w:ascii="Arial Narrow" w:hAnsi="Arial Narrow" w:cs="Arial Narrow"/>
          <w:bCs/>
        </w:rPr>
        <w:t>,</w:t>
      </w:r>
      <w:r w:rsidR="005259C6" w:rsidRPr="005259C6">
        <w:rPr>
          <w:rFonts w:ascii="Arial Narrow" w:hAnsi="Arial Narrow" w:cs="Arial Narrow"/>
          <w:bCs/>
        </w:rPr>
        <w:t xml:space="preserve"> coordinating and conducting outreach and exhibitions activities</w:t>
      </w:r>
      <w:r w:rsidR="005259C6">
        <w:rPr>
          <w:rFonts w:ascii="Arial Narrow" w:hAnsi="Arial Narrow" w:cs="Arial Narrow"/>
          <w:bCs/>
        </w:rPr>
        <w:t>,</w:t>
      </w:r>
      <w:r w:rsidR="005259C6" w:rsidRPr="005259C6">
        <w:rPr>
          <w:rFonts w:ascii="Arial Narrow" w:hAnsi="Arial Narrow" w:cs="Arial Narrow"/>
          <w:bCs/>
        </w:rPr>
        <w:t xml:space="preserve"> creating awareness on consumer rights and responsibilities in communities. This is done in partnership with the Gauteng City Region Academy (GCRA)</w:t>
      </w:r>
      <w:r w:rsidR="005259C6">
        <w:rPr>
          <w:rFonts w:ascii="Arial Narrow" w:hAnsi="Arial Narrow" w:cs="Arial Narrow"/>
          <w:bCs/>
        </w:rPr>
        <w:t xml:space="preserve">. </w:t>
      </w:r>
      <w:r w:rsidR="005259C6" w:rsidRPr="005259C6">
        <w:rPr>
          <w:rFonts w:ascii="Arial Narrow" w:hAnsi="Arial Narrow" w:cs="Arial Narrow"/>
          <w:bCs/>
        </w:rPr>
        <w:t xml:space="preserve">They report at 9H00 and </w:t>
      </w:r>
      <w:r w:rsidR="005259C6">
        <w:rPr>
          <w:rFonts w:ascii="Arial Narrow" w:hAnsi="Arial Narrow" w:cs="Arial Narrow"/>
          <w:bCs/>
        </w:rPr>
        <w:t>end their working day</w:t>
      </w:r>
      <w:r w:rsidR="005259C6" w:rsidRPr="005259C6">
        <w:rPr>
          <w:rFonts w:ascii="Arial Narrow" w:hAnsi="Arial Narrow" w:cs="Arial Narrow"/>
          <w:bCs/>
        </w:rPr>
        <w:t xml:space="preserve"> at 14H00</w:t>
      </w:r>
      <w:r w:rsidR="005259C6">
        <w:rPr>
          <w:rFonts w:ascii="Arial Narrow" w:hAnsi="Arial Narrow" w:cs="Arial Narrow"/>
          <w:bCs/>
        </w:rPr>
        <w:t xml:space="preserve"> from</w:t>
      </w:r>
      <w:r w:rsidR="005259C6" w:rsidRPr="005259C6">
        <w:rPr>
          <w:rFonts w:ascii="Arial Narrow" w:hAnsi="Arial Narrow" w:cs="Arial Narrow"/>
          <w:bCs/>
        </w:rPr>
        <w:t xml:space="preserve"> Monday to Friday. The Consumer Champions are all on short-term employment contracts, entered with the GCRA, which in turn pays their monthly stipends</w:t>
      </w:r>
      <w:r w:rsidR="005259C6">
        <w:rPr>
          <w:rFonts w:ascii="Arial Narrow" w:hAnsi="Arial Narrow" w:cs="Arial Narrow"/>
          <w:bCs/>
        </w:rPr>
        <w:t xml:space="preserve"> wherein g</w:t>
      </w:r>
      <w:r w:rsidR="005259C6" w:rsidRPr="005259C6">
        <w:rPr>
          <w:rFonts w:ascii="Arial Narrow" w:hAnsi="Arial Narrow" w:cs="Arial Narrow"/>
          <w:bCs/>
        </w:rPr>
        <w:t xml:space="preserve">raduates receive a stipend of R7000 per month and those with Grade 12 only receive R4000 per month. </w:t>
      </w:r>
      <w:r w:rsidR="005259C6">
        <w:rPr>
          <w:rFonts w:ascii="Arial Narrow" w:hAnsi="Arial Narrow" w:cs="Arial Narrow"/>
          <w:bCs/>
        </w:rPr>
        <w:t xml:space="preserve">The Committee is of the opinion that, these consumer champions should be appointed on the permanent </w:t>
      </w:r>
      <w:proofErr w:type="gramStart"/>
      <w:r w:rsidR="005259C6">
        <w:rPr>
          <w:rFonts w:ascii="Arial Narrow" w:hAnsi="Arial Narrow" w:cs="Arial Narrow"/>
          <w:bCs/>
        </w:rPr>
        <w:t>basis</w:t>
      </w:r>
      <w:proofErr w:type="gramEnd"/>
      <w:r w:rsidR="005259C6">
        <w:rPr>
          <w:rFonts w:ascii="Arial Narrow" w:hAnsi="Arial Narrow" w:cs="Arial Narrow"/>
          <w:bCs/>
        </w:rPr>
        <w:t xml:space="preserve"> and this would also bolster the initiative by Government related to </w:t>
      </w:r>
      <w:proofErr w:type="spellStart"/>
      <w:r w:rsidR="005259C6">
        <w:rPr>
          <w:rFonts w:ascii="Arial Narrow" w:hAnsi="Arial Narrow" w:cs="Arial Narrow"/>
          <w:bCs/>
        </w:rPr>
        <w:t>Nas’Spani</w:t>
      </w:r>
      <w:proofErr w:type="spellEnd"/>
      <w:r w:rsidR="005259C6">
        <w:rPr>
          <w:rFonts w:ascii="Arial Narrow" w:hAnsi="Arial Narrow" w:cs="Arial Narrow"/>
          <w:bCs/>
        </w:rPr>
        <w:t xml:space="preserve">.  </w:t>
      </w:r>
    </w:p>
    <w:p w14:paraId="38386F1C" w14:textId="77777777" w:rsidR="00DC693F" w:rsidRDefault="00DC693F" w:rsidP="0081293B">
      <w:pPr>
        <w:spacing w:line="276" w:lineRule="auto"/>
        <w:rPr>
          <w:rFonts w:ascii="Arial Narrow" w:hAnsi="Arial Narrow" w:cs="Arial Narrow"/>
          <w:bCs/>
        </w:rPr>
      </w:pPr>
    </w:p>
    <w:p w14:paraId="79BED7A3" w14:textId="0E33DAED" w:rsidR="005259C6" w:rsidRDefault="005259C6" w:rsidP="005259C6">
      <w:pPr>
        <w:spacing w:line="276" w:lineRule="auto"/>
        <w:rPr>
          <w:rFonts w:ascii="Arial Narrow" w:hAnsi="Arial Narrow" w:cs="Arial Narrow"/>
          <w:bCs/>
        </w:rPr>
      </w:pPr>
      <w:r>
        <w:rPr>
          <w:rFonts w:ascii="Arial Narrow" w:hAnsi="Arial Narrow" w:cs="Arial Narrow"/>
          <w:bCs/>
        </w:rPr>
        <w:t>In giving an update on the promulgation of the Gauteng Consumer Protection Bill</w:t>
      </w:r>
      <w:r w:rsidR="00754F8F">
        <w:rPr>
          <w:rFonts w:ascii="Arial Narrow" w:hAnsi="Arial Narrow" w:cs="Arial Narrow"/>
          <w:bCs/>
        </w:rPr>
        <w:t xml:space="preserve">, the </w:t>
      </w:r>
      <w:r w:rsidRPr="005259C6">
        <w:rPr>
          <w:rFonts w:ascii="Arial Narrow" w:hAnsi="Arial Narrow" w:cs="Arial Narrow"/>
          <w:bCs/>
        </w:rPr>
        <w:t xml:space="preserve">Bill was submitted to EXCO for approval and has since been approved to be </w:t>
      </w:r>
      <w:r w:rsidR="00754F8F" w:rsidRPr="005259C6">
        <w:rPr>
          <w:rFonts w:ascii="Arial Narrow" w:hAnsi="Arial Narrow" w:cs="Arial Narrow"/>
          <w:bCs/>
        </w:rPr>
        <w:t>published</w:t>
      </w:r>
      <w:r w:rsidRPr="005259C6">
        <w:rPr>
          <w:rFonts w:ascii="Arial Narrow" w:hAnsi="Arial Narrow" w:cs="Arial Narrow"/>
          <w:bCs/>
        </w:rPr>
        <w:t xml:space="preserve"> for comments by members of the public including interested persons, organisations and stakeholders who have been invited to submit written comments and representations on the Bill. The reason for the bill to be published is based on the directive from the State Law Advisor as there have been changes to the Bill since it was first published for comments.</w:t>
      </w:r>
      <w:r w:rsidR="00754F8F">
        <w:rPr>
          <w:rFonts w:ascii="Arial Narrow" w:hAnsi="Arial Narrow" w:cs="Arial Narrow"/>
          <w:bCs/>
        </w:rPr>
        <w:t xml:space="preserve"> </w:t>
      </w:r>
      <w:r w:rsidRPr="005259C6">
        <w:rPr>
          <w:rFonts w:ascii="Arial Narrow" w:hAnsi="Arial Narrow" w:cs="Arial Narrow"/>
          <w:bCs/>
        </w:rPr>
        <w:t xml:space="preserve">A notice for publication of the Bill for public participation has been drafted and submitted to the State Law Advisor’s office for certification. Once received, it will be routed to the MEC’s office for signature. </w:t>
      </w:r>
      <w:r w:rsidR="00754F8F">
        <w:rPr>
          <w:rFonts w:ascii="Arial Narrow" w:hAnsi="Arial Narrow" w:cs="Arial Narrow"/>
          <w:bCs/>
        </w:rPr>
        <w:t>Currently,</w:t>
      </w:r>
      <w:r w:rsidRPr="005259C6">
        <w:rPr>
          <w:rFonts w:ascii="Arial Narrow" w:hAnsi="Arial Narrow" w:cs="Arial Narrow"/>
          <w:bCs/>
        </w:rPr>
        <w:t xml:space="preserve"> the office has requested a quote from the government printers.</w:t>
      </w:r>
    </w:p>
    <w:p w14:paraId="35FA1662" w14:textId="77777777" w:rsidR="00DC693F" w:rsidRDefault="00DC693F" w:rsidP="0081293B">
      <w:pPr>
        <w:spacing w:line="276" w:lineRule="auto"/>
        <w:rPr>
          <w:rFonts w:ascii="Arial Narrow" w:hAnsi="Arial Narrow" w:cs="Arial Narrow"/>
          <w:bCs/>
        </w:rPr>
      </w:pPr>
    </w:p>
    <w:p w14:paraId="001EB264" w14:textId="65939504" w:rsidR="00754F8F" w:rsidRPr="00754F8F" w:rsidRDefault="00754F8F" w:rsidP="00754F8F">
      <w:pPr>
        <w:spacing w:line="276" w:lineRule="auto"/>
        <w:rPr>
          <w:rFonts w:ascii="Arial Narrow" w:hAnsi="Arial Narrow" w:cs="Arial Narrow"/>
          <w:bCs/>
        </w:rPr>
      </w:pPr>
      <w:r>
        <w:rPr>
          <w:rFonts w:ascii="Arial Narrow" w:hAnsi="Arial Narrow" w:cs="Arial Narrow"/>
          <w:bCs/>
        </w:rPr>
        <w:t xml:space="preserve">The Department, through the Gauteng Liquor Board (GLB) indicated that in the year under review </w:t>
      </w:r>
      <w:r w:rsidRPr="00754F8F">
        <w:rPr>
          <w:rFonts w:ascii="Arial Narrow" w:hAnsi="Arial Narrow" w:cs="Arial Narrow"/>
          <w:bCs/>
        </w:rPr>
        <w:t>2</w:t>
      </w:r>
      <w:r>
        <w:rPr>
          <w:rFonts w:ascii="Arial Narrow" w:hAnsi="Arial Narrow" w:cs="Arial Narrow"/>
          <w:bCs/>
        </w:rPr>
        <w:t> </w:t>
      </w:r>
      <w:r w:rsidRPr="00754F8F">
        <w:rPr>
          <w:rFonts w:ascii="Arial Narrow" w:hAnsi="Arial Narrow" w:cs="Arial Narrow"/>
          <w:bCs/>
        </w:rPr>
        <w:t>111</w:t>
      </w:r>
      <w:r>
        <w:rPr>
          <w:rFonts w:ascii="Arial Narrow" w:hAnsi="Arial Narrow" w:cs="Arial Narrow"/>
          <w:bCs/>
        </w:rPr>
        <w:t xml:space="preserve"> new licences were issued and in addition to this t</w:t>
      </w:r>
      <w:r w:rsidRPr="00754F8F">
        <w:rPr>
          <w:rFonts w:ascii="Arial Narrow" w:hAnsi="Arial Narrow" w:cs="Arial Narrow"/>
          <w:bCs/>
        </w:rPr>
        <w:t>he following measures were put in place to ensure the proper issuing of licences:</w:t>
      </w:r>
    </w:p>
    <w:p w14:paraId="6EAA7052" w14:textId="724490AB" w:rsidR="00754F8F" w:rsidRDefault="00754F8F" w:rsidP="00E405F0">
      <w:pPr>
        <w:pStyle w:val="ListParagraph"/>
        <w:numPr>
          <w:ilvl w:val="0"/>
          <w:numId w:val="42"/>
        </w:numPr>
        <w:rPr>
          <w:rFonts w:ascii="Arial Narrow" w:hAnsi="Arial Narrow" w:cs="Arial Narrow"/>
          <w:bCs/>
        </w:rPr>
      </w:pPr>
      <w:r w:rsidRPr="00754F8F">
        <w:rPr>
          <w:rFonts w:ascii="Arial Narrow" w:hAnsi="Arial Narrow" w:cs="Arial Narrow"/>
          <w:bCs/>
        </w:rPr>
        <w:t>Pre-inspections are conducted as envisaged in terms of section 109 (1) of the Gauteng Liquor Act, No2 of 2003,</w:t>
      </w:r>
      <w:r>
        <w:rPr>
          <w:rFonts w:ascii="Arial Narrow" w:hAnsi="Arial Narrow" w:cs="Arial Narrow"/>
          <w:bCs/>
        </w:rPr>
        <w:t xml:space="preserve"> </w:t>
      </w:r>
      <w:r w:rsidRPr="00754F8F">
        <w:rPr>
          <w:rFonts w:ascii="Arial Narrow" w:hAnsi="Arial Narrow" w:cs="Arial Narrow"/>
          <w:bCs/>
        </w:rPr>
        <w:t xml:space="preserve">to ensure that the premises meet the requirements of the type of licenses applied </w:t>
      </w:r>
      <w:proofErr w:type="gramStart"/>
      <w:r w:rsidRPr="00754F8F">
        <w:rPr>
          <w:rFonts w:ascii="Arial Narrow" w:hAnsi="Arial Narrow" w:cs="Arial Narrow"/>
          <w:bCs/>
        </w:rPr>
        <w:t>for;</w:t>
      </w:r>
      <w:proofErr w:type="gramEnd"/>
    </w:p>
    <w:p w14:paraId="37979041" w14:textId="75DC01CD" w:rsidR="00754F8F" w:rsidRDefault="00754F8F" w:rsidP="00E57078">
      <w:pPr>
        <w:pStyle w:val="ListParagraph"/>
        <w:numPr>
          <w:ilvl w:val="0"/>
          <w:numId w:val="42"/>
        </w:numPr>
        <w:rPr>
          <w:rFonts w:ascii="Arial Narrow" w:hAnsi="Arial Narrow" w:cs="Arial Narrow"/>
          <w:bCs/>
        </w:rPr>
      </w:pPr>
      <w:r w:rsidRPr="00754F8F">
        <w:rPr>
          <w:rFonts w:ascii="Arial Narrow" w:hAnsi="Arial Narrow" w:cs="Arial Narrow"/>
          <w:bCs/>
        </w:rPr>
        <w:lastRenderedPageBreak/>
        <w:t xml:space="preserve">All liquor license applications lodged with the Board must comply with the provisions of sections 23 (1) (a-j) and 23 (4) of the Gauteng Liquor Act No.2 of </w:t>
      </w:r>
      <w:proofErr w:type="gramStart"/>
      <w:r w:rsidRPr="00754F8F">
        <w:rPr>
          <w:rFonts w:ascii="Arial Narrow" w:hAnsi="Arial Narrow" w:cs="Arial Narrow"/>
          <w:bCs/>
        </w:rPr>
        <w:t>2003;</w:t>
      </w:r>
      <w:proofErr w:type="gramEnd"/>
    </w:p>
    <w:p w14:paraId="172A7FA9" w14:textId="77777777" w:rsidR="00754F8F" w:rsidRDefault="00754F8F" w:rsidP="00754F8F">
      <w:pPr>
        <w:pStyle w:val="ListParagraph"/>
        <w:numPr>
          <w:ilvl w:val="0"/>
          <w:numId w:val="42"/>
        </w:numPr>
        <w:rPr>
          <w:rFonts w:ascii="Arial Narrow" w:hAnsi="Arial Narrow" w:cs="Arial Narrow"/>
          <w:bCs/>
        </w:rPr>
      </w:pPr>
      <w:r w:rsidRPr="00754F8F">
        <w:rPr>
          <w:rFonts w:ascii="Arial Narrow" w:hAnsi="Arial Narrow" w:cs="Arial Narrow"/>
          <w:bCs/>
        </w:rPr>
        <w:t>All liquor license applications must be presented before the local committees of the Board for the consideration of objections, if any and recommendation to the Board; and</w:t>
      </w:r>
    </w:p>
    <w:p w14:paraId="7E77C88B" w14:textId="68296592" w:rsidR="00DC693F" w:rsidRPr="00754F8F" w:rsidRDefault="00754F8F" w:rsidP="00754F8F">
      <w:pPr>
        <w:pStyle w:val="ListParagraph"/>
        <w:numPr>
          <w:ilvl w:val="0"/>
          <w:numId w:val="42"/>
        </w:numPr>
        <w:rPr>
          <w:rFonts w:ascii="Arial Narrow" w:hAnsi="Arial Narrow" w:cs="Arial Narrow"/>
          <w:bCs/>
        </w:rPr>
      </w:pPr>
      <w:r w:rsidRPr="00754F8F">
        <w:rPr>
          <w:rFonts w:ascii="Arial Narrow" w:hAnsi="Arial Narrow" w:cs="Arial Narrow"/>
          <w:bCs/>
        </w:rPr>
        <w:t xml:space="preserve">All liquor license applications must be presented before the Board for adjudication and resolution, either to approve or decline the application.       </w:t>
      </w:r>
    </w:p>
    <w:p w14:paraId="7DFDE8EC" w14:textId="4896FC3F" w:rsidR="00DC693F" w:rsidRDefault="00754F8F" w:rsidP="0081293B">
      <w:pPr>
        <w:spacing w:line="276" w:lineRule="auto"/>
        <w:rPr>
          <w:rFonts w:ascii="Arial Narrow" w:hAnsi="Arial Narrow" w:cs="Arial Narrow"/>
          <w:bCs/>
        </w:rPr>
      </w:pPr>
      <w:r>
        <w:rPr>
          <w:rFonts w:ascii="Arial Narrow" w:hAnsi="Arial Narrow" w:cs="Arial Narrow"/>
          <w:bCs/>
        </w:rPr>
        <w:t xml:space="preserve">Despite all this, the Committee is still of the view that the </w:t>
      </w:r>
      <w:r w:rsidR="008E450E">
        <w:rPr>
          <w:rFonts w:ascii="Arial Narrow" w:hAnsi="Arial Narrow" w:cs="Arial Narrow"/>
          <w:bCs/>
        </w:rPr>
        <w:t xml:space="preserve">GLB should also promote the responsible drinking within </w:t>
      </w:r>
      <w:proofErr w:type="gramStart"/>
      <w:r w:rsidR="008E450E">
        <w:rPr>
          <w:rFonts w:ascii="Arial Narrow" w:hAnsi="Arial Narrow" w:cs="Arial Narrow"/>
          <w:bCs/>
        </w:rPr>
        <w:t>society</w:t>
      </w:r>
      <w:proofErr w:type="gramEnd"/>
      <w:r w:rsidR="008E450E">
        <w:rPr>
          <w:rFonts w:ascii="Arial Narrow" w:hAnsi="Arial Narrow" w:cs="Arial Narrow"/>
          <w:bCs/>
        </w:rPr>
        <w:t xml:space="preserve"> and this also talks to the role that should be played by the Gauteng Gambling Board on the responsible gambling. </w:t>
      </w:r>
    </w:p>
    <w:p w14:paraId="210BBE43" w14:textId="77777777" w:rsidR="00DC693F" w:rsidRDefault="00DC693F" w:rsidP="0081293B">
      <w:pPr>
        <w:spacing w:line="276" w:lineRule="auto"/>
        <w:rPr>
          <w:rFonts w:ascii="Arial Narrow" w:hAnsi="Arial Narrow" w:cs="Arial Narrow"/>
          <w:bCs/>
        </w:rPr>
      </w:pPr>
    </w:p>
    <w:p w14:paraId="17259D18" w14:textId="5262CD05" w:rsidR="0081293B" w:rsidRPr="00E069F5" w:rsidRDefault="00E069F5" w:rsidP="0081293B">
      <w:pPr>
        <w:spacing w:line="276" w:lineRule="auto"/>
        <w:rPr>
          <w:rFonts w:ascii="Arial Narrow" w:hAnsi="Arial Narrow" w:cs="Arial Narrow"/>
          <w:b/>
        </w:rPr>
      </w:pPr>
      <w:bookmarkStart w:id="30" w:name="_Hlk151375528"/>
      <w:r w:rsidRPr="00E069F5">
        <w:rPr>
          <w:rFonts w:ascii="Arial Narrow" w:hAnsi="Arial Narrow" w:cs="Arial Narrow"/>
          <w:b/>
        </w:rPr>
        <w:t xml:space="preserve">The Committee should be given an update on the implementation of the </w:t>
      </w:r>
      <w:r w:rsidR="0081293B" w:rsidRPr="00E069F5">
        <w:rPr>
          <w:rFonts w:ascii="Arial Narrow" w:hAnsi="Arial Narrow" w:cs="Arial Narrow"/>
          <w:b/>
        </w:rPr>
        <w:t xml:space="preserve">Lanseria Smart City Phase 1 </w:t>
      </w:r>
      <w:bookmarkStart w:id="31" w:name="_Hlk120228045"/>
      <w:r w:rsidRPr="00E069F5">
        <w:rPr>
          <w:rFonts w:ascii="Arial Narrow" w:hAnsi="Arial Narrow" w:cs="Arial Narrow"/>
          <w:b/>
        </w:rPr>
        <w:t xml:space="preserve">project noting that the City of Johannesburg and the City of Mogale Municipalities have passed resolutions whilst the </w:t>
      </w:r>
      <w:r w:rsidR="0081293B" w:rsidRPr="00E069F5">
        <w:rPr>
          <w:rFonts w:ascii="Arial Narrow" w:hAnsi="Arial Narrow" w:cs="Arial Narrow"/>
          <w:b/>
        </w:rPr>
        <w:t>City of Tshwane has still not passed a Council resolution on the matter</w:t>
      </w:r>
      <w:r w:rsidR="005F3372" w:rsidRPr="00E069F5">
        <w:rPr>
          <w:rFonts w:ascii="Arial Narrow" w:hAnsi="Arial Narrow" w:cs="Arial Narrow"/>
          <w:b/>
        </w:rPr>
        <w:t>, thus remaining a concern for the Committee, wherein the view of the Committee is that inter-government</w:t>
      </w:r>
      <w:r w:rsidR="00154410">
        <w:rPr>
          <w:rFonts w:ascii="Arial Narrow" w:hAnsi="Arial Narrow" w:cs="Arial Narrow"/>
          <w:b/>
        </w:rPr>
        <w:t>al</w:t>
      </w:r>
      <w:r w:rsidR="005F3372" w:rsidRPr="00E069F5">
        <w:rPr>
          <w:rFonts w:ascii="Arial Narrow" w:hAnsi="Arial Narrow" w:cs="Arial Narrow"/>
          <w:b/>
        </w:rPr>
        <w:t xml:space="preserve"> relations should be strengthened in an effort bolster service deliver</w:t>
      </w:r>
      <w:r w:rsidR="00282CEC" w:rsidRPr="00E069F5">
        <w:rPr>
          <w:rFonts w:ascii="Arial Narrow" w:hAnsi="Arial Narrow" w:cs="Arial Narrow"/>
          <w:b/>
        </w:rPr>
        <w:t>y</w:t>
      </w:r>
      <w:r w:rsidR="005F3372" w:rsidRPr="00E069F5">
        <w:rPr>
          <w:rFonts w:ascii="Arial Narrow" w:hAnsi="Arial Narrow" w:cs="Arial Narrow"/>
          <w:b/>
        </w:rPr>
        <w:t xml:space="preserve"> and conclude such projects aimed at creating employment</w:t>
      </w:r>
      <w:r w:rsidR="0081293B" w:rsidRPr="00E069F5">
        <w:rPr>
          <w:rFonts w:ascii="Arial Narrow" w:hAnsi="Arial Narrow" w:cs="Arial Narrow"/>
          <w:b/>
        </w:rPr>
        <w:t>.</w:t>
      </w:r>
      <w:r w:rsidR="005F3372" w:rsidRPr="00E069F5">
        <w:rPr>
          <w:rFonts w:ascii="Arial Narrow" w:hAnsi="Arial Narrow" w:cs="Arial Narrow"/>
          <w:b/>
        </w:rPr>
        <w:t xml:space="preserve"> Despite this, t</w:t>
      </w:r>
      <w:r w:rsidR="0081293B" w:rsidRPr="00E069F5">
        <w:rPr>
          <w:rFonts w:ascii="Arial Narrow" w:hAnsi="Arial Narrow" w:cs="Arial Narrow"/>
          <w:b/>
        </w:rPr>
        <w:t xml:space="preserve">he Committee noted the great strides in this regard and impresses on the Department to continue doing diligent work in this regard, also impressing on the MEC </w:t>
      </w:r>
      <w:r w:rsidR="005F3372" w:rsidRPr="00E069F5">
        <w:rPr>
          <w:rFonts w:ascii="Arial Narrow" w:hAnsi="Arial Narrow" w:cs="Arial Narrow"/>
          <w:b/>
        </w:rPr>
        <w:t xml:space="preserve">to engage politically with the City of Tshwane in passing a resolution by that Council in implementing the Lanseria Smart City. </w:t>
      </w:r>
      <w:r w:rsidR="0081293B" w:rsidRPr="00E069F5">
        <w:rPr>
          <w:rFonts w:ascii="Arial Narrow" w:hAnsi="Arial Narrow" w:cs="Arial Narrow"/>
          <w:b/>
        </w:rPr>
        <w:t xml:space="preserve"> </w:t>
      </w:r>
      <w:bookmarkEnd w:id="31"/>
    </w:p>
    <w:p w14:paraId="647E6250" w14:textId="5F8E965D" w:rsidR="0016364F" w:rsidRDefault="0016364F" w:rsidP="0016364F">
      <w:pPr>
        <w:spacing w:line="276" w:lineRule="auto"/>
        <w:rPr>
          <w:rFonts w:ascii="Arial Narrow" w:hAnsi="Arial Narrow" w:cs="Arial Narrow"/>
          <w:b/>
        </w:rPr>
      </w:pPr>
      <w:bookmarkStart w:id="32" w:name="_Hlk25087539"/>
      <w:bookmarkEnd w:id="30"/>
    </w:p>
    <w:bookmarkEnd w:id="32"/>
    <w:p w14:paraId="10985AAB" w14:textId="77777777" w:rsidR="00FE0B83" w:rsidRPr="0079000E" w:rsidRDefault="00FE0B83" w:rsidP="00C93456">
      <w:pPr>
        <w:spacing w:line="276" w:lineRule="auto"/>
        <w:rPr>
          <w:rFonts w:ascii="Arial Narrow" w:hAnsi="Arial Narrow" w:cs="Arial Narrow"/>
          <w:b/>
          <w:bCs/>
        </w:rPr>
      </w:pPr>
      <w:r w:rsidRPr="0079000E">
        <w:rPr>
          <w:rFonts w:ascii="Arial Narrow" w:hAnsi="Arial Narrow" w:cs="Arial Narrow"/>
          <w:b/>
          <w:bCs/>
        </w:rPr>
        <w:t xml:space="preserve">PROGRAMME 5. Economic Planning </w:t>
      </w:r>
    </w:p>
    <w:p w14:paraId="3FDB1256" w14:textId="77777777" w:rsidR="00FE0B83" w:rsidRPr="0079000E" w:rsidRDefault="00FE0B83" w:rsidP="00C93456">
      <w:pPr>
        <w:spacing w:line="276" w:lineRule="auto"/>
        <w:rPr>
          <w:rFonts w:ascii="Arial Narrow" w:hAnsi="Arial Narrow" w:cs="Arial Narrow"/>
          <w:b/>
          <w:bCs/>
        </w:rPr>
      </w:pPr>
    </w:p>
    <w:p w14:paraId="525B3A45" w14:textId="46F5D2AA" w:rsidR="006664AC" w:rsidRDefault="006664AC" w:rsidP="00C93456">
      <w:pPr>
        <w:spacing w:line="276" w:lineRule="auto"/>
        <w:rPr>
          <w:rFonts w:ascii="Arial Narrow" w:hAnsi="Arial Narrow" w:cs="Arial Narrow"/>
          <w:bCs/>
          <w:lang w:val="en-US"/>
        </w:rPr>
      </w:pPr>
      <w:r w:rsidRPr="006664AC">
        <w:rPr>
          <w:rFonts w:ascii="Arial Narrow" w:hAnsi="Arial Narrow" w:cs="Arial Narrow"/>
          <w:bCs/>
          <w:lang w:val="en-US"/>
        </w:rPr>
        <w:t>The purpose of this programme is to provide thought leadership to transform and re-industrialize the economy of the Gauteng City Region through policy and strategy development. The programme’s objective is to develop economic sector specific policies and economic plans for the province, strategies and frameworks and any economic legislation and regulations required. All proposed policies and plans will be informed by sound economic research and will focus on the new strategic direction and approach such as support for the 11 identified economic sectors and revitalizing township economies.</w:t>
      </w:r>
    </w:p>
    <w:p w14:paraId="273D10C6" w14:textId="77777777" w:rsidR="001F3024" w:rsidRDefault="001F3024" w:rsidP="00C93456">
      <w:pPr>
        <w:spacing w:line="276" w:lineRule="auto"/>
        <w:rPr>
          <w:rFonts w:ascii="Arial Narrow" w:hAnsi="Arial Narrow" w:cs="Arial Narrow"/>
          <w:bCs/>
        </w:rPr>
      </w:pPr>
    </w:p>
    <w:p w14:paraId="5DDEC440" w14:textId="0FA7EF59" w:rsidR="001F3024" w:rsidRDefault="008D1BAC" w:rsidP="00C93456">
      <w:pPr>
        <w:spacing w:line="276" w:lineRule="auto"/>
        <w:rPr>
          <w:rFonts w:ascii="Arial Narrow" w:hAnsi="Arial Narrow" w:cs="Arial Narrow"/>
          <w:bCs/>
        </w:rPr>
      </w:pPr>
      <w:r w:rsidRPr="002A54BC">
        <w:rPr>
          <w:rFonts w:ascii="Arial Narrow" w:hAnsi="Arial Narrow" w:cs="Arial Narrow"/>
          <w:bCs/>
        </w:rPr>
        <w:t>The Department reported that the</w:t>
      </w:r>
      <w:r w:rsidR="00B05BF0" w:rsidRPr="002A54BC">
        <w:rPr>
          <w:rFonts w:ascii="Arial Narrow" w:hAnsi="Arial Narrow" w:cs="Arial Narrow"/>
          <w:bCs/>
        </w:rPr>
        <w:t xml:space="preserve"> programme was all</w:t>
      </w:r>
      <w:r w:rsidR="002A54BC" w:rsidRPr="002A54BC">
        <w:rPr>
          <w:rFonts w:ascii="Arial Narrow" w:hAnsi="Arial Narrow" w:cs="Arial Narrow"/>
          <w:bCs/>
        </w:rPr>
        <w:t xml:space="preserve">ocated an amount of R </w:t>
      </w:r>
      <w:r w:rsidR="001F3024">
        <w:rPr>
          <w:rFonts w:ascii="Arial Narrow" w:hAnsi="Arial Narrow" w:cs="Arial Narrow"/>
          <w:bCs/>
        </w:rPr>
        <w:t>3</w:t>
      </w:r>
      <w:r w:rsidR="00D81F36">
        <w:rPr>
          <w:rFonts w:ascii="Arial Narrow" w:hAnsi="Arial Narrow" w:cs="Arial Narrow"/>
          <w:bCs/>
        </w:rPr>
        <w:t>7</w:t>
      </w:r>
      <w:r w:rsidR="00FC307D">
        <w:rPr>
          <w:rFonts w:ascii="Arial Narrow" w:hAnsi="Arial Narrow" w:cs="Arial Narrow"/>
          <w:bCs/>
        </w:rPr>
        <w:t>3</w:t>
      </w:r>
      <w:r w:rsidR="00D81F36">
        <w:rPr>
          <w:rFonts w:ascii="Arial Narrow" w:hAnsi="Arial Narrow" w:cs="Arial Narrow"/>
          <w:bCs/>
        </w:rPr>
        <w:t xml:space="preserve"> </w:t>
      </w:r>
      <w:r w:rsidR="00FC307D">
        <w:rPr>
          <w:rFonts w:ascii="Arial Narrow" w:hAnsi="Arial Narrow" w:cs="Arial Narrow"/>
          <w:bCs/>
        </w:rPr>
        <w:t>493</w:t>
      </w:r>
      <w:r w:rsidR="00861134">
        <w:rPr>
          <w:rFonts w:ascii="Arial Narrow" w:hAnsi="Arial Narrow" w:cs="Arial Narrow"/>
          <w:bCs/>
        </w:rPr>
        <w:t> </w:t>
      </w:r>
      <w:r w:rsidR="00861134" w:rsidRPr="00861134">
        <w:rPr>
          <w:rFonts w:ascii="Arial Narrow" w:hAnsi="Arial Narrow" w:cs="Arial Narrow"/>
          <w:bCs/>
        </w:rPr>
        <w:t>000</w:t>
      </w:r>
      <w:r w:rsidR="00861134">
        <w:rPr>
          <w:rFonts w:ascii="Arial Narrow" w:hAnsi="Arial Narrow" w:cs="Arial Narrow"/>
          <w:bCs/>
        </w:rPr>
        <w:t xml:space="preserve"> (R</w:t>
      </w:r>
      <w:r w:rsidR="001F3024">
        <w:rPr>
          <w:rFonts w:ascii="Arial Narrow" w:hAnsi="Arial Narrow" w:cs="Arial Narrow"/>
          <w:bCs/>
        </w:rPr>
        <w:t>3</w:t>
      </w:r>
      <w:r w:rsidR="00FC307D">
        <w:rPr>
          <w:rFonts w:ascii="Arial Narrow" w:hAnsi="Arial Narrow" w:cs="Arial Narrow"/>
          <w:bCs/>
        </w:rPr>
        <w:t>73.4</w:t>
      </w:r>
      <w:r w:rsidR="00861134">
        <w:rPr>
          <w:rFonts w:ascii="Arial Narrow" w:hAnsi="Arial Narrow" w:cs="Arial Narrow"/>
          <w:bCs/>
        </w:rPr>
        <w:t>m)</w:t>
      </w:r>
      <w:r w:rsidR="00861134" w:rsidRPr="00861134">
        <w:rPr>
          <w:rFonts w:ascii="Arial Narrow" w:hAnsi="Arial Narrow" w:cs="Arial Narrow"/>
          <w:bCs/>
        </w:rPr>
        <w:t xml:space="preserve"> </w:t>
      </w:r>
      <w:r w:rsidR="00B05BF0" w:rsidRPr="002A54BC">
        <w:rPr>
          <w:rFonts w:ascii="Arial Narrow" w:hAnsi="Arial Narrow" w:cs="Arial Narrow"/>
          <w:bCs/>
        </w:rPr>
        <w:t xml:space="preserve">and spent an amount of </w:t>
      </w:r>
      <w:r w:rsidR="001F3024">
        <w:rPr>
          <w:rFonts w:ascii="Arial Narrow" w:hAnsi="Arial Narrow" w:cs="Arial Narrow"/>
          <w:bCs/>
        </w:rPr>
        <w:t>R 3</w:t>
      </w:r>
      <w:r w:rsidR="00FC307D">
        <w:rPr>
          <w:rFonts w:ascii="Arial Narrow" w:hAnsi="Arial Narrow" w:cs="Arial Narrow"/>
          <w:bCs/>
        </w:rPr>
        <w:t>46</w:t>
      </w:r>
      <w:r w:rsidR="001F3024">
        <w:rPr>
          <w:rFonts w:ascii="Arial Narrow" w:hAnsi="Arial Narrow" w:cs="Arial Narrow"/>
          <w:bCs/>
        </w:rPr>
        <w:t> </w:t>
      </w:r>
      <w:r w:rsidR="00FC307D">
        <w:rPr>
          <w:rFonts w:ascii="Arial Narrow" w:hAnsi="Arial Narrow" w:cs="Arial Narrow"/>
          <w:bCs/>
        </w:rPr>
        <w:t>381</w:t>
      </w:r>
      <w:r w:rsidR="001F3024">
        <w:rPr>
          <w:rFonts w:ascii="Arial Narrow" w:hAnsi="Arial Narrow" w:cs="Arial Narrow"/>
          <w:bCs/>
        </w:rPr>
        <w:t> 000 (R3</w:t>
      </w:r>
      <w:r w:rsidR="00FC307D">
        <w:rPr>
          <w:rFonts w:ascii="Arial Narrow" w:hAnsi="Arial Narrow" w:cs="Arial Narrow"/>
          <w:bCs/>
        </w:rPr>
        <w:t>46</w:t>
      </w:r>
      <w:r w:rsidR="001F3024">
        <w:rPr>
          <w:rFonts w:ascii="Arial Narrow" w:hAnsi="Arial Narrow" w:cs="Arial Narrow"/>
          <w:bCs/>
        </w:rPr>
        <w:t>.</w:t>
      </w:r>
      <w:r w:rsidR="00FC307D">
        <w:rPr>
          <w:rFonts w:ascii="Arial Narrow" w:hAnsi="Arial Narrow" w:cs="Arial Narrow"/>
          <w:bCs/>
        </w:rPr>
        <w:t>3</w:t>
      </w:r>
      <w:r w:rsidR="001F3024">
        <w:rPr>
          <w:rFonts w:ascii="Arial Narrow" w:hAnsi="Arial Narrow" w:cs="Arial Narrow"/>
          <w:bCs/>
        </w:rPr>
        <w:t>m)</w:t>
      </w:r>
      <w:r w:rsidR="00B05BF0" w:rsidRPr="002A54BC">
        <w:rPr>
          <w:rFonts w:ascii="Arial Narrow" w:hAnsi="Arial Narrow" w:cs="Arial Narrow"/>
          <w:bCs/>
        </w:rPr>
        <w:t xml:space="preserve"> </w:t>
      </w:r>
      <w:r w:rsidRPr="002A54BC">
        <w:rPr>
          <w:rFonts w:ascii="Arial Narrow" w:hAnsi="Arial Narrow" w:cs="Arial Narrow"/>
          <w:bCs/>
        </w:rPr>
        <w:t xml:space="preserve">which constitutes </w:t>
      </w:r>
      <w:r w:rsidR="001F3024">
        <w:rPr>
          <w:rFonts w:ascii="Arial Narrow" w:hAnsi="Arial Narrow" w:cs="Arial Narrow"/>
          <w:bCs/>
        </w:rPr>
        <w:t>9</w:t>
      </w:r>
      <w:r w:rsidR="00FC307D">
        <w:rPr>
          <w:rFonts w:ascii="Arial Narrow" w:hAnsi="Arial Narrow" w:cs="Arial Narrow"/>
          <w:bCs/>
        </w:rPr>
        <w:t>2</w:t>
      </w:r>
      <w:r w:rsidR="001F3024">
        <w:rPr>
          <w:rFonts w:ascii="Arial Narrow" w:hAnsi="Arial Narrow" w:cs="Arial Narrow"/>
          <w:bCs/>
        </w:rPr>
        <w:t>.</w:t>
      </w:r>
      <w:r w:rsidR="00FC307D">
        <w:rPr>
          <w:rFonts w:ascii="Arial Narrow" w:hAnsi="Arial Narrow" w:cs="Arial Narrow"/>
          <w:bCs/>
        </w:rPr>
        <w:t>74</w:t>
      </w:r>
      <w:r w:rsidR="00861134" w:rsidRPr="00861134">
        <w:rPr>
          <w:rFonts w:ascii="Arial Narrow" w:hAnsi="Arial Narrow" w:cs="Arial Narrow"/>
          <w:bCs/>
        </w:rPr>
        <w:t>%</w:t>
      </w:r>
      <w:r w:rsidR="00861134">
        <w:rPr>
          <w:rFonts w:ascii="Arial Narrow" w:hAnsi="Arial Narrow" w:cs="Arial Narrow"/>
          <w:bCs/>
        </w:rPr>
        <w:t xml:space="preserve"> </w:t>
      </w:r>
      <w:r w:rsidRPr="002A54BC">
        <w:rPr>
          <w:rFonts w:ascii="Arial Narrow" w:hAnsi="Arial Narrow" w:cs="Arial Narrow"/>
          <w:bCs/>
        </w:rPr>
        <w:t>of its allocated budget.</w:t>
      </w:r>
      <w:r w:rsidR="00861134">
        <w:rPr>
          <w:rFonts w:ascii="Arial Narrow" w:hAnsi="Arial Narrow" w:cs="Arial Narrow"/>
          <w:bCs/>
        </w:rPr>
        <w:t xml:space="preserve"> </w:t>
      </w:r>
      <w:r w:rsidR="001F3024">
        <w:rPr>
          <w:rFonts w:ascii="Arial Narrow" w:hAnsi="Arial Narrow" w:cs="Arial Narrow"/>
          <w:bCs/>
        </w:rPr>
        <w:t>This is</w:t>
      </w:r>
      <w:r w:rsidR="00EE3AC0">
        <w:rPr>
          <w:rFonts w:ascii="Arial Narrow" w:hAnsi="Arial Narrow" w:cs="Arial Narrow"/>
          <w:bCs/>
        </w:rPr>
        <w:t xml:space="preserve"> </w:t>
      </w:r>
      <w:r w:rsidR="00FC307D">
        <w:rPr>
          <w:rFonts w:ascii="Arial Narrow" w:hAnsi="Arial Narrow" w:cs="Arial Narrow"/>
          <w:bCs/>
        </w:rPr>
        <w:t xml:space="preserve">above the </w:t>
      </w:r>
      <w:r w:rsidR="001F3024">
        <w:rPr>
          <w:rFonts w:ascii="Arial Narrow" w:hAnsi="Arial Narrow" w:cs="Arial Narrow"/>
          <w:bCs/>
        </w:rPr>
        <w:t xml:space="preserve">5% threshold as outlined in the Treasury Regulations as </w:t>
      </w:r>
      <w:r w:rsidR="00FC307D">
        <w:rPr>
          <w:rFonts w:ascii="Arial Narrow" w:hAnsi="Arial Narrow" w:cs="Arial Narrow"/>
          <w:bCs/>
        </w:rPr>
        <w:t>the programme underspent by 7.26% a</w:t>
      </w:r>
      <w:r w:rsidR="001F3024">
        <w:rPr>
          <w:rFonts w:ascii="Arial Narrow" w:hAnsi="Arial Narrow" w:cs="Arial Narrow"/>
          <w:bCs/>
        </w:rPr>
        <w:t xml:space="preserve">mounting to </w:t>
      </w:r>
      <w:r w:rsidR="001F3024" w:rsidRPr="001F3024">
        <w:rPr>
          <w:rFonts w:ascii="Arial Narrow" w:hAnsi="Arial Narrow" w:cs="Arial Narrow"/>
          <w:bCs/>
        </w:rPr>
        <w:t>R</w:t>
      </w:r>
      <w:r w:rsidR="00EE3AC0">
        <w:rPr>
          <w:rFonts w:ascii="Arial Narrow" w:hAnsi="Arial Narrow" w:cs="Arial Narrow"/>
          <w:bCs/>
        </w:rPr>
        <w:t xml:space="preserve"> 2</w:t>
      </w:r>
      <w:r w:rsidR="00FC307D">
        <w:rPr>
          <w:rFonts w:ascii="Arial Narrow" w:hAnsi="Arial Narrow" w:cs="Arial Narrow"/>
          <w:bCs/>
        </w:rPr>
        <w:t>7 112</w:t>
      </w:r>
      <w:r w:rsidR="001F3024" w:rsidRPr="001F3024">
        <w:rPr>
          <w:rFonts w:ascii="Arial Narrow" w:hAnsi="Arial Narrow" w:cs="Arial Narrow"/>
          <w:bCs/>
        </w:rPr>
        <w:t xml:space="preserve"> 000</w:t>
      </w:r>
      <w:r w:rsidR="001F3024">
        <w:rPr>
          <w:rFonts w:ascii="Arial Narrow" w:hAnsi="Arial Narrow" w:cs="Arial Narrow"/>
          <w:bCs/>
        </w:rPr>
        <w:t xml:space="preserve"> (R </w:t>
      </w:r>
      <w:r w:rsidR="00FC307D">
        <w:rPr>
          <w:rFonts w:ascii="Arial Narrow" w:hAnsi="Arial Narrow" w:cs="Arial Narrow"/>
          <w:bCs/>
        </w:rPr>
        <w:t>27.1m</w:t>
      </w:r>
      <w:r w:rsidR="001F3024">
        <w:rPr>
          <w:rFonts w:ascii="Arial Narrow" w:hAnsi="Arial Narrow" w:cs="Arial Narrow"/>
          <w:bCs/>
        </w:rPr>
        <w:t>)</w:t>
      </w:r>
      <w:r w:rsidR="00EE3AC0">
        <w:rPr>
          <w:rFonts w:ascii="Arial Narrow" w:hAnsi="Arial Narrow" w:cs="Arial Narrow"/>
          <w:bCs/>
        </w:rPr>
        <w:t xml:space="preserve">, whilst the programme also attained </w:t>
      </w:r>
      <w:r w:rsidR="00FC307D">
        <w:rPr>
          <w:rFonts w:ascii="Arial Narrow" w:hAnsi="Arial Narrow" w:cs="Arial Narrow"/>
          <w:bCs/>
        </w:rPr>
        <w:t>2</w:t>
      </w:r>
      <w:r w:rsidR="00EE3AC0">
        <w:rPr>
          <w:rFonts w:ascii="Arial Narrow" w:hAnsi="Arial Narrow" w:cs="Arial Narrow"/>
          <w:bCs/>
        </w:rPr>
        <w:t xml:space="preserve"> out of the </w:t>
      </w:r>
      <w:r w:rsidR="00FC307D">
        <w:rPr>
          <w:rFonts w:ascii="Arial Narrow" w:hAnsi="Arial Narrow" w:cs="Arial Narrow"/>
          <w:bCs/>
        </w:rPr>
        <w:t>9</w:t>
      </w:r>
      <w:r w:rsidR="00EE3AC0">
        <w:rPr>
          <w:rFonts w:ascii="Arial Narrow" w:hAnsi="Arial Narrow" w:cs="Arial Narrow"/>
          <w:bCs/>
        </w:rPr>
        <w:t xml:space="preserve"> planned targets. </w:t>
      </w:r>
    </w:p>
    <w:p w14:paraId="705DBDB0" w14:textId="4271F2B4" w:rsidR="001F3024" w:rsidRDefault="001F3024" w:rsidP="00C93456">
      <w:pPr>
        <w:spacing w:line="276" w:lineRule="auto"/>
        <w:rPr>
          <w:rFonts w:ascii="Arial Narrow" w:hAnsi="Arial Narrow" w:cs="Arial Narrow"/>
          <w:bCs/>
        </w:rPr>
      </w:pPr>
    </w:p>
    <w:p w14:paraId="182961E9" w14:textId="70F1C214" w:rsidR="00FC307D" w:rsidRDefault="00FC307D" w:rsidP="00C93456">
      <w:pPr>
        <w:spacing w:line="276" w:lineRule="auto"/>
        <w:rPr>
          <w:rFonts w:ascii="Arial Narrow" w:hAnsi="Arial Narrow" w:cs="Arial Narrow"/>
          <w:bCs/>
        </w:rPr>
      </w:pPr>
      <w:r>
        <w:rPr>
          <w:rFonts w:ascii="Arial Narrow" w:hAnsi="Arial Narrow" w:cs="Arial Narrow"/>
          <w:bCs/>
        </w:rPr>
        <w:t xml:space="preserve">The unattained targets relate to the Departments inability to create 180 000 jobs through the township economy programme as the Department managed to only create 1 690 and reasons cited for this relate to a lack of funding and dependency on partners. </w:t>
      </w:r>
      <w:r w:rsidRPr="00FC307D">
        <w:rPr>
          <w:rFonts w:ascii="Arial Narrow" w:hAnsi="Arial Narrow" w:cs="Arial Narrow"/>
          <w:bCs/>
        </w:rPr>
        <w:t>This is despite previous commitments that funds are raised through the SME funds, alluding to R</w:t>
      </w:r>
      <w:r>
        <w:rPr>
          <w:rFonts w:ascii="Arial Narrow" w:hAnsi="Arial Narrow" w:cs="Arial Narrow"/>
          <w:bCs/>
        </w:rPr>
        <w:t xml:space="preserve"> </w:t>
      </w:r>
      <w:r w:rsidRPr="00FC307D">
        <w:rPr>
          <w:rFonts w:ascii="Arial Narrow" w:hAnsi="Arial Narrow" w:cs="Arial Narrow"/>
          <w:bCs/>
        </w:rPr>
        <w:t>300</w:t>
      </w:r>
      <w:r>
        <w:rPr>
          <w:rFonts w:ascii="Arial Narrow" w:hAnsi="Arial Narrow" w:cs="Arial Narrow"/>
          <w:bCs/>
        </w:rPr>
        <w:t> 000 000 (R300m)</w:t>
      </w:r>
      <w:r w:rsidRPr="00FC307D">
        <w:rPr>
          <w:rFonts w:ascii="Arial Narrow" w:hAnsi="Arial Narrow" w:cs="Arial Narrow"/>
          <w:bCs/>
        </w:rPr>
        <w:t xml:space="preserve"> injection through intermediaries such as the SMME Crisis Partnership Fund, Kasi M</w:t>
      </w:r>
      <w:r>
        <w:rPr>
          <w:rFonts w:ascii="Arial Narrow" w:hAnsi="Arial Narrow" w:cs="Arial Narrow"/>
          <w:bCs/>
        </w:rPr>
        <w:t>no</w:t>
      </w:r>
      <w:r w:rsidRPr="00FC307D">
        <w:rPr>
          <w:rFonts w:ascii="Arial Narrow" w:hAnsi="Arial Narrow" w:cs="Arial Narrow"/>
          <w:bCs/>
        </w:rPr>
        <w:t>t</w:t>
      </w:r>
      <w:r>
        <w:rPr>
          <w:rFonts w:ascii="Arial Narrow" w:hAnsi="Arial Narrow" w:cs="Arial Narrow"/>
          <w:bCs/>
        </w:rPr>
        <w:t>h</w:t>
      </w:r>
      <w:r w:rsidRPr="00FC307D">
        <w:rPr>
          <w:rFonts w:ascii="Arial Narrow" w:hAnsi="Arial Narrow" w:cs="Arial Narrow"/>
          <w:bCs/>
        </w:rPr>
        <w:t>o/Family Tree</w:t>
      </w:r>
      <w:r w:rsidR="00E27BC7">
        <w:rPr>
          <w:rFonts w:ascii="Arial Narrow" w:hAnsi="Arial Narrow" w:cs="Arial Narrow"/>
          <w:bCs/>
        </w:rPr>
        <w:t xml:space="preserve"> Fund</w:t>
      </w:r>
      <w:r w:rsidRPr="00FC307D">
        <w:rPr>
          <w:rFonts w:ascii="Arial Narrow" w:hAnsi="Arial Narrow" w:cs="Arial Narrow"/>
          <w:bCs/>
        </w:rPr>
        <w:t xml:space="preserve"> and Nedbank and Township Growth </w:t>
      </w:r>
      <w:r w:rsidR="00E27BC7">
        <w:rPr>
          <w:rFonts w:ascii="Arial Narrow" w:hAnsi="Arial Narrow" w:cs="Arial Narrow"/>
          <w:bCs/>
        </w:rPr>
        <w:t>F</w:t>
      </w:r>
      <w:r w:rsidRPr="00FC307D">
        <w:rPr>
          <w:rFonts w:ascii="Arial Narrow" w:hAnsi="Arial Narrow" w:cs="Arial Narrow"/>
          <w:bCs/>
        </w:rPr>
        <w:t>und/Emerge-Bluefields</w:t>
      </w:r>
      <w:r w:rsidR="00E27BC7">
        <w:rPr>
          <w:rFonts w:ascii="Arial Narrow" w:hAnsi="Arial Narrow" w:cs="Arial Narrow"/>
          <w:bCs/>
        </w:rPr>
        <w:t xml:space="preserve">. </w:t>
      </w:r>
      <w:r w:rsidRPr="00FC307D">
        <w:rPr>
          <w:rFonts w:ascii="Arial Narrow" w:hAnsi="Arial Narrow" w:cs="Arial Narrow"/>
          <w:bCs/>
        </w:rPr>
        <w:t>However, the latter funds through Nedbank partnership did not come to fruition, and the reported progress was related to the SMME Crisis Partnership Fund (SASME Fund Partnership)</w:t>
      </w:r>
      <w:r w:rsidR="00E27BC7">
        <w:rPr>
          <w:rFonts w:ascii="Arial Narrow" w:hAnsi="Arial Narrow" w:cs="Arial Narrow"/>
          <w:bCs/>
        </w:rPr>
        <w:t xml:space="preserve">. The Committee is of the view that the Department cannot fail in attaining job creation targets as this does not bolster well for the vision of the </w:t>
      </w:r>
      <w:proofErr w:type="gramStart"/>
      <w:r w:rsidR="00E27BC7">
        <w:rPr>
          <w:rFonts w:ascii="Arial Narrow" w:hAnsi="Arial Narrow" w:cs="Arial Narrow"/>
          <w:bCs/>
        </w:rPr>
        <w:t>Province</w:t>
      </w:r>
      <w:proofErr w:type="gramEnd"/>
      <w:r w:rsidR="00E27BC7">
        <w:rPr>
          <w:rFonts w:ascii="Arial Narrow" w:hAnsi="Arial Narrow" w:cs="Arial Narrow"/>
          <w:bCs/>
        </w:rPr>
        <w:t xml:space="preserve"> in reducing unemployment. </w:t>
      </w:r>
    </w:p>
    <w:p w14:paraId="70DDA694" w14:textId="77777777" w:rsidR="00FC307D" w:rsidRDefault="00FC307D" w:rsidP="00C93456">
      <w:pPr>
        <w:spacing w:line="276" w:lineRule="auto"/>
        <w:rPr>
          <w:rFonts w:ascii="Arial Narrow" w:hAnsi="Arial Narrow" w:cs="Arial Narrow"/>
          <w:bCs/>
        </w:rPr>
      </w:pPr>
    </w:p>
    <w:p w14:paraId="41B35BB2" w14:textId="51C45C16" w:rsidR="00482EB8" w:rsidRDefault="00E27BC7" w:rsidP="00E27BC7">
      <w:pPr>
        <w:spacing w:line="276" w:lineRule="auto"/>
        <w:rPr>
          <w:rFonts w:ascii="Arial Narrow" w:hAnsi="Arial Narrow" w:cs="Arial Narrow"/>
          <w:bCs/>
        </w:rPr>
      </w:pPr>
      <w:r>
        <w:rPr>
          <w:rFonts w:ascii="Arial Narrow" w:hAnsi="Arial Narrow" w:cs="Arial Narrow"/>
          <w:bCs/>
        </w:rPr>
        <w:t>In response to this the Department indicated that, t</w:t>
      </w:r>
      <w:r w:rsidRPr="00E27BC7">
        <w:rPr>
          <w:rFonts w:ascii="Arial Narrow" w:hAnsi="Arial Narrow" w:cs="Arial Narrow"/>
          <w:bCs/>
        </w:rPr>
        <w:t xml:space="preserve">he biggest challenge relates to direct funding of projects by the Department which does not translate into much in terms of jobs impact. </w:t>
      </w:r>
      <w:r>
        <w:rPr>
          <w:rFonts w:ascii="Arial Narrow" w:hAnsi="Arial Narrow" w:cs="Arial Narrow"/>
          <w:bCs/>
        </w:rPr>
        <w:t xml:space="preserve">The Department outlined that </w:t>
      </w:r>
      <w:r w:rsidRPr="00E27BC7">
        <w:rPr>
          <w:rFonts w:ascii="Arial Narrow" w:hAnsi="Arial Narrow" w:cs="Arial Narrow"/>
          <w:bCs/>
        </w:rPr>
        <w:t>only R</w:t>
      </w:r>
      <w:r>
        <w:rPr>
          <w:rFonts w:ascii="Arial Narrow" w:hAnsi="Arial Narrow" w:cs="Arial Narrow"/>
          <w:bCs/>
        </w:rPr>
        <w:t xml:space="preserve"> </w:t>
      </w:r>
      <w:r w:rsidRPr="00E27BC7">
        <w:rPr>
          <w:rFonts w:ascii="Arial Narrow" w:hAnsi="Arial Narrow" w:cs="Arial Narrow"/>
          <w:bCs/>
        </w:rPr>
        <w:t>16</w:t>
      </w:r>
      <w:r>
        <w:rPr>
          <w:rFonts w:ascii="Arial Narrow" w:hAnsi="Arial Narrow" w:cs="Arial Narrow"/>
          <w:bCs/>
        </w:rPr>
        <w:t> 000 000 (R16m)</w:t>
      </w:r>
      <w:r w:rsidRPr="00E27BC7">
        <w:rPr>
          <w:rFonts w:ascii="Arial Narrow" w:hAnsi="Arial Narrow" w:cs="Arial Narrow"/>
          <w:bCs/>
        </w:rPr>
        <w:t xml:space="preserve"> has been allocated to deliver</w:t>
      </w:r>
      <w:r>
        <w:rPr>
          <w:rFonts w:ascii="Arial Narrow" w:hAnsi="Arial Narrow" w:cs="Arial Narrow"/>
          <w:bCs/>
        </w:rPr>
        <w:t xml:space="preserve"> on</w:t>
      </w:r>
      <w:r w:rsidRPr="00E27BC7">
        <w:rPr>
          <w:rFonts w:ascii="Arial Narrow" w:hAnsi="Arial Narrow" w:cs="Arial Narrow"/>
          <w:bCs/>
        </w:rPr>
        <w:t xml:space="preserve"> township projects and the required budget based on scientific analysis is at least R</w:t>
      </w:r>
      <w:r>
        <w:rPr>
          <w:rFonts w:ascii="Arial Narrow" w:hAnsi="Arial Narrow" w:cs="Arial Narrow"/>
          <w:bCs/>
        </w:rPr>
        <w:t xml:space="preserve"> </w:t>
      </w:r>
      <w:r w:rsidRPr="00E27BC7">
        <w:rPr>
          <w:rFonts w:ascii="Arial Narrow" w:hAnsi="Arial Narrow" w:cs="Arial Narrow"/>
          <w:bCs/>
        </w:rPr>
        <w:t>180</w:t>
      </w:r>
      <w:r>
        <w:rPr>
          <w:rFonts w:ascii="Arial Narrow" w:hAnsi="Arial Narrow" w:cs="Arial Narrow"/>
          <w:bCs/>
        </w:rPr>
        <w:t xml:space="preserve"> 000 000 (R180m) </w:t>
      </w:r>
      <w:r w:rsidRPr="00E27BC7">
        <w:rPr>
          <w:rFonts w:ascii="Arial Narrow" w:hAnsi="Arial Narrow" w:cs="Arial Narrow"/>
          <w:bCs/>
        </w:rPr>
        <w:t xml:space="preserve">internally to enable the Department to leverage funding and make an </w:t>
      </w:r>
      <w:r w:rsidRPr="00E27BC7">
        <w:rPr>
          <w:rFonts w:ascii="Arial Narrow" w:hAnsi="Arial Narrow" w:cs="Arial Narrow"/>
          <w:bCs/>
        </w:rPr>
        <w:lastRenderedPageBreak/>
        <w:t xml:space="preserve">impact. The current allocated budget </w:t>
      </w:r>
      <w:r>
        <w:rPr>
          <w:rFonts w:ascii="Arial Narrow" w:hAnsi="Arial Narrow" w:cs="Arial Narrow"/>
          <w:bCs/>
        </w:rPr>
        <w:t>could</w:t>
      </w:r>
      <w:r w:rsidRPr="00E27BC7">
        <w:rPr>
          <w:rFonts w:ascii="Arial Narrow" w:hAnsi="Arial Narrow" w:cs="Arial Narrow"/>
          <w:bCs/>
        </w:rPr>
        <w:t xml:space="preserve"> only yield 520 jobs in line with market employment multiplier effect especially noting the declining economy that is currently shedding jobs.</w:t>
      </w:r>
      <w:r>
        <w:rPr>
          <w:rFonts w:ascii="Arial Narrow" w:hAnsi="Arial Narrow" w:cs="Arial Narrow"/>
          <w:bCs/>
        </w:rPr>
        <w:t xml:space="preserve"> Furthermore, t</w:t>
      </w:r>
      <w:r w:rsidRPr="00E27BC7">
        <w:rPr>
          <w:rFonts w:ascii="Arial Narrow" w:hAnsi="Arial Narrow" w:cs="Arial Narrow"/>
          <w:bCs/>
        </w:rPr>
        <w:t>he Provinc</w:t>
      </w:r>
      <w:r>
        <w:rPr>
          <w:rFonts w:ascii="Arial Narrow" w:hAnsi="Arial Narrow" w:cs="Arial Narrow"/>
          <w:bCs/>
        </w:rPr>
        <w:t>ial Government</w:t>
      </w:r>
      <w:r w:rsidRPr="00E27BC7">
        <w:rPr>
          <w:rFonts w:ascii="Arial Narrow" w:hAnsi="Arial Narrow" w:cs="Arial Narrow"/>
          <w:bCs/>
        </w:rPr>
        <w:t xml:space="preserve"> has also just announced cost containment</w:t>
      </w:r>
      <w:r>
        <w:rPr>
          <w:rFonts w:ascii="Arial Narrow" w:hAnsi="Arial Narrow" w:cs="Arial Narrow"/>
          <w:bCs/>
        </w:rPr>
        <w:t xml:space="preserve"> measures</w:t>
      </w:r>
      <w:r w:rsidRPr="00E27BC7">
        <w:rPr>
          <w:rFonts w:ascii="Arial Narrow" w:hAnsi="Arial Narrow" w:cs="Arial Narrow"/>
          <w:bCs/>
        </w:rPr>
        <w:t xml:space="preserve"> leading to</w:t>
      </w:r>
      <w:r>
        <w:rPr>
          <w:rFonts w:ascii="Arial Narrow" w:hAnsi="Arial Narrow" w:cs="Arial Narrow"/>
          <w:bCs/>
        </w:rPr>
        <w:t xml:space="preserve"> the</w:t>
      </w:r>
      <w:r w:rsidRPr="00E27BC7">
        <w:rPr>
          <w:rFonts w:ascii="Arial Narrow" w:hAnsi="Arial Narrow" w:cs="Arial Narrow"/>
          <w:bCs/>
        </w:rPr>
        <w:t xml:space="preserve"> reduction in budgets which has had a negative impact of project implementation. Inadvertly,</w:t>
      </w:r>
      <w:r>
        <w:rPr>
          <w:rFonts w:ascii="Arial Narrow" w:hAnsi="Arial Narrow" w:cs="Arial Narrow"/>
          <w:bCs/>
        </w:rPr>
        <w:t xml:space="preserve"> this means that</w:t>
      </w:r>
      <w:r w:rsidRPr="00E27BC7">
        <w:rPr>
          <w:rFonts w:ascii="Arial Narrow" w:hAnsi="Arial Narrow" w:cs="Arial Narrow"/>
          <w:bCs/>
        </w:rPr>
        <w:t xml:space="preserve"> projects will have to be downsized in line with the cost containment instructions.</w:t>
      </w:r>
      <w:r>
        <w:rPr>
          <w:rFonts w:ascii="Arial Narrow" w:hAnsi="Arial Narrow" w:cs="Arial Narrow"/>
          <w:bCs/>
        </w:rPr>
        <w:t xml:space="preserve"> </w:t>
      </w:r>
      <w:r w:rsidRPr="00482EB8">
        <w:rPr>
          <w:rFonts w:ascii="Arial Narrow" w:hAnsi="Arial Narrow" w:cs="Arial Narrow"/>
          <w:b/>
        </w:rPr>
        <w:t>The Committee observe</w:t>
      </w:r>
      <w:r w:rsidR="00154410">
        <w:rPr>
          <w:rFonts w:ascii="Arial Narrow" w:hAnsi="Arial Narrow" w:cs="Arial Narrow"/>
          <w:b/>
        </w:rPr>
        <w:t>d</w:t>
      </w:r>
      <w:r w:rsidRPr="00482EB8">
        <w:rPr>
          <w:rFonts w:ascii="Arial Narrow" w:hAnsi="Arial Narrow" w:cs="Arial Narrow"/>
          <w:b/>
        </w:rPr>
        <w:t xml:space="preserve"> the rational not to attain the required number of </w:t>
      </w:r>
      <w:proofErr w:type="gramStart"/>
      <w:r w:rsidRPr="00482EB8">
        <w:rPr>
          <w:rFonts w:ascii="Arial Narrow" w:hAnsi="Arial Narrow" w:cs="Arial Narrow"/>
          <w:b/>
        </w:rPr>
        <w:t>jobs</w:t>
      </w:r>
      <w:proofErr w:type="gramEnd"/>
      <w:r w:rsidRPr="00482EB8">
        <w:rPr>
          <w:rFonts w:ascii="Arial Narrow" w:hAnsi="Arial Narrow" w:cs="Arial Narrow"/>
          <w:b/>
        </w:rPr>
        <w:t xml:space="preserve"> however, does not support the given rational, </w:t>
      </w:r>
      <w:r w:rsidR="00482EB8" w:rsidRPr="00482EB8">
        <w:rPr>
          <w:rFonts w:ascii="Arial Narrow" w:hAnsi="Arial Narrow" w:cs="Arial Narrow"/>
          <w:b/>
        </w:rPr>
        <w:t xml:space="preserve">the Committee is of the view that the Department should make greater strides in ensuring that the programmes within the Department tasked with creating employment should be realistic in their planning and also take account of the budget allocation accorded to them. In addition to this, the Department should also be able to explore other partnerships outside of the already existing ones with the private sector </w:t>
      </w:r>
      <w:proofErr w:type="gramStart"/>
      <w:r w:rsidR="00482EB8" w:rsidRPr="00482EB8">
        <w:rPr>
          <w:rFonts w:ascii="Arial Narrow" w:hAnsi="Arial Narrow" w:cs="Arial Narrow"/>
          <w:b/>
        </w:rPr>
        <w:t>in order to</w:t>
      </w:r>
      <w:proofErr w:type="gramEnd"/>
      <w:r w:rsidR="00482EB8" w:rsidRPr="00482EB8">
        <w:rPr>
          <w:rFonts w:ascii="Arial Narrow" w:hAnsi="Arial Narrow" w:cs="Arial Narrow"/>
          <w:b/>
        </w:rPr>
        <w:t xml:space="preserve"> get more buy</w:t>
      </w:r>
      <w:r w:rsidR="00154410">
        <w:rPr>
          <w:rFonts w:ascii="Arial Narrow" w:hAnsi="Arial Narrow" w:cs="Arial Narrow"/>
          <w:b/>
        </w:rPr>
        <w:t>-</w:t>
      </w:r>
      <w:r w:rsidR="00482EB8" w:rsidRPr="00482EB8">
        <w:rPr>
          <w:rFonts w:ascii="Arial Narrow" w:hAnsi="Arial Narrow" w:cs="Arial Narrow"/>
          <w:b/>
        </w:rPr>
        <w:t xml:space="preserve">in and increase employment opportunities. </w:t>
      </w:r>
    </w:p>
    <w:p w14:paraId="2B00CCD1" w14:textId="77777777" w:rsidR="00891BCE" w:rsidRDefault="00891BCE" w:rsidP="00C93456">
      <w:pPr>
        <w:spacing w:line="276" w:lineRule="auto"/>
        <w:rPr>
          <w:rFonts w:ascii="Arial Narrow" w:hAnsi="Arial Narrow" w:cs="Arial Narrow"/>
          <w:b/>
          <w:bCs/>
          <w:u w:val="single"/>
        </w:rPr>
      </w:pPr>
    </w:p>
    <w:p w14:paraId="38B170F2" w14:textId="77777777" w:rsidR="00844C62" w:rsidRDefault="00844C62" w:rsidP="00C93456">
      <w:pPr>
        <w:spacing w:line="276" w:lineRule="auto"/>
        <w:rPr>
          <w:rFonts w:ascii="Arial Narrow" w:hAnsi="Arial Narrow" w:cs="Arial Narrow"/>
          <w:b/>
          <w:bCs/>
          <w:u w:val="single"/>
        </w:rPr>
      </w:pPr>
      <w:r w:rsidRPr="00844C62">
        <w:rPr>
          <w:rFonts w:ascii="Arial Narrow" w:hAnsi="Arial Narrow" w:cs="Arial Narrow"/>
          <w:b/>
          <w:bCs/>
          <w:u w:val="single"/>
        </w:rPr>
        <w:t xml:space="preserve">Agency Oversight </w:t>
      </w:r>
    </w:p>
    <w:p w14:paraId="0A46C06B" w14:textId="77777777" w:rsidR="00844C62" w:rsidRDefault="00844C62" w:rsidP="00C93456">
      <w:pPr>
        <w:spacing w:line="276" w:lineRule="auto"/>
        <w:rPr>
          <w:rFonts w:ascii="Arial Narrow" w:hAnsi="Arial Narrow" w:cs="Arial Narrow"/>
          <w:b/>
          <w:bCs/>
          <w:u w:val="single"/>
        </w:rPr>
      </w:pPr>
    </w:p>
    <w:p w14:paraId="14F77132" w14:textId="7C8135AD" w:rsidR="00766FB2" w:rsidRDefault="00766FB2" w:rsidP="00C93456">
      <w:pPr>
        <w:spacing w:line="276" w:lineRule="auto"/>
        <w:rPr>
          <w:rFonts w:ascii="Arial Narrow" w:hAnsi="Arial Narrow" w:cs="Arial Narrow"/>
          <w:bCs/>
        </w:rPr>
      </w:pPr>
      <w:bookmarkStart w:id="33" w:name="_Hlk530505719"/>
      <w:r>
        <w:rPr>
          <w:rFonts w:ascii="Arial Narrow" w:hAnsi="Arial Narrow" w:cs="Arial Narrow"/>
          <w:bCs/>
        </w:rPr>
        <w:t xml:space="preserve">In the year under review, </w:t>
      </w:r>
      <w:r w:rsidRPr="00766FB2">
        <w:rPr>
          <w:rFonts w:ascii="Arial Narrow" w:hAnsi="Arial Narrow" w:cs="Arial Narrow"/>
          <w:bCs/>
        </w:rPr>
        <w:t>the</w:t>
      </w:r>
      <w:r>
        <w:rPr>
          <w:rFonts w:ascii="Arial Narrow" w:hAnsi="Arial Narrow" w:cs="Arial Narrow"/>
          <w:bCs/>
        </w:rPr>
        <w:t xml:space="preserve"> Committee noted that the</w:t>
      </w:r>
      <w:r w:rsidRPr="00766FB2">
        <w:rPr>
          <w:rFonts w:ascii="Arial Narrow" w:hAnsi="Arial Narrow" w:cs="Arial Narrow"/>
          <w:bCs/>
        </w:rPr>
        <w:t xml:space="preserve"> Gauteng Tourism Authority (GTA) achieved 23 of 26 planned targets </w:t>
      </w:r>
      <w:r>
        <w:rPr>
          <w:rFonts w:ascii="Arial Narrow" w:hAnsi="Arial Narrow" w:cs="Arial Narrow"/>
          <w:bCs/>
        </w:rPr>
        <w:t xml:space="preserve">translating to </w:t>
      </w:r>
      <w:r w:rsidRPr="00766FB2">
        <w:rPr>
          <w:rFonts w:ascii="Arial Narrow" w:hAnsi="Arial Narrow" w:cs="Arial Narrow"/>
          <w:bCs/>
        </w:rPr>
        <w:t>88,46%. The Cradle of Humankind World Heritage Site (COHWHS) &amp; Dinokeng attained 11 of 13 targets</w:t>
      </w:r>
      <w:r>
        <w:rPr>
          <w:rFonts w:ascii="Arial Narrow" w:hAnsi="Arial Narrow" w:cs="Arial Narrow"/>
          <w:bCs/>
        </w:rPr>
        <w:t xml:space="preserve"> constituting to </w:t>
      </w:r>
      <w:r w:rsidRPr="00766FB2">
        <w:rPr>
          <w:rFonts w:ascii="Arial Narrow" w:hAnsi="Arial Narrow" w:cs="Arial Narrow"/>
          <w:bCs/>
        </w:rPr>
        <w:t xml:space="preserve">84,61%. </w:t>
      </w:r>
      <w:r>
        <w:rPr>
          <w:rFonts w:ascii="Arial Narrow" w:hAnsi="Arial Narrow" w:cs="Arial Narrow"/>
          <w:bCs/>
        </w:rPr>
        <w:t>T</w:t>
      </w:r>
      <w:r w:rsidRPr="00766FB2">
        <w:rPr>
          <w:rFonts w:ascii="Arial Narrow" w:hAnsi="Arial Narrow" w:cs="Arial Narrow"/>
          <w:bCs/>
        </w:rPr>
        <w:t xml:space="preserve">he Gauteng Growth and Development Agency </w:t>
      </w:r>
      <w:r>
        <w:rPr>
          <w:rFonts w:ascii="Arial Narrow" w:hAnsi="Arial Narrow" w:cs="Arial Narrow"/>
          <w:bCs/>
        </w:rPr>
        <w:t>attained</w:t>
      </w:r>
      <w:r w:rsidRPr="00766FB2">
        <w:rPr>
          <w:rFonts w:ascii="Arial Narrow" w:hAnsi="Arial Narrow" w:cs="Arial Narrow"/>
          <w:bCs/>
        </w:rPr>
        <w:t xml:space="preserve"> 61 of its 75</w:t>
      </w:r>
      <w:r>
        <w:rPr>
          <w:rFonts w:ascii="Arial Narrow" w:hAnsi="Arial Narrow" w:cs="Arial Narrow"/>
          <w:bCs/>
        </w:rPr>
        <w:t xml:space="preserve"> planned</w:t>
      </w:r>
      <w:r w:rsidRPr="00766FB2">
        <w:rPr>
          <w:rFonts w:ascii="Arial Narrow" w:hAnsi="Arial Narrow" w:cs="Arial Narrow"/>
          <w:bCs/>
        </w:rPr>
        <w:t xml:space="preserve"> targets</w:t>
      </w:r>
      <w:r>
        <w:rPr>
          <w:rFonts w:ascii="Arial Narrow" w:hAnsi="Arial Narrow" w:cs="Arial Narrow"/>
          <w:bCs/>
        </w:rPr>
        <w:t xml:space="preserve"> resulting into </w:t>
      </w:r>
      <w:r w:rsidRPr="00766FB2">
        <w:rPr>
          <w:rFonts w:ascii="Arial Narrow" w:hAnsi="Arial Narrow" w:cs="Arial Narrow"/>
          <w:bCs/>
        </w:rPr>
        <w:t>81,33%</w:t>
      </w:r>
      <w:r>
        <w:rPr>
          <w:rFonts w:ascii="Arial Narrow" w:hAnsi="Arial Narrow" w:cs="Arial Narrow"/>
          <w:bCs/>
        </w:rPr>
        <w:t xml:space="preserve"> achievement. T</w:t>
      </w:r>
      <w:r w:rsidRPr="00766FB2">
        <w:rPr>
          <w:rFonts w:ascii="Arial Narrow" w:hAnsi="Arial Narrow" w:cs="Arial Narrow"/>
          <w:bCs/>
        </w:rPr>
        <w:t>he Gauteng Enterprise Propeller attained 17 of its 20 targets</w:t>
      </w:r>
      <w:r>
        <w:rPr>
          <w:rFonts w:ascii="Arial Narrow" w:hAnsi="Arial Narrow" w:cs="Arial Narrow"/>
          <w:bCs/>
        </w:rPr>
        <w:t xml:space="preserve"> which resulted into </w:t>
      </w:r>
      <w:r w:rsidRPr="00766FB2">
        <w:rPr>
          <w:rFonts w:ascii="Arial Narrow" w:hAnsi="Arial Narrow" w:cs="Arial Narrow"/>
          <w:bCs/>
        </w:rPr>
        <w:t>85%</w:t>
      </w:r>
      <w:r>
        <w:rPr>
          <w:rFonts w:ascii="Arial Narrow" w:hAnsi="Arial Narrow" w:cs="Arial Narrow"/>
          <w:bCs/>
        </w:rPr>
        <w:t xml:space="preserve"> achievement. </w:t>
      </w:r>
      <w:r w:rsidRPr="00766FB2">
        <w:rPr>
          <w:rFonts w:ascii="Arial Narrow" w:hAnsi="Arial Narrow" w:cs="Arial Narrow"/>
          <w:bCs/>
        </w:rPr>
        <w:t>Pertaining to the Gauteng Gambling Board, it achieved 18 of its 23 targets</w:t>
      </w:r>
      <w:r>
        <w:rPr>
          <w:rFonts w:ascii="Arial Narrow" w:hAnsi="Arial Narrow" w:cs="Arial Narrow"/>
          <w:bCs/>
        </w:rPr>
        <w:t xml:space="preserve"> constituting </w:t>
      </w:r>
      <w:r w:rsidRPr="00766FB2">
        <w:rPr>
          <w:rFonts w:ascii="Arial Narrow" w:hAnsi="Arial Narrow" w:cs="Arial Narrow"/>
          <w:bCs/>
        </w:rPr>
        <w:t>78,26%. Then the Tshwane Special Economic Zone (TASEZ) realised 7 of its 10 targets with 76.04%</w:t>
      </w:r>
      <w:r w:rsidR="00666021">
        <w:rPr>
          <w:rFonts w:ascii="Arial Narrow" w:hAnsi="Arial Narrow" w:cs="Arial Narrow"/>
          <w:bCs/>
        </w:rPr>
        <w:t xml:space="preserve"> achievement. </w:t>
      </w:r>
    </w:p>
    <w:p w14:paraId="22102350" w14:textId="77777777" w:rsidR="005E3FFA" w:rsidRDefault="005E3FFA" w:rsidP="00C93456">
      <w:pPr>
        <w:spacing w:line="276" w:lineRule="auto"/>
        <w:rPr>
          <w:rFonts w:ascii="Arial Narrow" w:hAnsi="Arial Narrow" w:cs="Arial Narrow"/>
          <w:bCs/>
        </w:rPr>
      </w:pPr>
    </w:p>
    <w:bookmarkEnd w:id="33"/>
    <w:p w14:paraId="29AD84E0" w14:textId="20E38876" w:rsidR="00AE2BB8" w:rsidRDefault="00B30F80" w:rsidP="00C93456">
      <w:pPr>
        <w:spacing w:line="276" w:lineRule="auto"/>
        <w:rPr>
          <w:rFonts w:ascii="Arial Narrow" w:hAnsi="Arial Narrow" w:cs="Arial Narrow"/>
          <w:bCs/>
        </w:rPr>
      </w:pPr>
      <w:r>
        <w:rPr>
          <w:rFonts w:ascii="Arial Narrow" w:hAnsi="Arial Narrow" w:cs="Arial Narrow"/>
          <w:bCs/>
        </w:rPr>
        <w:t xml:space="preserve">Departmental Entities outlined as follows: </w:t>
      </w:r>
    </w:p>
    <w:p w14:paraId="5DB54634" w14:textId="42C5A360" w:rsidR="00844C62" w:rsidRDefault="00844C62" w:rsidP="00C93456">
      <w:pPr>
        <w:spacing w:line="276" w:lineRule="auto"/>
        <w:rPr>
          <w:rFonts w:ascii="Arial Narrow" w:hAnsi="Arial Narrow" w:cs="Arial Narrow"/>
          <w:b/>
          <w:bCs/>
        </w:rPr>
      </w:pPr>
    </w:p>
    <w:p w14:paraId="0E532012" w14:textId="77777777" w:rsidR="00E007F9" w:rsidRPr="00E007F9" w:rsidRDefault="00E007F9" w:rsidP="00E007F9">
      <w:pPr>
        <w:spacing w:line="276" w:lineRule="auto"/>
        <w:rPr>
          <w:rFonts w:ascii="Arial Narrow" w:hAnsi="Arial Narrow" w:cs="Arial Narrow"/>
          <w:b/>
          <w:bCs/>
        </w:rPr>
      </w:pPr>
      <w:r w:rsidRPr="00E007F9">
        <w:rPr>
          <w:rFonts w:ascii="Arial Narrow" w:hAnsi="Arial Narrow" w:cs="Arial Narrow"/>
          <w:b/>
          <w:bCs/>
        </w:rPr>
        <w:t>Gauteng Growth and Development Agency (GGDA)</w:t>
      </w:r>
    </w:p>
    <w:p w14:paraId="62DF8C43" w14:textId="758AEDE8" w:rsidR="00A31ECA" w:rsidRDefault="00A31ECA" w:rsidP="00D3087A">
      <w:pPr>
        <w:spacing w:line="276" w:lineRule="auto"/>
        <w:rPr>
          <w:rFonts w:ascii="Arial Narrow" w:hAnsi="Arial Narrow" w:cs="Arial Narrow"/>
          <w:bCs/>
        </w:rPr>
      </w:pPr>
    </w:p>
    <w:p w14:paraId="6DD5C13C" w14:textId="7F23297D" w:rsidR="004611CB" w:rsidRDefault="004611CB" w:rsidP="00D3087A">
      <w:pPr>
        <w:spacing w:line="276" w:lineRule="auto"/>
        <w:rPr>
          <w:rFonts w:ascii="Arial Narrow" w:hAnsi="Arial Narrow" w:cs="Arial Narrow"/>
          <w:bCs/>
        </w:rPr>
      </w:pPr>
      <w:r>
        <w:rPr>
          <w:rFonts w:ascii="Arial Narrow" w:hAnsi="Arial Narrow" w:cs="Arial Narrow"/>
          <w:bCs/>
        </w:rPr>
        <w:t xml:space="preserve">In the year under review, the GGDA changed its reporting structure, wherein it reported on 5 sub-programmes instead of 6. The sub-programmes reported are as follows: </w:t>
      </w:r>
      <w:r w:rsidRPr="004611CB">
        <w:rPr>
          <w:rFonts w:ascii="Arial Narrow" w:hAnsi="Arial Narrow" w:cs="Arial Narrow"/>
          <w:bCs/>
        </w:rPr>
        <w:t>GGDA Holdings, Automotive Industry Development Centre (AIDC), The Innovation Hub (TIH), Gauteng Industrial Development Zone (GIDZ) and the Constitutional Hill (ConHill)</w:t>
      </w:r>
      <w:r>
        <w:rPr>
          <w:rFonts w:ascii="Arial Narrow" w:hAnsi="Arial Narrow" w:cs="Arial Narrow"/>
          <w:bCs/>
        </w:rPr>
        <w:t xml:space="preserve"> as the </w:t>
      </w:r>
      <w:r w:rsidRPr="004611CB">
        <w:rPr>
          <w:rFonts w:ascii="Arial Narrow" w:hAnsi="Arial Narrow" w:cs="Arial Narrow"/>
          <w:bCs/>
        </w:rPr>
        <w:t>Greater Newtown Development Company</w:t>
      </w:r>
      <w:r>
        <w:rPr>
          <w:rFonts w:ascii="Arial Narrow" w:hAnsi="Arial Narrow" w:cs="Arial Narrow"/>
          <w:bCs/>
        </w:rPr>
        <w:t xml:space="preserve"> has been removed from the subprogrammes that have been reported on. </w:t>
      </w:r>
    </w:p>
    <w:p w14:paraId="72083183" w14:textId="3F605E75" w:rsidR="00CB2457" w:rsidRDefault="00CB2457" w:rsidP="00D3087A">
      <w:pPr>
        <w:spacing w:line="276" w:lineRule="auto"/>
        <w:rPr>
          <w:rFonts w:ascii="Arial Narrow" w:hAnsi="Arial Narrow" w:cs="Arial Narrow"/>
          <w:bCs/>
        </w:rPr>
      </w:pPr>
    </w:p>
    <w:p w14:paraId="36F93655" w14:textId="342D7C87" w:rsidR="00666021" w:rsidRDefault="00C95198" w:rsidP="00D3087A">
      <w:pPr>
        <w:spacing w:line="276" w:lineRule="auto"/>
        <w:rPr>
          <w:rFonts w:ascii="Arial Narrow" w:hAnsi="Arial Narrow" w:cs="Arial Narrow"/>
          <w:bCs/>
        </w:rPr>
      </w:pPr>
      <w:r>
        <w:rPr>
          <w:rFonts w:ascii="Arial Narrow" w:hAnsi="Arial Narrow" w:cs="Arial Narrow"/>
          <w:bCs/>
        </w:rPr>
        <w:t xml:space="preserve">In the year under review, the entity attained </w:t>
      </w:r>
      <w:r w:rsidR="00666021">
        <w:rPr>
          <w:rFonts w:ascii="Arial Narrow" w:hAnsi="Arial Narrow" w:cs="Arial Narrow"/>
          <w:bCs/>
        </w:rPr>
        <w:t>61</w:t>
      </w:r>
      <w:r w:rsidRPr="00C95198">
        <w:rPr>
          <w:rFonts w:ascii="Arial Narrow" w:hAnsi="Arial Narrow" w:cs="Arial Narrow"/>
          <w:bCs/>
        </w:rPr>
        <w:t xml:space="preserve"> out of 7</w:t>
      </w:r>
      <w:r w:rsidR="00666021">
        <w:rPr>
          <w:rFonts w:ascii="Arial Narrow" w:hAnsi="Arial Narrow" w:cs="Arial Narrow"/>
          <w:bCs/>
        </w:rPr>
        <w:t>5</w:t>
      </w:r>
      <w:r>
        <w:rPr>
          <w:rFonts w:ascii="Arial Narrow" w:hAnsi="Arial Narrow" w:cs="Arial Narrow"/>
          <w:bCs/>
        </w:rPr>
        <w:t xml:space="preserve"> planned</w:t>
      </w:r>
      <w:r w:rsidRPr="00C95198">
        <w:rPr>
          <w:rFonts w:ascii="Arial Narrow" w:hAnsi="Arial Narrow" w:cs="Arial Narrow"/>
          <w:bCs/>
        </w:rPr>
        <w:t xml:space="preserve"> target</w:t>
      </w:r>
      <w:r>
        <w:rPr>
          <w:rFonts w:ascii="Arial Narrow" w:hAnsi="Arial Narrow" w:cs="Arial Narrow"/>
          <w:bCs/>
        </w:rPr>
        <w:t xml:space="preserve">s translating in </w:t>
      </w:r>
      <w:r w:rsidR="00666021">
        <w:rPr>
          <w:rFonts w:ascii="Arial Narrow" w:hAnsi="Arial Narrow" w:cs="Arial Narrow"/>
          <w:bCs/>
        </w:rPr>
        <w:t>81</w:t>
      </w:r>
      <w:r>
        <w:rPr>
          <w:rFonts w:ascii="Arial Narrow" w:hAnsi="Arial Narrow" w:cs="Arial Narrow"/>
          <w:bCs/>
        </w:rPr>
        <w:t>% attainment of targets.</w:t>
      </w:r>
      <w:r w:rsidR="00666021">
        <w:rPr>
          <w:rFonts w:ascii="Arial Narrow" w:hAnsi="Arial Narrow" w:cs="Arial Narrow"/>
          <w:bCs/>
        </w:rPr>
        <w:t xml:space="preserve"> The </w:t>
      </w:r>
      <w:r w:rsidR="00666021" w:rsidRPr="00666021">
        <w:rPr>
          <w:rFonts w:ascii="Arial Narrow" w:hAnsi="Arial Narrow" w:cs="Arial Narrow"/>
          <w:bCs/>
        </w:rPr>
        <w:t>faci</w:t>
      </w:r>
      <w:r w:rsidR="00666021">
        <w:rPr>
          <w:rFonts w:ascii="Arial Narrow" w:hAnsi="Arial Narrow" w:cs="Arial Narrow"/>
          <w:bCs/>
        </w:rPr>
        <w:t>l</w:t>
      </w:r>
      <w:r w:rsidR="00666021" w:rsidRPr="00666021">
        <w:rPr>
          <w:rFonts w:ascii="Arial Narrow" w:hAnsi="Arial Narrow" w:cs="Arial Narrow"/>
          <w:bCs/>
        </w:rPr>
        <w:t xml:space="preserve">itation of trade and investment as one of the core functions of the GGDA Holdings falls within this programme. </w:t>
      </w:r>
      <w:r w:rsidR="00DC0A8F">
        <w:rPr>
          <w:rFonts w:ascii="Arial Narrow" w:hAnsi="Arial Narrow" w:cs="Arial Narrow"/>
          <w:bCs/>
        </w:rPr>
        <w:t>In the year under review,</w:t>
      </w:r>
      <w:r w:rsidR="00666021" w:rsidRPr="00666021">
        <w:rPr>
          <w:rFonts w:ascii="Arial Narrow" w:hAnsi="Arial Narrow" w:cs="Arial Narrow"/>
          <w:bCs/>
        </w:rPr>
        <w:t xml:space="preserve"> a total of 21 investments projects consisting of 12 F</w:t>
      </w:r>
      <w:r w:rsidR="00DC0A8F">
        <w:rPr>
          <w:rFonts w:ascii="Arial Narrow" w:hAnsi="Arial Narrow" w:cs="Arial Narrow"/>
          <w:bCs/>
        </w:rPr>
        <w:t xml:space="preserve">oreign </w:t>
      </w:r>
      <w:r w:rsidR="00666021" w:rsidRPr="00666021">
        <w:rPr>
          <w:rFonts w:ascii="Arial Narrow" w:hAnsi="Arial Narrow" w:cs="Arial Narrow"/>
          <w:bCs/>
        </w:rPr>
        <w:t>D</w:t>
      </w:r>
      <w:r w:rsidR="00DC0A8F">
        <w:rPr>
          <w:rFonts w:ascii="Arial Narrow" w:hAnsi="Arial Narrow" w:cs="Arial Narrow"/>
          <w:bCs/>
        </w:rPr>
        <w:t xml:space="preserve">irect </w:t>
      </w:r>
      <w:r w:rsidR="00666021" w:rsidRPr="00666021">
        <w:rPr>
          <w:rFonts w:ascii="Arial Narrow" w:hAnsi="Arial Narrow" w:cs="Arial Narrow"/>
          <w:bCs/>
        </w:rPr>
        <w:t>I</w:t>
      </w:r>
      <w:r w:rsidR="00DC0A8F">
        <w:rPr>
          <w:rFonts w:ascii="Arial Narrow" w:hAnsi="Arial Narrow" w:cs="Arial Narrow"/>
          <w:bCs/>
        </w:rPr>
        <w:t>nvestment</w:t>
      </w:r>
      <w:r w:rsidR="00666021" w:rsidRPr="00666021">
        <w:rPr>
          <w:rFonts w:ascii="Arial Narrow" w:hAnsi="Arial Narrow" w:cs="Arial Narrow"/>
          <w:bCs/>
        </w:rPr>
        <w:t>s</w:t>
      </w:r>
      <w:r w:rsidR="00DC0A8F">
        <w:rPr>
          <w:rFonts w:ascii="Arial Narrow" w:hAnsi="Arial Narrow" w:cs="Arial Narrow"/>
          <w:bCs/>
        </w:rPr>
        <w:t xml:space="preserve"> (FDI)</w:t>
      </w:r>
      <w:r w:rsidR="00666021" w:rsidRPr="00666021">
        <w:rPr>
          <w:rFonts w:ascii="Arial Narrow" w:hAnsi="Arial Narrow" w:cs="Arial Narrow"/>
          <w:bCs/>
        </w:rPr>
        <w:t xml:space="preserve"> and 9</w:t>
      </w:r>
      <w:r w:rsidR="00DC0A8F">
        <w:rPr>
          <w:rFonts w:ascii="Arial Narrow" w:hAnsi="Arial Narrow" w:cs="Arial Narrow"/>
          <w:bCs/>
        </w:rPr>
        <w:t xml:space="preserve"> Domestic Direct Investments</w:t>
      </w:r>
      <w:r w:rsidR="00666021" w:rsidRPr="00666021">
        <w:rPr>
          <w:rFonts w:ascii="Arial Narrow" w:hAnsi="Arial Narrow" w:cs="Arial Narrow"/>
          <w:bCs/>
        </w:rPr>
        <w:t xml:space="preserve"> </w:t>
      </w:r>
      <w:r w:rsidR="00DC0A8F">
        <w:rPr>
          <w:rFonts w:ascii="Arial Narrow" w:hAnsi="Arial Narrow" w:cs="Arial Narrow"/>
          <w:bCs/>
        </w:rPr>
        <w:t>(</w:t>
      </w:r>
      <w:r w:rsidR="00666021" w:rsidRPr="00666021">
        <w:rPr>
          <w:rFonts w:ascii="Arial Narrow" w:hAnsi="Arial Narrow" w:cs="Arial Narrow"/>
          <w:bCs/>
        </w:rPr>
        <w:t>DDIs</w:t>
      </w:r>
      <w:r w:rsidR="00DC0A8F">
        <w:rPr>
          <w:rFonts w:ascii="Arial Narrow" w:hAnsi="Arial Narrow" w:cs="Arial Narrow"/>
          <w:bCs/>
        </w:rPr>
        <w:t>)</w:t>
      </w:r>
      <w:r w:rsidR="00666021" w:rsidRPr="00666021">
        <w:rPr>
          <w:rFonts w:ascii="Arial Narrow" w:hAnsi="Arial Narrow" w:cs="Arial Narrow"/>
          <w:bCs/>
        </w:rPr>
        <w:t xml:space="preserve"> were initiated. Notably, the focus is more on the planned rand value of FDIs and DDIs facilitated instead of the total number of investment projects. The planned rand value of FDIs facilitated amounted to R25</w:t>
      </w:r>
      <w:r w:rsidR="00DC0A8F">
        <w:rPr>
          <w:rFonts w:ascii="Arial Narrow" w:hAnsi="Arial Narrow" w:cs="Arial Narrow"/>
          <w:bCs/>
        </w:rPr>
        <w:t> </w:t>
      </w:r>
      <w:r w:rsidR="00666021" w:rsidRPr="00666021">
        <w:rPr>
          <w:rFonts w:ascii="Arial Narrow" w:hAnsi="Arial Narrow" w:cs="Arial Narrow"/>
          <w:bCs/>
        </w:rPr>
        <w:t>4</w:t>
      </w:r>
      <w:r w:rsidR="00DC0A8F">
        <w:rPr>
          <w:rFonts w:ascii="Arial Narrow" w:hAnsi="Arial Narrow" w:cs="Arial Narrow"/>
          <w:bCs/>
        </w:rPr>
        <w:t>00 000 000 (R25.4b)</w:t>
      </w:r>
      <w:r w:rsidR="00666021" w:rsidRPr="00666021">
        <w:rPr>
          <w:rFonts w:ascii="Arial Narrow" w:hAnsi="Arial Narrow" w:cs="Arial Narrow"/>
          <w:bCs/>
        </w:rPr>
        <w:t xml:space="preserve"> billion against the targeted R12</w:t>
      </w:r>
      <w:r w:rsidR="00DC0A8F">
        <w:rPr>
          <w:rFonts w:ascii="Arial Narrow" w:hAnsi="Arial Narrow" w:cs="Arial Narrow"/>
          <w:bCs/>
        </w:rPr>
        <w:t xml:space="preserve"> 000 000 000 (R12b). </w:t>
      </w:r>
    </w:p>
    <w:p w14:paraId="30B72337" w14:textId="77777777" w:rsidR="00666021" w:rsidRDefault="00666021" w:rsidP="00D3087A">
      <w:pPr>
        <w:spacing w:line="276" w:lineRule="auto"/>
        <w:rPr>
          <w:rFonts w:ascii="Arial Narrow" w:hAnsi="Arial Narrow" w:cs="Arial Narrow"/>
          <w:bCs/>
        </w:rPr>
      </w:pPr>
    </w:p>
    <w:p w14:paraId="6CF1DE98" w14:textId="2D0803E2" w:rsidR="00630B0C" w:rsidRDefault="00750FB0" w:rsidP="00D3087A">
      <w:pPr>
        <w:spacing w:line="276" w:lineRule="auto"/>
        <w:rPr>
          <w:rFonts w:ascii="Arial Narrow" w:hAnsi="Arial Narrow" w:cs="Arial Narrow"/>
          <w:bCs/>
        </w:rPr>
      </w:pPr>
      <w:bookmarkStart w:id="34" w:name="_Hlk120228508"/>
      <w:r>
        <w:rPr>
          <w:rFonts w:ascii="Arial Narrow" w:hAnsi="Arial Narrow" w:cs="Arial Narrow"/>
          <w:bCs/>
        </w:rPr>
        <w:t>The Committee continues to urge the D</w:t>
      </w:r>
      <w:r w:rsidRPr="00750FB0">
        <w:rPr>
          <w:rFonts w:ascii="Arial Narrow" w:hAnsi="Arial Narrow" w:cs="Arial Narrow"/>
          <w:bCs/>
        </w:rPr>
        <w:t>epartment</w:t>
      </w:r>
      <w:r>
        <w:rPr>
          <w:rFonts w:ascii="Arial Narrow" w:hAnsi="Arial Narrow" w:cs="Arial Narrow"/>
          <w:bCs/>
        </w:rPr>
        <w:t xml:space="preserve"> to uphold its commitments and </w:t>
      </w:r>
      <w:r w:rsidRPr="00750FB0">
        <w:rPr>
          <w:rFonts w:ascii="Arial Narrow" w:hAnsi="Arial Narrow" w:cs="Arial Narrow"/>
          <w:bCs/>
        </w:rPr>
        <w:t>finalise</w:t>
      </w:r>
      <w:r>
        <w:rPr>
          <w:rFonts w:ascii="Arial Narrow" w:hAnsi="Arial Narrow" w:cs="Arial Narrow"/>
          <w:bCs/>
        </w:rPr>
        <w:t xml:space="preserve"> all</w:t>
      </w:r>
      <w:r w:rsidRPr="00750FB0">
        <w:rPr>
          <w:rFonts w:ascii="Arial Narrow" w:hAnsi="Arial Narrow" w:cs="Arial Narrow"/>
          <w:bCs/>
        </w:rPr>
        <w:t xml:space="preserve"> infrastructure projects such as the Constitutional Hill Visitors Centre and </w:t>
      </w:r>
      <w:r w:rsidR="008A61FE" w:rsidRPr="00750FB0">
        <w:rPr>
          <w:rFonts w:ascii="Arial Narrow" w:hAnsi="Arial Narrow" w:cs="Arial Narrow"/>
          <w:bCs/>
        </w:rPr>
        <w:t>Bio-</w:t>
      </w:r>
      <w:r w:rsidR="008A61FE">
        <w:rPr>
          <w:rFonts w:ascii="Arial Narrow" w:hAnsi="Arial Narrow" w:cs="Arial Narrow"/>
          <w:bCs/>
        </w:rPr>
        <w:t>S</w:t>
      </w:r>
      <w:r w:rsidR="008A61FE" w:rsidRPr="00750FB0">
        <w:rPr>
          <w:rFonts w:ascii="Arial Narrow" w:hAnsi="Arial Narrow" w:cs="Arial Narrow"/>
          <w:bCs/>
        </w:rPr>
        <w:t>cience Park</w:t>
      </w:r>
      <w:r w:rsidRPr="00750FB0">
        <w:rPr>
          <w:rFonts w:ascii="Arial Narrow" w:hAnsi="Arial Narrow" w:cs="Arial Narrow"/>
          <w:bCs/>
        </w:rPr>
        <w:t xml:space="preserve"> phase 3 project by</w:t>
      </w:r>
      <w:r>
        <w:rPr>
          <w:rFonts w:ascii="Arial Narrow" w:hAnsi="Arial Narrow" w:cs="Arial Narrow"/>
          <w:bCs/>
        </w:rPr>
        <w:t xml:space="preserve"> the end of</w:t>
      </w:r>
      <w:r w:rsidRPr="00750FB0">
        <w:rPr>
          <w:rFonts w:ascii="Arial Narrow" w:hAnsi="Arial Narrow" w:cs="Arial Narrow"/>
          <w:bCs/>
        </w:rPr>
        <w:t xml:space="preserve"> </w:t>
      </w:r>
      <w:r w:rsidR="008A61FE">
        <w:rPr>
          <w:rFonts w:ascii="Arial Narrow" w:hAnsi="Arial Narrow" w:cs="Arial Narrow"/>
          <w:bCs/>
        </w:rPr>
        <w:t>the 2023</w:t>
      </w:r>
      <w:r w:rsidRPr="00750FB0">
        <w:rPr>
          <w:rFonts w:ascii="Arial Narrow" w:hAnsi="Arial Narrow" w:cs="Arial Narrow"/>
          <w:bCs/>
        </w:rPr>
        <w:t>/2</w:t>
      </w:r>
      <w:r w:rsidR="008A61FE">
        <w:rPr>
          <w:rFonts w:ascii="Arial Narrow" w:hAnsi="Arial Narrow" w:cs="Arial Narrow"/>
          <w:bCs/>
        </w:rPr>
        <w:t>4</w:t>
      </w:r>
      <w:r w:rsidRPr="00750FB0">
        <w:rPr>
          <w:rFonts w:ascii="Arial Narrow" w:hAnsi="Arial Narrow" w:cs="Arial Narrow"/>
          <w:bCs/>
        </w:rPr>
        <w:t xml:space="preserve"> FY</w:t>
      </w:r>
      <w:r w:rsidRPr="00793ACE">
        <w:rPr>
          <w:rFonts w:ascii="Arial Narrow" w:hAnsi="Arial Narrow" w:cs="Arial Narrow"/>
          <w:b/>
        </w:rPr>
        <w:t xml:space="preserve">. On a quarterly basis, the GGDA should report on the progress made in this regard until finalization of these projects. </w:t>
      </w:r>
      <w:r w:rsidR="008A61FE">
        <w:rPr>
          <w:rFonts w:ascii="Arial Narrow" w:hAnsi="Arial Narrow" w:cs="Arial Narrow"/>
          <w:bCs/>
        </w:rPr>
        <w:t xml:space="preserve">The entity should continue or strive to create or facilitate </w:t>
      </w:r>
      <w:proofErr w:type="gramStart"/>
      <w:r w:rsidR="008A61FE">
        <w:rPr>
          <w:rFonts w:ascii="Arial Narrow" w:hAnsi="Arial Narrow" w:cs="Arial Narrow"/>
          <w:bCs/>
        </w:rPr>
        <w:t>a large number of</w:t>
      </w:r>
      <w:proofErr w:type="gramEnd"/>
      <w:r w:rsidR="008A61FE">
        <w:rPr>
          <w:rFonts w:ascii="Arial Narrow" w:hAnsi="Arial Narrow" w:cs="Arial Narrow"/>
          <w:bCs/>
        </w:rPr>
        <w:t xml:space="preserve"> employment opportunities going forward</w:t>
      </w:r>
      <w:r w:rsidR="00630B0C">
        <w:rPr>
          <w:rFonts w:ascii="Arial Narrow" w:hAnsi="Arial Narrow" w:cs="Arial Narrow"/>
          <w:bCs/>
        </w:rPr>
        <w:t xml:space="preserve"> noting that in the year under review, the entity managed to </w:t>
      </w:r>
      <w:r w:rsidR="00630B0C" w:rsidRPr="00630B0C">
        <w:rPr>
          <w:rFonts w:ascii="Arial Narrow" w:hAnsi="Arial Narrow" w:cs="Arial Narrow"/>
          <w:bCs/>
        </w:rPr>
        <w:t>facilitat</w:t>
      </w:r>
      <w:r w:rsidR="00630B0C">
        <w:rPr>
          <w:rFonts w:ascii="Arial Narrow" w:hAnsi="Arial Narrow" w:cs="Arial Narrow"/>
          <w:bCs/>
        </w:rPr>
        <w:t xml:space="preserve">e </w:t>
      </w:r>
      <w:r w:rsidR="00630B0C" w:rsidRPr="00630B0C">
        <w:rPr>
          <w:rFonts w:ascii="Arial Narrow" w:hAnsi="Arial Narrow" w:cs="Arial Narrow"/>
          <w:bCs/>
        </w:rPr>
        <w:t>15</w:t>
      </w:r>
      <w:r w:rsidR="00630B0C">
        <w:rPr>
          <w:rFonts w:ascii="Arial Narrow" w:hAnsi="Arial Narrow" w:cs="Arial Narrow"/>
          <w:bCs/>
        </w:rPr>
        <w:t> </w:t>
      </w:r>
      <w:r w:rsidR="00630B0C" w:rsidRPr="00630B0C">
        <w:rPr>
          <w:rFonts w:ascii="Arial Narrow" w:hAnsi="Arial Narrow" w:cs="Arial Narrow"/>
          <w:bCs/>
        </w:rPr>
        <w:t>400</w:t>
      </w:r>
      <w:r w:rsidR="00630B0C">
        <w:rPr>
          <w:rFonts w:ascii="Arial Narrow" w:hAnsi="Arial Narrow" w:cs="Arial Narrow"/>
          <w:bCs/>
        </w:rPr>
        <w:t xml:space="preserve"> jobs.</w:t>
      </w:r>
    </w:p>
    <w:bookmarkEnd w:id="34"/>
    <w:p w14:paraId="4F2E7B06" w14:textId="751CCCF4" w:rsidR="00CB2457" w:rsidRDefault="00CB2457" w:rsidP="00D3087A">
      <w:pPr>
        <w:spacing w:line="276" w:lineRule="auto"/>
        <w:rPr>
          <w:rFonts w:ascii="Arial Narrow" w:hAnsi="Arial Narrow" w:cs="Arial Narrow"/>
          <w:bCs/>
        </w:rPr>
      </w:pPr>
    </w:p>
    <w:p w14:paraId="54E01856" w14:textId="20AED4BF" w:rsidR="005735CC" w:rsidRDefault="005735CC" w:rsidP="00EB16C6">
      <w:pPr>
        <w:spacing w:line="276" w:lineRule="auto"/>
        <w:rPr>
          <w:rFonts w:ascii="Arial Narrow" w:hAnsi="Arial Narrow" w:cs="Arial Narrow"/>
          <w:b/>
          <w:bCs/>
        </w:rPr>
      </w:pPr>
      <w:r w:rsidRPr="005735CC">
        <w:rPr>
          <w:rFonts w:ascii="Arial Narrow" w:hAnsi="Arial Narrow" w:cs="Arial Narrow"/>
          <w:b/>
          <w:bCs/>
        </w:rPr>
        <w:t>Cradle of Humankind World Heritage Site (COHWHS) and Dinokeng Projects</w:t>
      </w:r>
    </w:p>
    <w:p w14:paraId="34543BA1" w14:textId="2219F2C0" w:rsidR="005735CC" w:rsidRDefault="005735CC" w:rsidP="00EB16C6">
      <w:pPr>
        <w:spacing w:line="276" w:lineRule="auto"/>
        <w:rPr>
          <w:rFonts w:ascii="Arial Narrow" w:hAnsi="Arial Narrow" w:cs="Arial Narrow"/>
          <w:b/>
          <w:bCs/>
        </w:rPr>
      </w:pPr>
    </w:p>
    <w:p w14:paraId="58826C71" w14:textId="1DB1AC64" w:rsidR="005735CC" w:rsidRPr="005735CC" w:rsidRDefault="005735CC" w:rsidP="00EB16C6">
      <w:pPr>
        <w:spacing w:line="276" w:lineRule="auto"/>
        <w:rPr>
          <w:rFonts w:ascii="Arial Narrow" w:hAnsi="Arial Narrow" w:cs="Arial Narrow"/>
        </w:rPr>
      </w:pPr>
      <w:r w:rsidRPr="005735CC">
        <w:rPr>
          <w:rFonts w:ascii="Arial Narrow" w:hAnsi="Arial Narrow" w:cs="Arial Narrow"/>
        </w:rPr>
        <w:lastRenderedPageBreak/>
        <w:t>The COHWHS is a geospatial tourism development project in one of the most economically depressed areas of Gauteng. It is the World Heritage site in Gauteng and globally respected for its discovery of fossils of ancient human ancestors. Primarily, it was declared a World Heritage property by the United Nations Educational, Scientific and Cultural Organisation (UNESCO). Meanwhile, Dinokeng is a development project located in the deprived area of the north-eastern part of Gauteng. The initiative aims to establish a premier tourist destination close to the urban agglomeration of Gauteng. Accordingly, both projects seek to contribute to economic growth and job creation through investment in the development of strategic infrastructure and to encourage private sector tourism activity.</w:t>
      </w:r>
    </w:p>
    <w:p w14:paraId="68D24CC7" w14:textId="77777777" w:rsidR="008A61FE" w:rsidRDefault="008A61FE" w:rsidP="00EB16C6">
      <w:pPr>
        <w:spacing w:line="276" w:lineRule="auto"/>
        <w:rPr>
          <w:rFonts w:ascii="Arial Narrow" w:hAnsi="Arial Narrow" w:cs="Arial Narrow"/>
        </w:rPr>
      </w:pPr>
    </w:p>
    <w:p w14:paraId="317CA952" w14:textId="4B9F9BD0" w:rsidR="00630B0C" w:rsidRDefault="00630B0C" w:rsidP="00EB16C6">
      <w:pPr>
        <w:spacing w:line="276" w:lineRule="auto"/>
        <w:rPr>
          <w:rFonts w:ascii="Arial Narrow" w:hAnsi="Arial Narrow" w:cs="Arial Narrow"/>
        </w:rPr>
      </w:pPr>
      <w:r w:rsidRPr="00630B0C">
        <w:rPr>
          <w:rFonts w:ascii="Arial Narrow" w:hAnsi="Arial Narrow" w:cs="Arial Narrow"/>
        </w:rPr>
        <w:t xml:space="preserve">The Department reported that the COHWHS </w:t>
      </w:r>
      <w:r>
        <w:rPr>
          <w:rFonts w:ascii="Arial Narrow" w:hAnsi="Arial Narrow" w:cs="Arial Narrow"/>
        </w:rPr>
        <w:t xml:space="preserve">attained 11 </w:t>
      </w:r>
      <w:r w:rsidRPr="00630B0C">
        <w:rPr>
          <w:rFonts w:ascii="Arial Narrow" w:hAnsi="Arial Narrow" w:cs="Arial Narrow"/>
        </w:rPr>
        <w:t>of the 1</w:t>
      </w:r>
      <w:r>
        <w:rPr>
          <w:rFonts w:ascii="Arial Narrow" w:hAnsi="Arial Narrow" w:cs="Arial Narrow"/>
        </w:rPr>
        <w:t>3</w:t>
      </w:r>
      <w:r w:rsidRPr="00630B0C">
        <w:rPr>
          <w:rFonts w:ascii="Arial Narrow" w:hAnsi="Arial Narrow" w:cs="Arial Narrow"/>
        </w:rPr>
        <w:t xml:space="preserve"> planned targets unlike in the previous financial </w:t>
      </w:r>
      <w:r w:rsidR="00D240F8">
        <w:rPr>
          <w:rFonts w:ascii="Arial Narrow" w:hAnsi="Arial Narrow" w:cs="Arial Narrow"/>
        </w:rPr>
        <w:t>M</w:t>
      </w:r>
      <w:r w:rsidRPr="00630B0C">
        <w:rPr>
          <w:rFonts w:ascii="Arial Narrow" w:hAnsi="Arial Narrow" w:cs="Arial Narrow"/>
        </w:rPr>
        <w:t>300 hectares of vegetation and the 8 community empowerment projects implemented through the private and public sector partnerships.</w:t>
      </w:r>
    </w:p>
    <w:p w14:paraId="47A88B95" w14:textId="599AA7AD" w:rsidR="00D240F8" w:rsidRPr="00D240F8" w:rsidRDefault="00D240F8" w:rsidP="00D240F8">
      <w:pPr>
        <w:spacing w:line="276" w:lineRule="auto"/>
        <w:rPr>
          <w:rFonts w:ascii="Arial Narrow" w:hAnsi="Arial Narrow" w:cs="Arial Narrow"/>
        </w:rPr>
      </w:pPr>
    </w:p>
    <w:p w14:paraId="2E4530FA" w14:textId="039B4F44" w:rsidR="00D240F8" w:rsidRDefault="00D240F8" w:rsidP="00D240F8">
      <w:pPr>
        <w:spacing w:line="276" w:lineRule="auto"/>
        <w:rPr>
          <w:rFonts w:ascii="Arial Narrow" w:hAnsi="Arial Narrow" w:cs="Arial Narrow"/>
        </w:rPr>
      </w:pPr>
      <w:r>
        <w:rPr>
          <w:rFonts w:ascii="Arial Narrow" w:hAnsi="Arial Narrow" w:cs="Arial Narrow"/>
        </w:rPr>
        <w:t xml:space="preserve">In response to the conversion of MAL to a non-profit company, the </w:t>
      </w:r>
      <w:r w:rsidRPr="00D240F8">
        <w:rPr>
          <w:rFonts w:ascii="Arial Narrow" w:hAnsi="Arial Narrow" w:cs="Arial Narrow"/>
        </w:rPr>
        <w:t xml:space="preserve">conversion was delayed by the non-submission of the audited financial statements by MAL. To date, Cradle of Humankind through </w:t>
      </w:r>
      <w:r>
        <w:rPr>
          <w:rFonts w:ascii="Arial Narrow" w:hAnsi="Arial Narrow" w:cs="Arial Narrow"/>
        </w:rPr>
        <w:t>the Department’s</w:t>
      </w:r>
      <w:r w:rsidRPr="00D240F8">
        <w:rPr>
          <w:rFonts w:ascii="Arial Narrow" w:hAnsi="Arial Narrow" w:cs="Arial Narrow"/>
        </w:rPr>
        <w:t xml:space="preserve"> Legal Advisory Services engaged with the Office of the State Advisor for the appointment of corporate lawyers to assist with the process. </w:t>
      </w:r>
      <w:r w:rsidR="00110611">
        <w:rPr>
          <w:rFonts w:ascii="Arial Narrow" w:hAnsi="Arial Narrow" w:cs="Arial Narrow"/>
        </w:rPr>
        <w:t>The Department outlined the p</w:t>
      </w:r>
      <w:r w:rsidRPr="00D240F8">
        <w:rPr>
          <w:rFonts w:ascii="Arial Narrow" w:hAnsi="Arial Narrow" w:cs="Arial Narrow"/>
        </w:rPr>
        <w:t>rogress on the process</w:t>
      </w:r>
      <w:r w:rsidR="00110611">
        <w:rPr>
          <w:rFonts w:ascii="Arial Narrow" w:hAnsi="Arial Narrow" w:cs="Arial Narrow"/>
        </w:rPr>
        <w:t xml:space="preserve"> of the conversion as follows:</w:t>
      </w:r>
    </w:p>
    <w:p w14:paraId="484F8812" w14:textId="77777777" w:rsidR="00110611" w:rsidRPr="00D240F8" w:rsidRDefault="00110611" w:rsidP="00D240F8">
      <w:pPr>
        <w:spacing w:line="276" w:lineRule="auto"/>
        <w:rPr>
          <w:rFonts w:ascii="Arial Narrow" w:hAnsi="Arial Narrow" w:cs="Arial Narrow"/>
        </w:rPr>
      </w:pPr>
    </w:p>
    <w:p w14:paraId="05B288DF" w14:textId="0AAD7FCE" w:rsidR="00110611" w:rsidRDefault="00D240F8" w:rsidP="005A5F3D">
      <w:pPr>
        <w:pStyle w:val="ListParagraph"/>
        <w:numPr>
          <w:ilvl w:val="0"/>
          <w:numId w:val="43"/>
        </w:numPr>
        <w:rPr>
          <w:rFonts w:ascii="Arial Narrow" w:hAnsi="Arial Narrow" w:cs="Arial Narrow"/>
        </w:rPr>
      </w:pPr>
      <w:r w:rsidRPr="00110611">
        <w:rPr>
          <w:rFonts w:ascii="Arial Narrow" w:hAnsi="Arial Narrow" w:cs="Arial Narrow"/>
        </w:rPr>
        <w:t xml:space="preserve">Wits </w:t>
      </w:r>
      <w:r w:rsidR="00110611" w:rsidRPr="00110611">
        <w:rPr>
          <w:rFonts w:ascii="Arial Narrow" w:hAnsi="Arial Narrow" w:cs="Arial Narrow"/>
        </w:rPr>
        <w:t xml:space="preserve">University </w:t>
      </w:r>
      <w:r w:rsidRPr="00110611">
        <w:rPr>
          <w:rFonts w:ascii="Arial Narrow" w:hAnsi="Arial Narrow" w:cs="Arial Narrow"/>
        </w:rPr>
        <w:t>has indicated their intention to discontinue with the current temporary arrangement; Wits</w:t>
      </w:r>
      <w:r w:rsidR="00110611" w:rsidRPr="00110611">
        <w:rPr>
          <w:rFonts w:ascii="Arial Narrow" w:hAnsi="Arial Narrow" w:cs="Arial Narrow"/>
        </w:rPr>
        <w:t xml:space="preserve"> University</w:t>
      </w:r>
      <w:r w:rsidRPr="00110611">
        <w:rPr>
          <w:rFonts w:ascii="Arial Narrow" w:hAnsi="Arial Narrow" w:cs="Arial Narrow"/>
        </w:rPr>
        <w:t xml:space="preserve"> will withdraw from MAL with effect from 17th January </w:t>
      </w:r>
      <w:r w:rsidR="00110611" w:rsidRPr="00110611">
        <w:rPr>
          <w:rFonts w:ascii="Arial Narrow" w:hAnsi="Arial Narrow" w:cs="Arial Narrow"/>
        </w:rPr>
        <w:t>2024.</w:t>
      </w:r>
    </w:p>
    <w:p w14:paraId="29A15A98" w14:textId="2D663AC9" w:rsidR="00110611" w:rsidRDefault="00D240F8" w:rsidP="008A5FAF">
      <w:pPr>
        <w:pStyle w:val="ListParagraph"/>
        <w:numPr>
          <w:ilvl w:val="0"/>
          <w:numId w:val="43"/>
        </w:numPr>
        <w:rPr>
          <w:rFonts w:ascii="Arial Narrow" w:hAnsi="Arial Narrow" w:cs="Arial Narrow"/>
        </w:rPr>
      </w:pPr>
      <w:r w:rsidRPr="00110611">
        <w:rPr>
          <w:rFonts w:ascii="Arial Narrow" w:hAnsi="Arial Narrow" w:cs="Arial Narrow"/>
        </w:rPr>
        <w:t xml:space="preserve">During a bilateral meeting held on the </w:t>
      </w:r>
      <w:r w:rsidR="00110611" w:rsidRPr="00110611">
        <w:rPr>
          <w:rFonts w:ascii="Arial Narrow" w:hAnsi="Arial Narrow" w:cs="Arial Narrow"/>
        </w:rPr>
        <w:t>16th of</w:t>
      </w:r>
      <w:r w:rsidRPr="00110611">
        <w:rPr>
          <w:rFonts w:ascii="Arial Narrow" w:hAnsi="Arial Narrow" w:cs="Arial Narrow"/>
        </w:rPr>
        <w:t xml:space="preserve"> October 2023 between W</w:t>
      </w:r>
      <w:r w:rsidR="00110611" w:rsidRPr="00110611">
        <w:rPr>
          <w:rFonts w:ascii="Arial Narrow" w:hAnsi="Arial Narrow" w:cs="Arial Narrow"/>
        </w:rPr>
        <w:t xml:space="preserve">its University </w:t>
      </w:r>
      <w:r w:rsidRPr="00110611">
        <w:rPr>
          <w:rFonts w:ascii="Arial Narrow" w:hAnsi="Arial Narrow" w:cs="Arial Narrow"/>
        </w:rPr>
        <w:t xml:space="preserve">and </w:t>
      </w:r>
      <w:r w:rsidR="00110611" w:rsidRPr="00110611">
        <w:rPr>
          <w:rFonts w:ascii="Arial Narrow" w:hAnsi="Arial Narrow" w:cs="Arial Narrow"/>
        </w:rPr>
        <w:t xml:space="preserve">the Department </w:t>
      </w:r>
      <w:r w:rsidRPr="00110611">
        <w:rPr>
          <w:rFonts w:ascii="Arial Narrow" w:hAnsi="Arial Narrow" w:cs="Arial Narrow"/>
        </w:rPr>
        <w:t xml:space="preserve">represented by the Vice Chancellor and HOD respectively, both parties agreed to establish a </w:t>
      </w:r>
      <w:r w:rsidR="00110611" w:rsidRPr="00110611">
        <w:rPr>
          <w:rFonts w:ascii="Arial Narrow" w:hAnsi="Arial Narrow" w:cs="Arial Narrow"/>
        </w:rPr>
        <w:t>High-Level</w:t>
      </w:r>
      <w:r w:rsidRPr="00110611">
        <w:rPr>
          <w:rFonts w:ascii="Arial Narrow" w:hAnsi="Arial Narrow" w:cs="Arial Narrow"/>
        </w:rPr>
        <w:t xml:space="preserve"> Team that will deal with the winding down of the MAL and develop a new </w:t>
      </w:r>
      <w:proofErr w:type="gramStart"/>
      <w:r w:rsidRPr="00110611">
        <w:rPr>
          <w:rFonts w:ascii="Arial Narrow" w:hAnsi="Arial Narrow" w:cs="Arial Narrow"/>
        </w:rPr>
        <w:t>agreement;</w:t>
      </w:r>
      <w:proofErr w:type="gramEnd"/>
    </w:p>
    <w:p w14:paraId="2ADE3C5D" w14:textId="77777777" w:rsidR="00110611" w:rsidRDefault="00D240F8" w:rsidP="00F075F3">
      <w:pPr>
        <w:pStyle w:val="ListParagraph"/>
        <w:numPr>
          <w:ilvl w:val="0"/>
          <w:numId w:val="43"/>
        </w:numPr>
        <w:rPr>
          <w:rFonts w:ascii="Arial Narrow" w:hAnsi="Arial Narrow" w:cs="Arial Narrow"/>
        </w:rPr>
      </w:pPr>
      <w:r w:rsidRPr="00110611">
        <w:rPr>
          <w:rFonts w:ascii="Arial Narrow" w:hAnsi="Arial Narrow" w:cs="Arial Narrow"/>
        </w:rPr>
        <w:t xml:space="preserve">In terms of the legal advice received by the Entity, the process of establishing </w:t>
      </w:r>
      <w:proofErr w:type="gramStart"/>
      <w:r w:rsidRPr="00110611">
        <w:rPr>
          <w:rFonts w:ascii="Arial Narrow" w:hAnsi="Arial Narrow" w:cs="Arial Narrow"/>
        </w:rPr>
        <w:t>a</w:t>
      </w:r>
      <w:proofErr w:type="gramEnd"/>
      <w:r w:rsidRPr="00110611">
        <w:rPr>
          <w:rFonts w:ascii="Arial Narrow" w:hAnsi="Arial Narrow" w:cs="Arial Narrow"/>
        </w:rPr>
        <w:t xml:space="preserve"> NPC and winding down MAL as a private entity can happen simultaneously; and </w:t>
      </w:r>
    </w:p>
    <w:p w14:paraId="722FC608" w14:textId="70C0ADF3" w:rsidR="00D240F8" w:rsidRPr="00110611" w:rsidRDefault="00D240F8" w:rsidP="00F075F3">
      <w:pPr>
        <w:pStyle w:val="ListParagraph"/>
        <w:numPr>
          <w:ilvl w:val="0"/>
          <w:numId w:val="43"/>
        </w:numPr>
        <w:rPr>
          <w:rFonts w:ascii="Arial Narrow" w:hAnsi="Arial Narrow" w:cs="Arial Narrow"/>
        </w:rPr>
      </w:pPr>
      <w:r w:rsidRPr="00110611">
        <w:rPr>
          <w:rFonts w:ascii="Arial Narrow" w:hAnsi="Arial Narrow" w:cs="Arial Narrow"/>
        </w:rPr>
        <w:t xml:space="preserve">The entity is hopeful that the registration of </w:t>
      </w:r>
      <w:proofErr w:type="gramStart"/>
      <w:r w:rsidRPr="00110611">
        <w:rPr>
          <w:rFonts w:ascii="Arial Narrow" w:hAnsi="Arial Narrow" w:cs="Arial Narrow"/>
        </w:rPr>
        <w:t>a</w:t>
      </w:r>
      <w:proofErr w:type="gramEnd"/>
      <w:r w:rsidRPr="00110611">
        <w:rPr>
          <w:rFonts w:ascii="Arial Narrow" w:hAnsi="Arial Narrow" w:cs="Arial Narrow"/>
        </w:rPr>
        <w:t xml:space="preserve"> NPC will be finalised by December 2023 to enable the entity to take over the operations of Maropeng.</w:t>
      </w:r>
    </w:p>
    <w:p w14:paraId="7A3B0C50" w14:textId="77777777" w:rsidR="0055117C" w:rsidRDefault="0055117C" w:rsidP="00EB16C6">
      <w:pPr>
        <w:spacing w:line="276" w:lineRule="auto"/>
        <w:rPr>
          <w:rFonts w:ascii="Arial Narrow" w:hAnsi="Arial Narrow" w:cs="Arial Narrow"/>
          <w:b/>
          <w:bCs/>
        </w:rPr>
      </w:pPr>
    </w:p>
    <w:p w14:paraId="03A915B0" w14:textId="0724FC0B" w:rsidR="00FD1B5D" w:rsidRDefault="00FD1B5D" w:rsidP="00EB16C6">
      <w:pPr>
        <w:spacing w:line="276" w:lineRule="auto"/>
        <w:rPr>
          <w:rFonts w:ascii="Arial Narrow" w:hAnsi="Arial Narrow" w:cs="Arial Narrow"/>
          <w:b/>
          <w:bCs/>
        </w:rPr>
      </w:pPr>
      <w:r w:rsidRPr="003C6B22">
        <w:rPr>
          <w:rFonts w:ascii="Arial Narrow" w:hAnsi="Arial Narrow" w:cs="Arial Narrow"/>
          <w:b/>
          <w:bCs/>
        </w:rPr>
        <w:t>Automotive Industry Development Centre (AIDC)</w:t>
      </w:r>
    </w:p>
    <w:p w14:paraId="08B1B46B" w14:textId="77777777" w:rsidR="003C6B22" w:rsidRDefault="003C6B22" w:rsidP="00EB16C6">
      <w:pPr>
        <w:spacing w:line="276" w:lineRule="auto"/>
        <w:rPr>
          <w:rFonts w:ascii="Arial Narrow" w:hAnsi="Arial Narrow" w:cs="Arial Narrow"/>
          <w:bCs/>
        </w:rPr>
      </w:pPr>
    </w:p>
    <w:p w14:paraId="720E7730" w14:textId="2FA047F4" w:rsidR="00A31ECA" w:rsidRDefault="00A31ECA" w:rsidP="00EB16C6">
      <w:pPr>
        <w:spacing w:line="276" w:lineRule="auto"/>
        <w:rPr>
          <w:rFonts w:ascii="Arial Narrow" w:hAnsi="Arial Narrow" w:cs="Arial Narrow"/>
          <w:bCs/>
        </w:rPr>
      </w:pPr>
      <w:bookmarkStart w:id="35" w:name="_Hlk530505875"/>
      <w:r w:rsidRPr="00A31ECA">
        <w:rPr>
          <w:rFonts w:ascii="Arial Narrow" w:hAnsi="Arial Narrow" w:cs="Arial Narrow"/>
          <w:bCs/>
        </w:rPr>
        <w:t xml:space="preserve">The AIDC aims </w:t>
      </w:r>
      <w:r>
        <w:rPr>
          <w:rFonts w:ascii="Arial Narrow" w:hAnsi="Arial Narrow" w:cs="Arial Narrow"/>
          <w:bCs/>
        </w:rPr>
        <w:t>to</w:t>
      </w:r>
      <w:r w:rsidRPr="00A31ECA">
        <w:rPr>
          <w:rFonts w:ascii="Arial Narrow" w:hAnsi="Arial Narrow" w:cs="Arial Narrow"/>
          <w:bCs/>
        </w:rPr>
        <w:t xml:space="preserve"> improv</w:t>
      </w:r>
      <w:r>
        <w:rPr>
          <w:rFonts w:ascii="Arial Narrow" w:hAnsi="Arial Narrow" w:cs="Arial Narrow"/>
          <w:bCs/>
        </w:rPr>
        <w:t>e</w:t>
      </w:r>
      <w:r w:rsidRPr="00A31ECA">
        <w:rPr>
          <w:rFonts w:ascii="Arial Narrow" w:hAnsi="Arial Narrow" w:cs="Arial Narrow"/>
          <w:bCs/>
        </w:rPr>
        <w:t xml:space="preserve"> the competitiveness of South Africa’s SMME</w:t>
      </w:r>
      <w:r>
        <w:rPr>
          <w:rFonts w:ascii="Arial Narrow" w:hAnsi="Arial Narrow" w:cs="Arial Narrow"/>
          <w:bCs/>
        </w:rPr>
        <w:t>’</w:t>
      </w:r>
      <w:r w:rsidRPr="00A31ECA">
        <w:rPr>
          <w:rFonts w:ascii="Arial Narrow" w:hAnsi="Arial Narrow" w:cs="Arial Narrow"/>
          <w:bCs/>
        </w:rPr>
        <w:t>s in the automotive component manufacturing industry, and to enable them to participate at a globally competitive level. From the previous financial years, the operation of the AIDC has been merged with the Automotive Supplier Park (ASP). The sub-programmes include Industry Development, Operations, M&amp;E and Risk, Business Development, Finance and Human Resources.</w:t>
      </w:r>
    </w:p>
    <w:p w14:paraId="32F53661" w14:textId="0433FFCF" w:rsidR="00FC5B97" w:rsidRDefault="00FC5B97" w:rsidP="00EB16C6">
      <w:pPr>
        <w:spacing w:line="276" w:lineRule="auto"/>
        <w:rPr>
          <w:rFonts w:ascii="Arial Narrow" w:hAnsi="Arial Narrow" w:cs="Arial Narrow"/>
          <w:bCs/>
        </w:rPr>
      </w:pPr>
    </w:p>
    <w:p w14:paraId="3C4E0703" w14:textId="750DAB74" w:rsidR="00110611" w:rsidRDefault="001B3EFF" w:rsidP="00EB16C6">
      <w:pPr>
        <w:spacing w:line="276" w:lineRule="auto"/>
        <w:rPr>
          <w:rFonts w:ascii="Arial Narrow" w:hAnsi="Arial Narrow" w:cs="Arial Narrow"/>
          <w:b/>
        </w:rPr>
      </w:pPr>
      <w:r>
        <w:rPr>
          <w:rFonts w:ascii="Arial Narrow" w:hAnsi="Arial Narrow" w:cs="Arial Narrow"/>
          <w:bCs/>
        </w:rPr>
        <w:t>The Committee no</w:t>
      </w:r>
      <w:r w:rsidRPr="001B3EFF">
        <w:rPr>
          <w:rFonts w:ascii="Arial Narrow" w:hAnsi="Arial Narrow" w:cs="Arial Narrow"/>
          <w:bCs/>
        </w:rPr>
        <w:t xml:space="preserve">ted that most planned targets for the year under review </w:t>
      </w:r>
      <w:r>
        <w:rPr>
          <w:rFonts w:ascii="Arial Narrow" w:hAnsi="Arial Narrow" w:cs="Arial Narrow"/>
          <w:bCs/>
        </w:rPr>
        <w:t>were</w:t>
      </w:r>
      <w:r w:rsidRPr="001B3EFF">
        <w:rPr>
          <w:rFonts w:ascii="Arial Narrow" w:hAnsi="Arial Narrow" w:cs="Arial Narrow"/>
          <w:bCs/>
        </w:rPr>
        <w:t xml:space="preserve"> new. This is on the backdrop of non-performance during the 2021/22 FY on such. This includes amongst others the sub-standard performance at the Winterveldt Enterprise Hub due to limited working capacity and electricity constraints; the failure of the enhanced skills development and training programmes to translate into effective job placement for the unemployed individuals due to non-concluded MOUs. Further unrealised targets relate to delays in some planned projects with negative consequences for job creation. As much as some of the new projects point to innovative measures and monitoring of crucial areas such as increased localisation and improved market access within the historically disadvantaged SMMEs. It cannot be ignored that this opens gaps in tracking programme continuity as well as determining the success of introduced interventions in dealing with some of the previous constraints.</w:t>
      </w:r>
      <w:r w:rsidR="00546262">
        <w:rPr>
          <w:rFonts w:ascii="Arial Narrow" w:hAnsi="Arial Narrow" w:cs="Arial Narrow"/>
          <w:bCs/>
        </w:rPr>
        <w:t xml:space="preserve"> </w:t>
      </w:r>
      <w:bookmarkStart w:id="36" w:name="_Hlk151376178"/>
      <w:r w:rsidR="00546262" w:rsidRPr="00546262">
        <w:rPr>
          <w:rFonts w:ascii="Arial Narrow" w:hAnsi="Arial Narrow" w:cs="Arial Narrow"/>
          <w:b/>
        </w:rPr>
        <w:t>The Committee should be appraised on the turn-around strategy employed on th</w:t>
      </w:r>
      <w:r w:rsidR="00546262">
        <w:rPr>
          <w:rFonts w:ascii="Arial Narrow" w:hAnsi="Arial Narrow" w:cs="Arial Narrow"/>
          <w:b/>
        </w:rPr>
        <w:t>e Winterveldt Enterprise Hub</w:t>
      </w:r>
      <w:r w:rsidR="00546262" w:rsidRPr="00546262">
        <w:rPr>
          <w:rFonts w:ascii="Arial Narrow" w:hAnsi="Arial Narrow" w:cs="Arial Narrow"/>
          <w:b/>
        </w:rPr>
        <w:t xml:space="preserve"> to get it to be fully operational and attain its intended objective</w:t>
      </w:r>
      <w:r w:rsidR="00154410">
        <w:rPr>
          <w:rFonts w:ascii="Arial Narrow" w:hAnsi="Arial Narrow" w:cs="Arial Narrow"/>
          <w:b/>
        </w:rPr>
        <w:t>s</w:t>
      </w:r>
      <w:r w:rsidR="00546262" w:rsidRPr="00546262">
        <w:rPr>
          <w:rFonts w:ascii="Arial Narrow" w:hAnsi="Arial Narrow" w:cs="Arial Narrow"/>
          <w:b/>
        </w:rPr>
        <w:t>.</w:t>
      </w:r>
    </w:p>
    <w:p w14:paraId="2603D136" w14:textId="77777777" w:rsidR="00546262" w:rsidRDefault="00546262" w:rsidP="00EB16C6">
      <w:pPr>
        <w:spacing w:line="276" w:lineRule="auto"/>
        <w:rPr>
          <w:rFonts w:ascii="Arial Narrow" w:hAnsi="Arial Narrow" w:cs="Arial Narrow"/>
          <w:b/>
        </w:rPr>
      </w:pPr>
    </w:p>
    <w:p w14:paraId="046A33F5" w14:textId="0B22C4B9" w:rsidR="00546262" w:rsidRDefault="00546262" w:rsidP="00546262">
      <w:pPr>
        <w:spacing w:line="276" w:lineRule="auto"/>
        <w:rPr>
          <w:rFonts w:ascii="Arial Narrow" w:hAnsi="Arial Narrow" w:cs="Arial Narrow"/>
          <w:b/>
        </w:rPr>
      </w:pPr>
      <w:r>
        <w:rPr>
          <w:rFonts w:ascii="Arial Narrow" w:hAnsi="Arial Narrow" w:cs="Arial Narrow"/>
          <w:b/>
        </w:rPr>
        <w:lastRenderedPageBreak/>
        <w:t>The Committee noted with concern that the f</w:t>
      </w:r>
      <w:r w:rsidRPr="00546262">
        <w:rPr>
          <w:rFonts w:ascii="Arial Narrow" w:hAnsi="Arial Narrow" w:cs="Arial Narrow"/>
          <w:b/>
        </w:rPr>
        <w:t>ailure by the C</w:t>
      </w:r>
      <w:r>
        <w:rPr>
          <w:rFonts w:ascii="Arial Narrow" w:hAnsi="Arial Narrow" w:cs="Arial Narrow"/>
          <w:b/>
        </w:rPr>
        <w:t xml:space="preserve">ity of </w:t>
      </w:r>
      <w:r w:rsidRPr="00546262">
        <w:rPr>
          <w:rFonts w:ascii="Arial Narrow" w:hAnsi="Arial Narrow" w:cs="Arial Narrow"/>
          <w:b/>
        </w:rPr>
        <w:t>T</w:t>
      </w:r>
      <w:r>
        <w:rPr>
          <w:rFonts w:ascii="Arial Narrow" w:hAnsi="Arial Narrow" w:cs="Arial Narrow"/>
          <w:b/>
        </w:rPr>
        <w:t xml:space="preserve">shwane </w:t>
      </w:r>
      <w:r w:rsidRPr="00546262">
        <w:rPr>
          <w:rFonts w:ascii="Arial Narrow" w:hAnsi="Arial Narrow" w:cs="Arial Narrow"/>
          <w:b/>
        </w:rPr>
        <w:t>to allocate vehicles for repairs</w:t>
      </w:r>
      <w:r>
        <w:rPr>
          <w:rFonts w:ascii="Arial Narrow" w:hAnsi="Arial Narrow" w:cs="Arial Narrow"/>
          <w:b/>
        </w:rPr>
        <w:t xml:space="preserve"> at the Winterveldt Enterprise Hub </w:t>
      </w:r>
      <w:r w:rsidRPr="00546262">
        <w:rPr>
          <w:rFonts w:ascii="Arial Narrow" w:hAnsi="Arial Narrow" w:cs="Arial Narrow"/>
          <w:b/>
        </w:rPr>
        <w:t>negatively affecting volumes and revenue generated by the township based SMME</w:t>
      </w:r>
      <w:r>
        <w:rPr>
          <w:rFonts w:ascii="Arial Narrow" w:hAnsi="Arial Narrow" w:cs="Arial Narrow"/>
          <w:b/>
        </w:rPr>
        <w:t>’</w:t>
      </w:r>
      <w:r w:rsidRPr="00546262">
        <w:rPr>
          <w:rFonts w:ascii="Arial Narrow" w:hAnsi="Arial Narrow" w:cs="Arial Narrow"/>
          <w:b/>
        </w:rPr>
        <w:t>s. Instead of the targeted R</w:t>
      </w:r>
      <w:r>
        <w:rPr>
          <w:rFonts w:ascii="Arial Narrow" w:hAnsi="Arial Narrow" w:cs="Arial Narrow"/>
          <w:b/>
        </w:rPr>
        <w:t xml:space="preserve"> </w:t>
      </w:r>
      <w:r w:rsidRPr="00546262">
        <w:rPr>
          <w:rFonts w:ascii="Arial Narrow" w:hAnsi="Arial Narrow" w:cs="Arial Narrow"/>
          <w:b/>
        </w:rPr>
        <w:t>40</w:t>
      </w:r>
      <w:r>
        <w:rPr>
          <w:rFonts w:ascii="Arial Narrow" w:hAnsi="Arial Narrow" w:cs="Arial Narrow"/>
          <w:b/>
        </w:rPr>
        <w:t> 000 000 (R40m),</w:t>
      </w:r>
      <w:r w:rsidRPr="00546262">
        <w:rPr>
          <w:rFonts w:ascii="Arial Narrow" w:hAnsi="Arial Narrow" w:cs="Arial Narrow"/>
          <w:b/>
        </w:rPr>
        <w:t xml:space="preserve"> only R8</w:t>
      </w:r>
      <w:r>
        <w:rPr>
          <w:rFonts w:ascii="Arial Narrow" w:hAnsi="Arial Narrow" w:cs="Arial Narrow"/>
          <w:b/>
        </w:rPr>
        <w:t> </w:t>
      </w:r>
      <w:r w:rsidRPr="00546262">
        <w:rPr>
          <w:rFonts w:ascii="Arial Narrow" w:hAnsi="Arial Narrow" w:cs="Arial Narrow"/>
          <w:b/>
        </w:rPr>
        <w:t>5</w:t>
      </w:r>
      <w:r>
        <w:rPr>
          <w:rFonts w:ascii="Arial Narrow" w:hAnsi="Arial Narrow" w:cs="Arial Narrow"/>
          <w:b/>
        </w:rPr>
        <w:t xml:space="preserve">00 000 (R8.5m) </w:t>
      </w:r>
      <w:r w:rsidRPr="00546262">
        <w:rPr>
          <w:rFonts w:ascii="Arial Narrow" w:hAnsi="Arial Narrow" w:cs="Arial Narrow"/>
          <w:b/>
        </w:rPr>
        <w:t>was realised thus highlighting a massive shortfall of over R</w:t>
      </w:r>
      <w:r>
        <w:rPr>
          <w:rFonts w:ascii="Arial Narrow" w:hAnsi="Arial Narrow" w:cs="Arial Narrow"/>
          <w:b/>
        </w:rPr>
        <w:t xml:space="preserve"> </w:t>
      </w:r>
      <w:r w:rsidRPr="00546262">
        <w:rPr>
          <w:rFonts w:ascii="Arial Narrow" w:hAnsi="Arial Narrow" w:cs="Arial Narrow"/>
          <w:b/>
        </w:rPr>
        <w:t>31</w:t>
      </w:r>
      <w:r>
        <w:rPr>
          <w:rFonts w:ascii="Arial Narrow" w:hAnsi="Arial Narrow" w:cs="Arial Narrow"/>
          <w:b/>
        </w:rPr>
        <w:t> 000 000 (R31m)</w:t>
      </w:r>
      <w:r w:rsidRPr="00546262">
        <w:rPr>
          <w:rFonts w:ascii="Arial Narrow" w:hAnsi="Arial Narrow" w:cs="Arial Narrow"/>
          <w:b/>
        </w:rPr>
        <w:t xml:space="preserve">. </w:t>
      </w:r>
      <w:r w:rsidR="00154410">
        <w:rPr>
          <w:rFonts w:ascii="Arial Narrow" w:hAnsi="Arial Narrow" w:cs="Arial Narrow"/>
          <w:b/>
        </w:rPr>
        <w:t>I</w:t>
      </w:r>
      <w:r>
        <w:rPr>
          <w:rFonts w:ascii="Arial Narrow" w:hAnsi="Arial Narrow" w:cs="Arial Narrow"/>
          <w:b/>
        </w:rPr>
        <w:t xml:space="preserve">n response to this, the </w:t>
      </w:r>
      <w:r w:rsidRPr="00546262">
        <w:rPr>
          <w:rFonts w:ascii="Arial Narrow" w:hAnsi="Arial Narrow" w:cs="Arial Narrow"/>
          <w:b/>
        </w:rPr>
        <w:t>Department</w:t>
      </w:r>
      <w:r>
        <w:rPr>
          <w:rFonts w:ascii="Arial Narrow" w:hAnsi="Arial Narrow" w:cs="Arial Narrow"/>
          <w:b/>
        </w:rPr>
        <w:t xml:space="preserve"> indicated that t</w:t>
      </w:r>
      <w:r w:rsidRPr="00546262">
        <w:rPr>
          <w:rFonts w:ascii="Arial Narrow" w:hAnsi="Arial Narrow" w:cs="Arial Narrow"/>
          <w:b/>
        </w:rPr>
        <w:t xml:space="preserve">he AIDC in September </w:t>
      </w:r>
      <w:r>
        <w:rPr>
          <w:rFonts w:ascii="Arial Narrow" w:hAnsi="Arial Narrow" w:cs="Arial Narrow"/>
          <w:b/>
        </w:rPr>
        <w:t xml:space="preserve">in </w:t>
      </w:r>
      <w:r w:rsidRPr="00546262">
        <w:rPr>
          <w:rFonts w:ascii="Arial Narrow" w:hAnsi="Arial Narrow" w:cs="Arial Narrow"/>
          <w:b/>
        </w:rPr>
        <w:t>2022 requested</w:t>
      </w:r>
      <w:r>
        <w:rPr>
          <w:rFonts w:ascii="Arial Narrow" w:hAnsi="Arial Narrow" w:cs="Arial Narrow"/>
          <w:b/>
        </w:rPr>
        <w:t xml:space="preserve"> that</w:t>
      </w:r>
      <w:r w:rsidRPr="00546262">
        <w:rPr>
          <w:rFonts w:ascii="Arial Narrow" w:hAnsi="Arial Narrow" w:cs="Arial Narrow"/>
          <w:b/>
        </w:rPr>
        <w:t xml:space="preserve"> the target be removed because the City of Tshwane was not </w:t>
      </w:r>
      <w:proofErr w:type="spellStart"/>
      <w:r w:rsidRPr="00546262">
        <w:rPr>
          <w:rFonts w:ascii="Arial Narrow" w:hAnsi="Arial Narrow" w:cs="Arial Narrow"/>
          <w:b/>
        </w:rPr>
        <w:t>honoring</w:t>
      </w:r>
      <w:proofErr w:type="spellEnd"/>
      <w:r w:rsidRPr="00546262">
        <w:rPr>
          <w:rFonts w:ascii="Arial Narrow" w:hAnsi="Arial Narrow" w:cs="Arial Narrow"/>
          <w:b/>
        </w:rPr>
        <w:t xml:space="preserve"> the payment on the vehicles repaired by the SMME</w:t>
      </w:r>
      <w:r>
        <w:rPr>
          <w:rFonts w:ascii="Arial Narrow" w:hAnsi="Arial Narrow" w:cs="Arial Narrow"/>
          <w:b/>
        </w:rPr>
        <w:t>’</w:t>
      </w:r>
      <w:r w:rsidRPr="00546262">
        <w:rPr>
          <w:rFonts w:ascii="Arial Narrow" w:hAnsi="Arial Narrow" w:cs="Arial Narrow"/>
          <w:b/>
        </w:rPr>
        <w:t>s thus disadvantaging their businesses. The Memorandum of Agreement between the City of Tshwane and AIDC came to an end in February 2023.</w:t>
      </w:r>
      <w:r>
        <w:rPr>
          <w:rFonts w:ascii="Arial Narrow" w:hAnsi="Arial Narrow" w:cs="Arial Narrow"/>
          <w:b/>
        </w:rPr>
        <w:t xml:space="preserve"> </w:t>
      </w:r>
    </w:p>
    <w:p w14:paraId="3BBB65AB" w14:textId="4883FDD1" w:rsidR="00546262" w:rsidRDefault="00546262" w:rsidP="00546262">
      <w:pPr>
        <w:spacing w:line="276" w:lineRule="auto"/>
        <w:rPr>
          <w:rFonts w:ascii="Arial Narrow" w:hAnsi="Arial Narrow" w:cs="Arial Narrow"/>
          <w:b/>
        </w:rPr>
      </w:pPr>
      <w:r>
        <w:rPr>
          <w:rFonts w:ascii="Arial Narrow" w:hAnsi="Arial Narrow" w:cs="Arial Narrow"/>
          <w:b/>
        </w:rPr>
        <w:t xml:space="preserve">The Committee is of the view that other alternatives should be </w:t>
      </w:r>
      <w:r w:rsidR="00E13894">
        <w:rPr>
          <w:rFonts w:ascii="Arial Narrow" w:hAnsi="Arial Narrow" w:cs="Arial Narrow"/>
          <w:b/>
        </w:rPr>
        <w:t>sourced</w:t>
      </w:r>
      <w:r>
        <w:rPr>
          <w:rFonts w:ascii="Arial Narrow" w:hAnsi="Arial Narrow" w:cs="Arial Narrow"/>
          <w:b/>
        </w:rPr>
        <w:t xml:space="preserve"> by the Department </w:t>
      </w:r>
      <w:proofErr w:type="gramStart"/>
      <w:r>
        <w:rPr>
          <w:rFonts w:ascii="Arial Narrow" w:hAnsi="Arial Narrow" w:cs="Arial Narrow"/>
          <w:b/>
        </w:rPr>
        <w:t>in order to</w:t>
      </w:r>
      <w:proofErr w:type="gramEnd"/>
      <w:r>
        <w:rPr>
          <w:rFonts w:ascii="Arial Narrow" w:hAnsi="Arial Narrow" w:cs="Arial Narrow"/>
          <w:b/>
        </w:rPr>
        <w:t xml:space="preserve"> ensure </w:t>
      </w:r>
      <w:r w:rsidR="00E13894">
        <w:rPr>
          <w:rFonts w:ascii="Arial Narrow" w:hAnsi="Arial Narrow" w:cs="Arial Narrow"/>
          <w:b/>
        </w:rPr>
        <w:t xml:space="preserve">that the development of SMME’s within the township is enhanced. </w:t>
      </w:r>
      <w:r>
        <w:rPr>
          <w:rFonts w:ascii="Arial Narrow" w:hAnsi="Arial Narrow" w:cs="Arial Narrow"/>
          <w:b/>
        </w:rPr>
        <w:t xml:space="preserve"> </w:t>
      </w:r>
    </w:p>
    <w:bookmarkEnd w:id="36"/>
    <w:p w14:paraId="55A8C02A" w14:textId="77777777" w:rsidR="00CA37E8" w:rsidRDefault="00CA37E8" w:rsidP="00EB16C6">
      <w:pPr>
        <w:spacing w:line="276" w:lineRule="auto"/>
        <w:rPr>
          <w:rFonts w:ascii="Arial Narrow" w:hAnsi="Arial Narrow" w:cs="Arial Narrow"/>
          <w:bCs/>
        </w:rPr>
      </w:pPr>
    </w:p>
    <w:bookmarkEnd w:id="35"/>
    <w:p w14:paraId="7469D323" w14:textId="57C6CD3C" w:rsidR="00737210" w:rsidRDefault="00F20E38" w:rsidP="00C93456">
      <w:pPr>
        <w:spacing w:line="276" w:lineRule="auto"/>
        <w:rPr>
          <w:rFonts w:ascii="Arial Narrow" w:hAnsi="Arial Narrow" w:cs="Arial Narrow"/>
          <w:b/>
          <w:bCs/>
        </w:rPr>
      </w:pPr>
      <w:r w:rsidRPr="00F20E38">
        <w:rPr>
          <w:rFonts w:ascii="Arial Narrow" w:hAnsi="Arial Narrow" w:cs="Arial Narrow"/>
          <w:b/>
          <w:bCs/>
        </w:rPr>
        <w:t>The Innovation Hub</w:t>
      </w:r>
      <w:r w:rsidR="004B19E8">
        <w:rPr>
          <w:rFonts w:ascii="Arial Narrow" w:hAnsi="Arial Narrow" w:cs="Arial Narrow"/>
          <w:b/>
          <w:bCs/>
        </w:rPr>
        <w:t xml:space="preserve"> (TIH)</w:t>
      </w:r>
      <w:r w:rsidRPr="00F20E38">
        <w:rPr>
          <w:rFonts w:ascii="Arial Narrow" w:hAnsi="Arial Narrow" w:cs="Arial Narrow"/>
          <w:b/>
          <w:bCs/>
        </w:rPr>
        <w:t xml:space="preserve"> </w:t>
      </w:r>
    </w:p>
    <w:p w14:paraId="3B774D37" w14:textId="185E447C" w:rsidR="00C75B19" w:rsidRDefault="00C75B19" w:rsidP="00A83105">
      <w:pPr>
        <w:spacing w:line="276" w:lineRule="auto"/>
        <w:rPr>
          <w:rFonts w:ascii="Arial Narrow" w:hAnsi="Arial Narrow" w:cs="Arial Narrow"/>
          <w:bCs/>
        </w:rPr>
      </w:pPr>
    </w:p>
    <w:p w14:paraId="2F32FBA8" w14:textId="77777777" w:rsidR="00E13894" w:rsidRDefault="005C60B0" w:rsidP="005C60B0">
      <w:pPr>
        <w:spacing w:line="276" w:lineRule="auto"/>
        <w:rPr>
          <w:rFonts w:ascii="Arial Narrow" w:hAnsi="Arial Narrow" w:cs="Arial Narrow"/>
          <w:bCs/>
        </w:rPr>
      </w:pPr>
      <w:r w:rsidRPr="005C60B0">
        <w:rPr>
          <w:rFonts w:ascii="Arial Narrow" w:hAnsi="Arial Narrow" w:cs="Arial Narrow"/>
          <w:bCs/>
        </w:rPr>
        <w:t xml:space="preserve">In the year under review the TIH reported that the Maxum Business Incubator played a significant role towards enterprise development. It assisted start-up SMMEs at their early stages of development to maximise their opportunities. The incubation process assumes different stages including a 12-month pre-commercialisation phase; a 3-year commercialisation phase and graduating out of the core programme upon demonstrating profitability and sustainability for at least 6 months. </w:t>
      </w:r>
    </w:p>
    <w:p w14:paraId="1474DAF8" w14:textId="77777777" w:rsidR="00E13894" w:rsidRDefault="00E13894" w:rsidP="005C60B0">
      <w:pPr>
        <w:spacing w:line="276" w:lineRule="auto"/>
        <w:rPr>
          <w:rFonts w:ascii="Arial Narrow" w:hAnsi="Arial Narrow" w:cs="Arial Narrow"/>
          <w:bCs/>
        </w:rPr>
      </w:pPr>
    </w:p>
    <w:p w14:paraId="0F8A1823" w14:textId="3C4E09C4" w:rsidR="00E13894" w:rsidRDefault="00E13894" w:rsidP="00E13894">
      <w:pPr>
        <w:spacing w:line="276" w:lineRule="auto"/>
        <w:rPr>
          <w:rFonts w:ascii="Arial Narrow" w:hAnsi="Arial Narrow" w:cs="Arial Narrow"/>
          <w:bCs/>
        </w:rPr>
      </w:pPr>
      <w:r>
        <w:rPr>
          <w:rFonts w:ascii="Arial Narrow" w:hAnsi="Arial Narrow" w:cs="Arial Narrow"/>
          <w:bCs/>
        </w:rPr>
        <w:t>The Committee noted that i</w:t>
      </w:r>
      <w:r w:rsidRPr="00E13894">
        <w:rPr>
          <w:rFonts w:ascii="Arial Narrow" w:hAnsi="Arial Narrow" w:cs="Arial Narrow"/>
          <w:bCs/>
        </w:rPr>
        <w:t>n terms of job creation,</w:t>
      </w:r>
      <w:r>
        <w:rPr>
          <w:rFonts w:ascii="Arial Narrow" w:hAnsi="Arial Narrow" w:cs="Arial Narrow"/>
          <w:bCs/>
        </w:rPr>
        <w:t xml:space="preserve"> the TIH</w:t>
      </w:r>
      <w:r w:rsidRPr="00E13894">
        <w:rPr>
          <w:rFonts w:ascii="Arial Narrow" w:hAnsi="Arial Narrow" w:cs="Arial Narrow"/>
          <w:bCs/>
        </w:rPr>
        <w:t xml:space="preserve"> planned</w:t>
      </w:r>
      <w:r>
        <w:rPr>
          <w:rFonts w:ascii="Arial Narrow" w:hAnsi="Arial Narrow" w:cs="Arial Narrow"/>
          <w:bCs/>
        </w:rPr>
        <w:t xml:space="preserve"> a</w:t>
      </w:r>
      <w:r w:rsidRPr="00E13894">
        <w:rPr>
          <w:rFonts w:ascii="Arial Narrow" w:hAnsi="Arial Narrow" w:cs="Arial Narrow"/>
          <w:bCs/>
        </w:rPr>
        <w:t xml:space="preserve"> target of 240 jobs</w:t>
      </w:r>
      <w:r>
        <w:rPr>
          <w:rFonts w:ascii="Arial Narrow" w:hAnsi="Arial Narrow" w:cs="Arial Narrow"/>
          <w:bCs/>
        </w:rPr>
        <w:t xml:space="preserve"> to be attained however this </w:t>
      </w:r>
      <w:r w:rsidRPr="00E13894">
        <w:rPr>
          <w:rFonts w:ascii="Arial Narrow" w:hAnsi="Arial Narrow" w:cs="Arial Narrow"/>
          <w:bCs/>
        </w:rPr>
        <w:t>was surpassed as 268 jobs were created.</w:t>
      </w:r>
      <w:r>
        <w:rPr>
          <w:rFonts w:ascii="Arial Narrow" w:hAnsi="Arial Narrow" w:cs="Arial Narrow"/>
          <w:bCs/>
        </w:rPr>
        <w:t xml:space="preserve"> The jobs created were in the following areas, </w:t>
      </w:r>
      <w:proofErr w:type="gramStart"/>
      <w:r w:rsidRPr="00E13894">
        <w:rPr>
          <w:rFonts w:ascii="Arial Narrow" w:hAnsi="Arial Narrow" w:cs="Arial Narrow"/>
          <w:bCs/>
        </w:rPr>
        <w:t>Green</w:t>
      </w:r>
      <w:proofErr w:type="gramEnd"/>
      <w:r w:rsidRPr="00E13894">
        <w:rPr>
          <w:rFonts w:ascii="Arial Narrow" w:hAnsi="Arial Narrow" w:cs="Arial Narrow"/>
          <w:bCs/>
        </w:rPr>
        <w:t xml:space="preserve"> economy (105 jobs);</w:t>
      </w:r>
      <w:r>
        <w:rPr>
          <w:rFonts w:ascii="Arial Narrow" w:hAnsi="Arial Narrow" w:cs="Arial Narrow"/>
          <w:bCs/>
        </w:rPr>
        <w:t xml:space="preserve"> </w:t>
      </w:r>
      <w:r w:rsidRPr="00E13894">
        <w:rPr>
          <w:rFonts w:ascii="Arial Narrow" w:hAnsi="Arial Narrow" w:cs="Arial Narrow"/>
          <w:bCs/>
        </w:rPr>
        <w:t>Digital economy (47 jobs);</w:t>
      </w:r>
      <w:r>
        <w:rPr>
          <w:rFonts w:ascii="Arial Narrow" w:hAnsi="Arial Narrow" w:cs="Arial Narrow"/>
          <w:bCs/>
        </w:rPr>
        <w:t xml:space="preserve"> </w:t>
      </w:r>
      <w:r w:rsidRPr="00E13894">
        <w:rPr>
          <w:rFonts w:ascii="Arial Narrow" w:hAnsi="Arial Narrow" w:cs="Arial Narrow"/>
          <w:bCs/>
        </w:rPr>
        <w:t>Bioeconomy (23 jobs);</w:t>
      </w:r>
      <w:r>
        <w:rPr>
          <w:rFonts w:ascii="Arial Narrow" w:hAnsi="Arial Narrow" w:cs="Arial Narrow"/>
          <w:bCs/>
        </w:rPr>
        <w:t xml:space="preserve"> </w:t>
      </w:r>
      <w:r w:rsidRPr="00E13894">
        <w:rPr>
          <w:rFonts w:ascii="Arial Narrow" w:hAnsi="Arial Narrow" w:cs="Arial Narrow"/>
          <w:bCs/>
        </w:rPr>
        <w:t>eKasiLabs (78 jobs); and</w:t>
      </w:r>
      <w:r>
        <w:rPr>
          <w:rFonts w:ascii="Arial Narrow" w:hAnsi="Arial Narrow" w:cs="Arial Narrow"/>
          <w:bCs/>
        </w:rPr>
        <w:t xml:space="preserve"> </w:t>
      </w:r>
      <w:r w:rsidRPr="00E13894">
        <w:rPr>
          <w:rFonts w:ascii="Arial Narrow" w:hAnsi="Arial Narrow" w:cs="Arial Narrow"/>
          <w:bCs/>
        </w:rPr>
        <w:t>TIHMC Skills Programme (15 jobs).</w:t>
      </w:r>
    </w:p>
    <w:p w14:paraId="437F92A0" w14:textId="77777777" w:rsidR="00E13894" w:rsidRDefault="00E13894" w:rsidP="005C60B0">
      <w:pPr>
        <w:spacing w:line="276" w:lineRule="auto"/>
        <w:rPr>
          <w:rFonts w:ascii="Arial Narrow" w:hAnsi="Arial Narrow" w:cs="Arial Narrow"/>
          <w:bCs/>
        </w:rPr>
      </w:pPr>
    </w:p>
    <w:p w14:paraId="7FF08880" w14:textId="2AAAE916" w:rsidR="00833F37" w:rsidRDefault="00833F37" w:rsidP="005C60B0">
      <w:pPr>
        <w:spacing w:line="276" w:lineRule="auto"/>
        <w:rPr>
          <w:rFonts w:ascii="Arial Narrow" w:hAnsi="Arial Narrow" w:cs="Arial Narrow"/>
          <w:bCs/>
        </w:rPr>
      </w:pPr>
      <w:r>
        <w:rPr>
          <w:rFonts w:ascii="Arial Narrow" w:hAnsi="Arial Narrow" w:cs="Arial Narrow"/>
          <w:bCs/>
        </w:rPr>
        <w:t xml:space="preserve">The Committee noted that </w:t>
      </w:r>
      <w:r w:rsidRPr="00833F37">
        <w:rPr>
          <w:rFonts w:ascii="Arial Narrow" w:hAnsi="Arial Narrow" w:cs="Arial Narrow"/>
          <w:bCs/>
        </w:rPr>
        <w:t>Maxum Business Incubator plays a significant role towards enterprise development. It assists start-up SMMEs which are at their early stages of development to maximise their opportunities. The incubation process assumes different stages including a 12-month pre-commercialisation phase; a 3-year commercialisation phase and graduating out of the core programme upon demonstrating profitability and sustainability for at least 6 months. For the 2022/23 FY, the number of companies graduating from the incubation programme decreased significantly from 16 to 9. The cited limitations of company’s inability to reach revenue milestones are acknowledged.</w:t>
      </w:r>
    </w:p>
    <w:p w14:paraId="3EDAD319" w14:textId="77777777" w:rsidR="00833F37" w:rsidRDefault="00833F37" w:rsidP="005C60B0">
      <w:pPr>
        <w:spacing w:line="276" w:lineRule="auto"/>
        <w:rPr>
          <w:rFonts w:ascii="Arial Narrow" w:hAnsi="Arial Narrow" w:cs="Arial Narrow"/>
          <w:bCs/>
        </w:rPr>
      </w:pPr>
    </w:p>
    <w:p w14:paraId="3B443392" w14:textId="2C838881" w:rsidR="00833F37" w:rsidRDefault="00833F37" w:rsidP="005C60B0">
      <w:pPr>
        <w:spacing w:line="276" w:lineRule="auto"/>
        <w:rPr>
          <w:rFonts w:ascii="Arial Narrow" w:hAnsi="Arial Narrow" w:cs="Arial Narrow"/>
          <w:bCs/>
        </w:rPr>
      </w:pPr>
      <w:r w:rsidRPr="00833F37">
        <w:rPr>
          <w:rFonts w:ascii="Arial Narrow" w:hAnsi="Arial Narrow" w:cs="Arial Narrow"/>
          <w:bCs/>
        </w:rPr>
        <w:t>Pertaining to the developed initiative of eKasi labs, the number of companies incubated has been falling at a noticeable rate in the past 3 financial years. Additionally, for the current period under review, the number of incubated companies decreased from 101 to 93. Although the planned 80 companies were reportedly surpassed due to successful pitching sessions, the current decline in numbers when compared with the previous</w:t>
      </w:r>
      <w:r>
        <w:rPr>
          <w:rFonts w:ascii="Arial Narrow" w:hAnsi="Arial Narrow" w:cs="Arial Narrow"/>
          <w:bCs/>
        </w:rPr>
        <w:t xml:space="preserve"> financial year</w:t>
      </w:r>
      <w:r w:rsidRPr="00833F37">
        <w:rPr>
          <w:rFonts w:ascii="Arial Narrow" w:hAnsi="Arial Narrow" w:cs="Arial Narrow"/>
          <w:bCs/>
        </w:rPr>
        <w:t xml:space="preserve"> can undermine the need for inclusive innovation in support to township economy.</w:t>
      </w:r>
      <w:r>
        <w:rPr>
          <w:rFonts w:ascii="Arial Narrow" w:hAnsi="Arial Narrow" w:cs="Arial Narrow"/>
          <w:bCs/>
        </w:rPr>
        <w:t xml:space="preserve"> </w:t>
      </w:r>
    </w:p>
    <w:p w14:paraId="1DFC60A4" w14:textId="76142571" w:rsidR="00F00E79" w:rsidRDefault="00F00E79" w:rsidP="00A83105">
      <w:pPr>
        <w:spacing w:line="276" w:lineRule="auto"/>
        <w:rPr>
          <w:rFonts w:ascii="Arial Narrow" w:hAnsi="Arial Narrow" w:cs="Arial Narrow"/>
          <w:bCs/>
        </w:rPr>
      </w:pPr>
    </w:p>
    <w:p w14:paraId="002744C8" w14:textId="77777777" w:rsidR="00184C42" w:rsidRDefault="0032582F" w:rsidP="00494846">
      <w:pPr>
        <w:spacing w:line="276" w:lineRule="auto"/>
        <w:rPr>
          <w:rFonts w:ascii="Arial Narrow" w:hAnsi="Arial Narrow" w:cs="Arial Narrow"/>
          <w:b/>
          <w:bCs/>
        </w:rPr>
      </w:pPr>
      <w:r w:rsidRPr="0032582F">
        <w:rPr>
          <w:rFonts w:ascii="Arial Narrow" w:hAnsi="Arial Narrow" w:cs="Arial Narrow"/>
          <w:b/>
          <w:bCs/>
        </w:rPr>
        <w:t>Gauteng Industrial Development Zone (GIDZ)</w:t>
      </w:r>
      <w:r w:rsidR="00494846" w:rsidRPr="0032582F">
        <w:rPr>
          <w:rFonts w:ascii="Arial Narrow" w:hAnsi="Arial Narrow" w:cs="Arial Narrow"/>
          <w:b/>
          <w:bCs/>
        </w:rPr>
        <w:t xml:space="preserve"> </w:t>
      </w:r>
    </w:p>
    <w:p w14:paraId="57296A9C" w14:textId="77777777" w:rsidR="009046F0" w:rsidRDefault="009046F0" w:rsidP="00C75B19">
      <w:pPr>
        <w:spacing w:line="276" w:lineRule="auto"/>
        <w:rPr>
          <w:rFonts w:ascii="Arial Narrow" w:hAnsi="Arial Narrow" w:cs="Arial Narrow"/>
          <w:bCs/>
        </w:rPr>
      </w:pPr>
    </w:p>
    <w:p w14:paraId="70BB4F26" w14:textId="71F6874C" w:rsidR="00C75B19" w:rsidRDefault="00C75B19" w:rsidP="00C75B19">
      <w:pPr>
        <w:spacing w:line="276" w:lineRule="auto"/>
        <w:rPr>
          <w:rFonts w:ascii="Arial Narrow" w:hAnsi="Arial Narrow" w:cs="Arial Narrow"/>
          <w:bCs/>
        </w:rPr>
      </w:pPr>
      <w:r w:rsidRPr="00C75B19">
        <w:rPr>
          <w:rFonts w:ascii="Arial Narrow" w:hAnsi="Arial Narrow" w:cs="Arial Narrow"/>
          <w:bCs/>
        </w:rPr>
        <w:t>The Gauteng IDZ (GIDZ) Development Company was designed to develop and operate the IDZ at OR Tambo International Airport (ORTIA). It aims to provide strategic investments from and within export manufacturing industries, through the IDZ development programme. Its sub-programmes include Skills Development, Infrastructure Development, Investor Attraction and Mineral Beneficiation.</w:t>
      </w:r>
    </w:p>
    <w:p w14:paraId="19B159AF" w14:textId="43CA57C7" w:rsidR="007735EC" w:rsidRDefault="007735EC" w:rsidP="00C75B19">
      <w:pPr>
        <w:spacing w:line="276" w:lineRule="auto"/>
        <w:rPr>
          <w:rFonts w:ascii="Arial Narrow" w:hAnsi="Arial Narrow" w:cs="Arial Narrow"/>
          <w:bCs/>
        </w:rPr>
      </w:pPr>
    </w:p>
    <w:p w14:paraId="00A1C87C" w14:textId="77777777" w:rsidR="0085527C" w:rsidRDefault="0085527C" w:rsidP="00DB52E2">
      <w:pPr>
        <w:spacing w:line="276" w:lineRule="auto"/>
        <w:rPr>
          <w:rFonts w:ascii="Arial Narrow" w:hAnsi="Arial Narrow" w:cs="Arial Narrow"/>
          <w:bCs/>
        </w:rPr>
      </w:pPr>
      <w:r>
        <w:rPr>
          <w:rFonts w:ascii="Arial Narrow" w:hAnsi="Arial Narrow" w:cs="Arial Narrow"/>
          <w:bCs/>
        </w:rPr>
        <w:t>The Committee noted that in the year under review</w:t>
      </w:r>
      <w:r w:rsidRPr="0085527C">
        <w:rPr>
          <w:rFonts w:ascii="Arial Narrow" w:hAnsi="Arial Narrow" w:cs="Arial Narrow"/>
          <w:bCs/>
        </w:rPr>
        <w:t xml:space="preserve">, the long-incurred challenges on the construction of the ORTIA SEZ Southern Precinct top structures were finally addressed thus resulting in the construction being completed. </w:t>
      </w:r>
      <w:r>
        <w:rPr>
          <w:rFonts w:ascii="Arial Narrow" w:hAnsi="Arial Narrow" w:cs="Arial Narrow"/>
          <w:bCs/>
        </w:rPr>
        <w:lastRenderedPageBreak/>
        <w:t>However</w:t>
      </w:r>
      <w:r w:rsidRPr="0085527C">
        <w:rPr>
          <w:rFonts w:ascii="Arial Narrow" w:hAnsi="Arial Narrow" w:cs="Arial Narrow"/>
          <w:bCs/>
        </w:rPr>
        <w:t>, the bulk infrastructure development for precinct 2 failed to be initiated. However, there is improvement since the previous constraints related to the approval of the bulk infrastructure designs were finally sorted.</w:t>
      </w:r>
    </w:p>
    <w:p w14:paraId="1A9C103A" w14:textId="77777777" w:rsidR="0085527C" w:rsidRDefault="0085527C" w:rsidP="00DB52E2">
      <w:pPr>
        <w:spacing w:line="276" w:lineRule="auto"/>
        <w:rPr>
          <w:rFonts w:ascii="Arial Narrow" w:hAnsi="Arial Narrow" w:cs="Arial Narrow"/>
          <w:bCs/>
        </w:rPr>
      </w:pPr>
    </w:p>
    <w:p w14:paraId="08958BEE" w14:textId="1FD510C6" w:rsidR="0085527C" w:rsidRDefault="0085527C" w:rsidP="0085527C">
      <w:pPr>
        <w:spacing w:line="276" w:lineRule="auto"/>
        <w:rPr>
          <w:rFonts w:ascii="Arial Narrow" w:hAnsi="Arial Narrow" w:cs="Arial Narrow"/>
          <w:bCs/>
        </w:rPr>
      </w:pPr>
      <w:r>
        <w:rPr>
          <w:rFonts w:ascii="Arial Narrow" w:hAnsi="Arial Narrow" w:cs="Arial Narrow"/>
          <w:bCs/>
        </w:rPr>
        <w:t xml:space="preserve">On the </w:t>
      </w:r>
      <w:r w:rsidRPr="0085527C">
        <w:rPr>
          <w:rFonts w:ascii="Arial Narrow" w:hAnsi="Arial Narrow" w:cs="Arial Narrow"/>
          <w:bCs/>
        </w:rPr>
        <w:t xml:space="preserve">construction of the Southern Precinct </w:t>
      </w:r>
      <w:r>
        <w:rPr>
          <w:rFonts w:ascii="Arial Narrow" w:hAnsi="Arial Narrow" w:cs="Arial Narrow"/>
          <w:bCs/>
        </w:rPr>
        <w:t>within</w:t>
      </w:r>
      <w:r w:rsidRPr="0085527C">
        <w:rPr>
          <w:rFonts w:ascii="Arial Narrow" w:hAnsi="Arial Narrow" w:cs="Arial Narrow"/>
          <w:bCs/>
        </w:rPr>
        <w:t xml:space="preserve"> the Jewellery Manufacturing Precinct, 2 agencies namely the South African Diamond and Precious Metals Regulator and the State Diamond Trader are currently housed in the constructed Super-Block. Noting that none of the two cluster components </w:t>
      </w:r>
      <w:r>
        <w:rPr>
          <w:rFonts w:ascii="Arial Narrow" w:hAnsi="Arial Narrow" w:cs="Arial Narrow"/>
          <w:bCs/>
        </w:rPr>
        <w:t>are</w:t>
      </w:r>
      <w:r w:rsidRPr="0085527C">
        <w:rPr>
          <w:rFonts w:ascii="Arial Narrow" w:hAnsi="Arial Narrow" w:cs="Arial Narrow"/>
          <w:bCs/>
        </w:rPr>
        <w:t xml:space="preserve"> operational, the Department provide</w:t>
      </w:r>
      <w:r>
        <w:rPr>
          <w:rFonts w:ascii="Arial Narrow" w:hAnsi="Arial Narrow" w:cs="Arial Narrow"/>
          <w:bCs/>
        </w:rPr>
        <w:t>d</w:t>
      </w:r>
      <w:r w:rsidRPr="0085527C">
        <w:rPr>
          <w:rFonts w:ascii="Arial Narrow" w:hAnsi="Arial Narrow" w:cs="Arial Narrow"/>
          <w:bCs/>
        </w:rPr>
        <w:t xml:space="preserve"> a progress report inclusive of the employed corrective measures in resolving the limitations</w:t>
      </w:r>
      <w:r>
        <w:rPr>
          <w:rFonts w:ascii="Arial Narrow" w:hAnsi="Arial Narrow" w:cs="Arial Narrow"/>
          <w:bCs/>
        </w:rPr>
        <w:t xml:space="preserve"> as follows: </w:t>
      </w:r>
      <w:r w:rsidRPr="0085527C">
        <w:rPr>
          <w:rFonts w:ascii="Arial Narrow" w:hAnsi="Arial Narrow" w:cs="Arial Narrow"/>
          <w:bCs/>
        </w:rPr>
        <w:t xml:space="preserve">The two cluster components will be operational during </w:t>
      </w:r>
      <w:r>
        <w:rPr>
          <w:rFonts w:ascii="Arial Narrow" w:hAnsi="Arial Narrow" w:cs="Arial Narrow"/>
          <w:bCs/>
        </w:rPr>
        <w:t xml:space="preserve">the </w:t>
      </w:r>
      <w:r w:rsidRPr="0085527C">
        <w:rPr>
          <w:rFonts w:ascii="Arial Narrow" w:hAnsi="Arial Narrow" w:cs="Arial Narrow"/>
          <w:bCs/>
        </w:rPr>
        <w:t>3</w:t>
      </w:r>
      <w:r w:rsidRPr="0085527C">
        <w:rPr>
          <w:rFonts w:ascii="Arial Narrow" w:hAnsi="Arial Narrow" w:cs="Arial Narrow"/>
          <w:bCs/>
          <w:vertAlign w:val="superscript"/>
        </w:rPr>
        <w:t>rd</w:t>
      </w:r>
      <w:r>
        <w:rPr>
          <w:rFonts w:ascii="Arial Narrow" w:hAnsi="Arial Narrow" w:cs="Arial Narrow"/>
          <w:bCs/>
        </w:rPr>
        <w:t xml:space="preserve"> quarter</w:t>
      </w:r>
      <w:r w:rsidRPr="0085527C">
        <w:rPr>
          <w:rFonts w:ascii="Arial Narrow" w:hAnsi="Arial Narrow" w:cs="Arial Narrow"/>
          <w:bCs/>
        </w:rPr>
        <w:t xml:space="preserve"> of 2023/24 FY. This is because the two cluster components had to be operational, the buildings had to be completed first and beneficial occupation granted to the new tenants. To date, practical completion and occupation certificates for all new buildings were attained and, on this basis, various tenants are at differing levels of the tenant installation process, after being granted beneficial occupation. </w:t>
      </w:r>
    </w:p>
    <w:p w14:paraId="04600BF1" w14:textId="77777777" w:rsidR="0085527C" w:rsidRDefault="0085527C" w:rsidP="00DB52E2">
      <w:pPr>
        <w:spacing w:line="276" w:lineRule="auto"/>
        <w:rPr>
          <w:rFonts w:ascii="Arial Narrow" w:hAnsi="Arial Narrow" w:cs="Arial Narrow"/>
          <w:bCs/>
        </w:rPr>
      </w:pPr>
    </w:p>
    <w:p w14:paraId="04659836" w14:textId="0C3F1DA2" w:rsidR="00477F69" w:rsidRDefault="00477F69" w:rsidP="002166EF">
      <w:pPr>
        <w:spacing w:line="276" w:lineRule="auto"/>
        <w:rPr>
          <w:rFonts w:ascii="Arial Narrow" w:hAnsi="Arial Narrow" w:cs="Arial Narrow"/>
          <w:b/>
          <w:bCs/>
        </w:rPr>
      </w:pPr>
      <w:r w:rsidRPr="00477F69">
        <w:rPr>
          <w:rFonts w:ascii="Arial Narrow" w:hAnsi="Arial Narrow" w:cs="Arial Narrow"/>
          <w:b/>
          <w:bCs/>
        </w:rPr>
        <w:t>Gauteng Enterprise Propeller</w:t>
      </w:r>
      <w:r>
        <w:rPr>
          <w:rFonts w:ascii="Arial Narrow" w:hAnsi="Arial Narrow" w:cs="Arial Narrow"/>
          <w:b/>
          <w:bCs/>
        </w:rPr>
        <w:t xml:space="preserve"> (GEP) </w:t>
      </w:r>
    </w:p>
    <w:p w14:paraId="535DD305" w14:textId="4C562DCD" w:rsidR="00956806" w:rsidRDefault="00956806" w:rsidP="007F0734">
      <w:pPr>
        <w:spacing w:line="276" w:lineRule="auto"/>
        <w:rPr>
          <w:rFonts w:ascii="Arial Narrow" w:hAnsi="Arial Narrow" w:cs="Arial Narrow"/>
          <w:bCs/>
        </w:rPr>
      </w:pPr>
    </w:p>
    <w:p w14:paraId="3C861009" w14:textId="77777777" w:rsidR="00732B43" w:rsidRDefault="0023405D" w:rsidP="007F0734">
      <w:pPr>
        <w:spacing w:line="276" w:lineRule="auto"/>
        <w:rPr>
          <w:rFonts w:ascii="Arial Narrow" w:hAnsi="Arial Narrow" w:cs="Arial Narrow"/>
          <w:bCs/>
        </w:rPr>
      </w:pPr>
      <w:r w:rsidRPr="0023405D">
        <w:rPr>
          <w:rFonts w:ascii="Arial Narrow" w:hAnsi="Arial Narrow" w:cs="Arial Narrow"/>
          <w:bCs/>
        </w:rPr>
        <w:t>In</w:t>
      </w:r>
      <w:r>
        <w:rPr>
          <w:rFonts w:ascii="Arial Narrow" w:hAnsi="Arial Narrow" w:cs="Arial Narrow"/>
          <w:bCs/>
        </w:rPr>
        <w:t xml:space="preserve"> the year under review the Committee noted that the </w:t>
      </w:r>
      <w:r w:rsidRPr="0023405D">
        <w:rPr>
          <w:rFonts w:ascii="Arial Narrow" w:hAnsi="Arial Narrow" w:cs="Arial Narrow"/>
          <w:bCs/>
        </w:rPr>
        <w:t>GEP’s attained 17 out of the 20 planned targets</w:t>
      </w:r>
      <w:r>
        <w:rPr>
          <w:rFonts w:ascii="Arial Narrow" w:hAnsi="Arial Narrow" w:cs="Arial Narrow"/>
          <w:bCs/>
        </w:rPr>
        <w:t xml:space="preserve"> amounting to </w:t>
      </w:r>
      <w:r w:rsidRPr="0023405D">
        <w:rPr>
          <w:rFonts w:ascii="Arial Narrow" w:hAnsi="Arial Narrow" w:cs="Arial Narrow"/>
          <w:bCs/>
        </w:rPr>
        <w:t>85%</w:t>
      </w:r>
      <w:r>
        <w:rPr>
          <w:rFonts w:ascii="Arial Narrow" w:hAnsi="Arial Narrow" w:cs="Arial Narrow"/>
          <w:bCs/>
        </w:rPr>
        <w:t xml:space="preserve"> attainment of targets</w:t>
      </w:r>
      <w:r w:rsidRPr="0023405D">
        <w:rPr>
          <w:rFonts w:ascii="Arial Narrow" w:hAnsi="Arial Narrow" w:cs="Arial Narrow"/>
          <w:bCs/>
        </w:rPr>
        <w:t>.</w:t>
      </w:r>
      <w:r w:rsidR="00732B43">
        <w:rPr>
          <w:rFonts w:ascii="Arial Narrow" w:hAnsi="Arial Narrow" w:cs="Arial Narrow"/>
          <w:bCs/>
        </w:rPr>
        <w:t xml:space="preserve"> </w:t>
      </w:r>
      <w:r w:rsidRPr="0023405D">
        <w:rPr>
          <w:rFonts w:ascii="Arial Narrow" w:hAnsi="Arial Narrow" w:cs="Arial Narrow"/>
          <w:bCs/>
        </w:rPr>
        <w:t xml:space="preserve">Under the Administration programme, the Department achieved its target on the procurement spend of township enterprises owned by </w:t>
      </w:r>
      <w:r w:rsidR="00732B43">
        <w:rPr>
          <w:rFonts w:ascii="Arial Narrow" w:hAnsi="Arial Narrow" w:cs="Arial Narrow"/>
          <w:bCs/>
        </w:rPr>
        <w:t>w</w:t>
      </w:r>
      <w:r w:rsidRPr="0023405D">
        <w:rPr>
          <w:rFonts w:ascii="Arial Narrow" w:hAnsi="Arial Narrow" w:cs="Arial Narrow"/>
          <w:bCs/>
        </w:rPr>
        <w:t xml:space="preserve">omen, </w:t>
      </w:r>
      <w:proofErr w:type="gramStart"/>
      <w:r w:rsidR="00732B43">
        <w:rPr>
          <w:rFonts w:ascii="Arial Narrow" w:hAnsi="Arial Narrow" w:cs="Arial Narrow"/>
          <w:bCs/>
        </w:rPr>
        <w:t>y</w:t>
      </w:r>
      <w:r w:rsidRPr="0023405D">
        <w:rPr>
          <w:rFonts w:ascii="Arial Narrow" w:hAnsi="Arial Narrow" w:cs="Arial Narrow"/>
          <w:bCs/>
        </w:rPr>
        <w:t>outh</w:t>
      </w:r>
      <w:proofErr w:type="gramEnd"/>
      <w:r w:rsidRPr="0023405D">
        <w:rPr>
          <w:rFonts w:ascii="Arial Narrow" w:hAnsi="Arial Narrow" w:cs="Arial Narrow"/>
          <w:bCs/>
        </w:rPr>
        <w:t xml:space="preserve"> and Persons with Disabilities</w:t>
      </w:r>
      <w:r w:rsidR="00732B43">
        <w:rPr>
          <w:rFonts w:ascii="Arial Narrow" w:hAnsi="Arial Narrow" w:cs="Arial Narrow"/>
          <w:bCs/>
        </w:rPr>
        <w:t xml:space="preserve"> (PwD)</w:t>
      </w:r>
      <w:r w:rsidRPr="0023405D">
        <w:rPr>
          <w:rFonts w:ascii="Arial Narrow" w:hAnsi="Arial Narrow" w:cs="Arial Narrow"/>
          <w:bCs/>
        </w:rPr>
        <w:t xml:space="preserve">, including service providers wherein the majority are owned by </w:t>
      </w:r>
      <w:r w:rsidR="00732B43">
        <w:rPr>
          <w:rFonts w:ascii="Arial Narrow" w:hAnsi="Arial Narrow" w:cs="Arial Narrow"/>
          <w:bCs/>
        </w:rPr>
        <w:t>w</w:t>
      </w:r>
      <w:r w:rsidRPr="0023405D">
        <w:rPr>
          <w:rFonts w:ascii="Arial Narrow" w:hAnsi="Arial Narrow" w:cs="Arial Narrow"/>
          <w:bCs/>
        </w:rPr>
        <w:t xml:space="preserve">omen. </w:t>
      </w:r>
    </w:p>
    <w:p w14:paraId="7948A191" w14:textId="77777777" w:rsidR="00732B43" w:rsidRDefault="00732B43" w:rsidP="007F0734">
      <w:pPr>
        <w:spacing w:line="276" w:lineRule="auto"/>
        <w:rPr>
          <w:rFonts w:ascii="Arial Narrow" w:hAnsi="Arial Narrow" w:cs="Arial Narrow"/>
          <w:bCs/>
        </w:rPr>
      </w:pPr>
    </w:p>
    <w:p w14:paraId="76C966A6" w14:textId="5F33C747" w:rsidR="00D5173A" w:rsidRPr="00D5173A" w:rsidRDefault="00D5173A" w:rsidP="007F0734">
      <w:pPr>
        <w:spacing w:line="276" w:lineRule="auto"/>
        <w:rPr>
          <w:rFonts w:ascii="Arial Narrow" w:hAnsi="Arial Narrow" w:cs="Arial Narrow"/>
          <w:b/>
        </w:rPr>
      </w:pPr>
      <w:r w:rsidRPr="00D5173A">
        <w:rPr>
          <w:rFonts w:ascii="Arial Narrow" w:hAnsi="Arial Narrow" w:cs="Arial Narrow"/>
          <w:bCs/>
        </w:rPr>
        <w:t>The Committee noted that there were audit action plans that were meant to be implemented by the entity, however these were not implemented. In outlining the inability to action these, GEP indicated that action plans that could not be implemented relate to Irregular Expenditure and ICT. Overall GEP continues to monitor the action plans on a regular basis with the oversight of the Audit Committee</w:t>
      </w:r>
      <w:r>
        <w:rPr>
          <w:rFonts w:ascii="Arial Narrow" w:hAnsi="Arial Narrow" w:cs="Arial Narrow"/>
          <w:bCs/>
        </w:rPr>
        <w:t xml:space="preserve">. </w:t>
      </w:r>
      <w:r w:rsidRPr="00D5173A">
        <w:rPr>
          <w:rFonts w:ascii="Arial Narrow" w:hAnsi="Arial Narrow" w:cs="Arial Narrow"/>
          <w:b/>
        </w:rPr>
        <w:t xml:space="preserve">The Committee is of the view that GEP should implement all the action plans related to the previous audit findings that talk to </w:t>
      </w:r>
      <w:r w:rsidR="0023405D" w:rsidRPr="00D5173A">
        <w:rPr>
          <w:rFonts w:ascii="Arial Narrow" w:hAnsi="Arial Narrow" w:cs="Arial Narrow"/>
          <w:b/>
        </w:rPr>
        <w:t>irregular expenditure and ICT</w:t>
      </w:r>
      <w:r w:rsidRPr="00D5173A">
        <w:rPr>
          <w:rFonts w:ascii="Arial Narrow" w:hAnsi="Arial Narrow" w:cs="Arial Narrow"/>
          <w:b/>
        </w:rPr>
        <w:t xml:space="preserve">. </w:t>
      </w:r>
    </w:p>
    <w:p w14:paraId="28CA5C11" w14:textId="77777777" w:rsidR="001C2195" w:rsidRDefault="001C2195" w:rsidP="007F0734">
      <w:pPr>
        <w:spacing w:line="276" w:lineRule="auto"/>
        <w:rPr>
          <w:rFonts w:ascii="Arial Narrow" w:hAnsi="Arial Narrow" w:cs="Arial Narrow"/>
          <w:bCs/>
          <w:highlight w:val="yellow"/>
        </w:rPr>
      </w:pPr>
      <w:bookmarkStart w:id="37" w:name="_Hlk66870943"/>
    </w:p>
    <w:p w14:paraId="1F3C755B" w14:textId="65EA91F3" w:rsidR="00D5173A" w:rsidRDefault="00775662" w:rsidP="007F0734">
      <w:pPr>
        <w:spacing w:line="276" w:lineRule="auto"/>
        <w:rPr>
          <w:rFonts w:ascii="Arial Narrow" w:hAnsi="Arial Narrow" w:cs="Arial Narrow"/>
          <w:bCs/>
          <w:highlight w:val="yellow"/>
        </w:rPr>
      </w:pPr>
      <w:r w:rsidRPr="00775662">
        <w:rPr>
          <w:rFonts w:ascii="Arial Narrow" w:hAnsi="Arial Narrow" w:cs="Arial Narrow"/>
          <w:bCs/>
        </w:rPr>
        <w:t xml:space="preserve">The Committee was informed that the </w:t>
      </w:r>
      <w:r w:rsidRPr="00D5173A">
        <w:rPr>
          <w:rFonts w:ascii="Arial Narrow" w:hAnsi="Arial Narrow" w:cs="Arial Narrow"/>
          <w:bCs/>
        </w:rPr>
        <w:t>Investment</w:t>
      </w:r>
      <w:r w:rsidR="00D5173A" w:rsidRPr="00D5173A">
        <w:rPr>
          <w:rFonts w:ascii="Arial Narrow" w:hAnsi="Arial Narrow" w:cs="Arial Narrow"/>
          <w:bCs/>
        </w:rPr>
        <w:t xml:space="preserve"> Management program</w:t>
      </w:r>
      <w:r>
        <w:rPr>
          <w:rFonts w:ascii="Arial Narrow" w:hAnsi="Arial Narrow" w:cs="Arial Narrow"/>
          <w:bCs/>
        </w:rPr>
        <w:t>me</w:t>
      </w:r>
      <w:r w:rsidR="00D5173A" w:rsidRPr="00D5173A">
        <w:rPr>
          <w:rFonts w:ascii="Arial Narrow" w:hAnsi="Arial Narrow" w:cs="Arial Narrow"/>
          <w:bCs/>
        </w:rPr>
        <w:t>,</w:t>
      </w:r>
      <w:r>
        <w:rPr>
          <w:rFonts w:ascii="Arial Narrow" w:hAnsi="Arial Narrow" w:cs="Arial Narrow"/>
          <w:bCs/>
        </w:rPr>
        <w:t xml:space="preserve"> in</w:t>
      </w:r>
      <w:r w:rsidR="00D5173A" w:rsidRPr="00D5173A">
        <w:rPr>
          <w:rFonts w:ascii="Arial Narrow" w:hAnsi="Arial Narrow" w:cs="Arial Narrow"/>
          <w:bCs/>
        </w:rPr>
        <w:t xml:space="preserve"> the 2021/22 FY debt collection of R13</w:t>
      </w:r>
      <w:r>
        <w:rPr>
          <w:rFonts w:ascii="Arial Narrow" w:hAnsi="Arial Narrow" w:cs="Arial Narrow"/>
          <w:bCs/>
        </w:rPr>
        <w:t> </w:t>
      </w:r>
      <w:r w:rsidR="00D5173A" w:rsidRPr="00D5173A">
        <w:rPr>
          <w:rFonts w:ascii="Arial Narrow" w:hAnsi="Arial Narrow" w:cs="Arial Narrow"/>
          <w:bCs/>
        </w:rPr>
        <w:t>4</w:t>
      </w:r>
      <w:r>
        <w:rPr>
          <w:rFonts w:ascii="Arial Narrow" w:hAnsi="Arial Narrow" w:cs="Arial Narrow"/>
          <w:bCs/>
        </w:rPr>
        <w:t xml:space="preserve">00 000 (R13.4m) </w:t>
      </w:r>
      <w:r w:rsidR="00D5173A" w:rsidRPr="00D5173A">
        <w:rPr>
          <w:rFonts w:ascii="Arial Narrow" w:hAnsi="Arial Narrow" w:cs="Arial Narrow"/>
          <w:bCs/>
        </w:rPr>
        <w:t>was significantly surpassed as a total of R</w:t>
      </w:r>
      <w:r>
        <w:rPr>
          <w:rFonts w:ascii="Arial Narrow" w:hAnsi="Arial Narrow" w:cs="Arial Narrow"/>
          <w:bCs/>
        </w:rPr>
        <w:t xml:space="preserve"> </w:t>
      </w:r>
      <w:r w:rsidR="00D5173A" w:rsidRPr="00D5173A">
        <w:rPr>
          <w:rFonts w:ascii="Arial Narrow" w:hAnsi="Arial Narrow" w:cs="Arial Narrow"/>
          <w:bCs/>
        </w:rPr>
        <w:t>31</w:t>
      </w:r>
      <w:r>
        <w:rPr>
          <w:rFonts w:ascii="Arial Narrow" w:hAnsi="Arial Narrow" w:cs="Arial Narrow"/>
          <w:bCs/>
        </w:rPr>
        <w:t xml:space="preserve"> 000 000 (R31m) </w:t>
      </w:r>
      <w:r w:rsidR="00D5173A" w:rsidRPr="00D5173A">
        <w:rPr>
          <w:rFonts w:ascii="Arial Narrow" w:hAnsi="Arial Narrow" w:cs="Arial Narrow"/>
          <w:bCs/>
        </w:rPr>
        <w:t>was collected for the 2022/23</w:t>
      </w:r>
      <w:r>
        <w:rPr>
          <w:rFonts w:ascii="Arial Narrow" w:hAnsi="Arial Narrow" w:cs="Arial Narrow"/>
          <w:bCs/>
        </w:rPr>
        <w:t xml:space="preserve"> </w:t>
      </w:r>
      <w:r w:rsidR="00D5173A" w:rsidRPr="00D5173A">
        <w:rPr>
          <w:rFonts w:ascii="Arial Narrow" w:hAnsi="Arial Narrow" w:cs="Arial Narrow"/>
          <w:bCs/>
        </w:rPr>
        <w:t>FY. The reasons for this include amongst others the effective utilisation of external debt collectors.</w:t>
      </w:r>
      <w:r>
        <w:rPr>
          <w:rFonts w:ascii="Arial Narrow" w:hAnsi="Arial Narrow" w:cs="Arial Narrow"/>
          <w:bCs/>
        </w:rPr>
        <w:t xml:space="preserve"> T</w:t>
      </w:r>
      <w:r w:rsidR="00D5173A" w:rsidRPr="00D5173A">
        <w:rPr>
          <w:rFonts w:ascii="Arial Narrow" w:hAnsi="Arial Narrow" w:cs="Arial Narrow"/>
          <w:bCs/>
        </w:rPr>
        <w:t>he target on the rand value of loans approved from the Investment Management Programme was surpassed at over R</w:t>
      </w:r>
      <w:r>
        <w:rPr>
          <w:rFonts w:ascii="Arial Narrow" w:hAnsi="Arial Narrow" w:cs="Arial Narrow"/>
          <w:bCs/>
        </w:rPr>
        <w:t xml:space="preserve"> </w:t>
      </w:r>
      <w:r w:rsidR="00D5173A" w:rsidRPr="00D5173A">
        <w:rPr>
          <w:rFonts w:ascii="Arial Narrow" w:hAnsi="Arial Narrow" w:cs="Arial Narrow"/>
          <w:bCs/>
        </w:rPr>
        <w:t>89</w:t>
      </w:r>
      <w:r>
        <w:rPr>
          <w:rFonts w:ascii="Arial Narrow" w:hAnsi="Arial Narrow" w:cs="Arial Narrow"/>
          <w:bCs/>
        </w:rPr>
        <w:t> 000 000 (R89m)</w:t>
      </w:r>
      <w:r w:rsidR="00D5173A" w:rsidRPr="00D5173A">
        <w:rPr>
          <w:rFonts w:ascii="Arial Narrow" w:hAnsi="Arial Narrow" w:cs="Arial Narrow"/>
          <w:bCs/>
        </w:rPr>
        <w:t xml:space="preserve"> against the targeted R</w:t>
      </w:r>
      <w:r>
        <w:rPr>
          <w:rFonts w:ascii="Arial Narrow" w:hAnsi="Arial Narrow" w:cs="Arial Narrow"/>
          <w:bCs/>
        </w:rPr>
        <w:t xml:space="preserve"> </w:t>
      </w:r>
      <w:r w:rsidR="00D5173A" w:rsidRPr="00D5173A">
        <w:rPr>
          <w:rFonts w:ascii="Arial Narrow" w:hAnsi="Arial Narrow" w:cs="Arial Narrow"/>
          <w:bCs/>
        </w:rPr>
        <w:t>30</w:t>
      </w:r>
      <w:r>
        <w:rPr>
          <w:rFonts w:ascii="Arial Narrow" w:hAnsi="Arial Narrow" w:cs="Arial Narrow"/>
          <w:bCs/>
        </w:rPr>
        <w:t> 000 000 (R30m)</w:t>
      </w:r>
      <w:r w:rsidR="00D5173A" w:rsidRPr="00D5173A">
        <w:rPr>
          <w:rFonts w:ascii="Arial Narrow" w:hAnsi="Arial Narrow" w:cs="Arial Narrow"/>
          <w:bCs/>
        </w:rPr>
        <w:t>. Meanwhile, the total disbursement was over R</w:t>
      </w:r>
      <w:r>
        <w:rPr>
          <w:rFonts w:ascii="Arial Narrow" w:hAnsi="Arial Narrow" w:cs="Arial Narrow"/>
          <w:bCs/>
        </w:rPr>
        <w:t xml:space="preserve"> </w:t>
      </w:r>
      <w:r w:rsidR="00D5173A" w:rsidRPr="00D5173A">
        <w:rPr>
          <w:rFonts w:ascii="Arial Narrow" w:hAnsi="Arial Narrow" w:cs="Arial Narrow"/>
          <w:bCs/>
        </w:rPr>
        <w:t>89</w:t>
      </w:r>
      <w:r>
        <w:rPr>
          <w:rFonts w:ascii="Arial Narrow" w:hAnsi="Arial Narrow" w:cs="Arial Narrow"/>
          <w:bCs/>
        </w:rPr>
        <w:t> 000 000 (R89m)</w:t>
      </w:r>
      <w:r w:rsidR="00D5173A" w:rsidRPr="00D5173A">
        <w:rPr>
          <w:rFonts w:ascii="Arial Narrow" w:hAnsi="Arial Narrow" w:cs="Arial Narrow"/>
          <w:bCs/>
        </w:rPr>
        <w:t>, the R</w:t>
      </w:r>
      <w:r>
        <w:rPr>
          <w:rFonts w:ascii="Arial Narrow" w:hAnsi="Arial Narrow" w:cs="Arial Narrow"/>
          <w:bCs/>
        </w:rPr>
        <w:t xml:space="preserve"> </w:t>
      </w:r>
      <w:r w:rsidR="00D5173A" w:rsidRPr="00D5173A">
        <w:rPr>
          <w:rFonts w:ascii="Arial Narrow" w:hAnsi="Arial Narrow" w:cs="Arial Narrow"/>
          <w:bCs/>
        </w:rPr>
        <w:t>4</w:t>
      </w:r>
      <w:r>
        <w:rPr>
          <w:rFonts w:ascii="Arial Narrow" w:hAnsi="Arial Narrow" w:cs="Arial Narrow"/>
          <w:bCs/>
        </w:rPr>
        <w:t> 000 000 (R4m)</w:t>
      </w:r>
      <w:r w:rsidR="00D5173A" w:rsidRPr="00D5173A">
        <w:rPr>
          <w:rFonts w:ascii="Arial Narrow" w:hAnsi="Arial Narrow" w:cs="Arial Narrow"/>
          <w:bCs/>
        </w:rPr>
        <w:t xml:space="preserve"> gap indicates that there is still room for improvement in tightening the internal controls to ensure that a 100% of the committed loans are successfully disbursed. This realisation is meant to ensure optimal deployment of loans and grant funding improves particularly on the support, development, and sustainability of SMME</w:t>
      </w:r>
      <w:r w:rsidR="00940E8C">
        <w:rPr>
          <w:rFonts w:ascii="Arial Narrow" w:hAnsi="Arial Narrow" w:cs="Arial Narrow"/>
          <w:bCs/>
        </w:rPr>
        <w:t>’</w:t>
      </w:r>
      <w:r w:rsidR="00D5173A" w:rsidRPr="00D5173A">
        <w:rPr>
          <w:rFonts w:ascii="Arial Narrow" w:hAnsi="Arial Narrow" w:cs="Arial Narrow"/>
          <w:bCs/>
        </w:rPr>
        <w:t>s. Pertaining to the percentage of blending funding committed to youth owned enterprises, a total of R4</w:t>
      </w:r>
      <w:r w:rsidR="00940E8C">
        <w:rPr>
          <w:rFonts w:ascii="Arial Narrow" w:hAnsi="Arial Narrow" w:cs="Arial Narrow"/>
          <w:bCs/>
        </w:rPr>
        <w:t> </w:t>
      </w:r>
      <w:r w:rsidR="00D5173A" w:rsidRPr="00D5173A">
        <w:rPr>
          <w:rFonts w:ascii="Arial Narrow" w:hAnsi="Arial Narrow" w:cs="Arial Narrow"/>
          <w:bCs/>
        </w:rPr>
        <w:t>7</w:t>
      </w:r>
      <w:r w:rsidR="00940E8C">
        <w:rPr>
          <w:rFonts w:ascii="Arial Narrow" w:hAnsi="Arial Narrow" w:cs="Arial Narrow"/>
          <w:bCs/>
        </w:rPr>
        <w:t>00 000 (R 4.7m) was</w:t>
      </w:r>
      <w:r w:rsidR="00D5173A" w:rsidRPr="00D5173A">
        <w:rPr>
          <w:rFonts w:ascii="Arial Narrow" w:hAnsi="Arial Narrow" w:cs="Arial Narrow"/>
          <w:bCs/>
        </w:rPr>
        <w:t xml:space="preserve"> successfully disbursed against the approved R</w:t>
      </w:r>
      <w:r w:rsidR="00940E8C">
        <w:rPr>
          <w:rFonts w:ascii="Arial Narrow" w:hAnsi="Arial Narrow" w:cs="Arial Narrow"/>
          <w:bCs/>
        </w:rPr>
        <w:t xml:space="preserve"> </w:t>
      </w:r>
      <w:r w:rsidR="00D5173A" w:rsidRPr="00D5173A">
        <w:rPr>
          <w:rFonts w:ascii="Arial Narrow" w:hAnsi="Arial Narrow" w:cs="Arial Narrow"/>
          <w:bCs/>
        </w:rPr>
        <w:t>4</w:t>
      </w:r>
      <w:r w:rsidR="00940E8C">
        <w:rPr>
          <w:rFonts w:ascii="Arial Narrow" w:hAnsi="Arial Narrow" w:cs="Arial Narrow"/>
          <w:bCs/>
        </w:rPr>
        <w:t> </w:t>
      </w:r>
      <w:r w:rsidR="00D5173A" w:rsidRPr="00D5173A">
        <w:rPr>
          <w:rFonts w:ascii="Arial Narrow" w:hAnsi="Arial Narrow" w:cs="Arial Narrow"/>
          <w:bCs/>
        </w:rPr>
        <w:t>8</w:t>
      </w:r>
      <w:r w:rsidR="00940E8C">
        <w:rPr>
          <w:rFonts w:ascii="Arial Narrow" w:hAnsi="Arial Narrow" w:cs="Arial Narrow"/>
          <w:bCs/>
        </w:rPr>
        <w:t>00 000 (R 4.8m)</w:t>
      </w:r>
      <w:r w:rsidR="00D5173A" w:rsidRPr="00D5173A">
        <w:rPr>
          <w:rFonts w:ascii="Arial Narrow" w:hAnsi="Arial Narrow" w:cs="Arial Narrow"/>
          <w:bCs/>
        </w:rPr>
        <w:t xml:space="preserve">. </w:t>
      </w:r>
    </w:p>
    <w:p w14:paraId="2C21A147" w14:textId="77777777" w:rsidR="00D5173A" w:rsidRPr="00940E8C" w:rsidRDefault="00D5173A" w:rsidP="007F0734">
      <w:pPr>
        <w:spacing w:line="276" w:lineRule="auto"/>
        <w:rPr>
          <w:rFonts w:ascii="Arial Narrow" w:hAnsi="Arial Narrow" w:cs="Arial Narrow"/>
          <w:bCs/>
        </w:rPr>
      </w:pPr>
    </w:p>
    <w:p w14:paraId="3E7B877A" w14:textId="3C035E87" w:rsidR="00940E8C" w:rsidRPr="00940E8C" w:rsidRDefault="00940E8C" w:rsidP="00940E8C">
      <w:pPr>
        <w:spacing w:line="276" w:lineRule="auto"/>
        <w:rPr>
          <w:rFonts w:ascii="Arial Narrow" w:hAnsi="Arial Narrow" w:cs="Arial Narrow"/>
          <w:bCs/>
        </w:rPr>
      </w:pPr>
      <w:r w:rsidRPr="00940E8C">
        <w:rPr>
          <w:rFonts w:ascii="Arial Narrow" w:hAnsi="Arial Narrow" w:cs="Arial Narrow"/>
          <w:bCs/>
        </w:rPr>
        <w:t>In providing details on the youth fund, the entity indicated that a budget of R10</w:t>
      </w:r>
      <w:r>
        <w:rPr>
          <w:rFonts w:ascii="Arial Narrow" w:hAnsi="Arial Narrow" w:cs="Arial Narrow"/>
          <w:bCs/>
        </w:rPr>
        <w:t> 000 000 (R10m)</w:t>
      </w:r>
      <w:r w:rsidRPr="00940E8C">
        <w:rPr>
          <w:rFonts w:ascii="Arial Narrow" w:hAnsi="Arial Narrow" w:cs="Arial Narrow"/>
          <w:bCs/>
        </w:rPr>
        <w:t xml:space="preserve"> for this fund emanating from the Youth Accelerator Programme was redeployed and allocated to the Investment Management Unit to be used to fund youth owned business. GEP, thus acknowledges the importance of investing in the country’s youth as a precondition for accelerated inclusive growth, sustainable </w:t>
      </w:r>
      <w:proofErr w:type="gramStart"/>
      <w:r w:rsidRPr="00940E8C">
        <w:rPr>
          <w:rFonts w:ascii="Arial Narrow" w:hAnsi="Arial Narrow" w:cs="Arial Narrow"/>
          <w:bCs/>
        </w:rPr>
        <w:t>development</w:t>
      </w:r>
      <w:proofErr w:type="gramEnd"/>
      <w:r w:rsidRPr="00940E8C">
        <w:rPr>
          <w:rFonts w:ascii="Arial Narrow" w:hAnsi="Arial Narrow" w:cs="Arial Narrow"/>
          <w:bCs/>
        </w:rPr>
        <w:t xml:space="preserve"> and job creation. The fund is a combination of both a loan and grant. To this end the organization undertook to set-up a Youth Fund as a key intervention aimed at the following:</w:t>
      </w:r>
    </w:p>
    <w:p w14:paraId="1369BE32" w14:textId="058E37E7" w:rsidR="00940E8C" w:rsidRDefault="00940E8C" w:rsidP="0021700A">
      <w:pPr>
        <w:pStyle w:val="ListParagraph"/>
        <w:numPr>
          <w:ilvl w:val="0"/>
          <w:numId w:val="45"/>
        </w:numPr>
        <w:rPr>
          <w:rFonts w:ascii="Arial Narrow" w:hAnsi="Arial Narrow" w:cs="Arial Narrow"/>
          <w:bCs/>
        </w:rPr>
      </w:pPr>
      <w:r w:rsidRPr="00940E8C">
        <w:rPr>
          <w:rFonts w:ascii="Arial Narrow" w:hAnsi="Arial Narrow" w:cs="Arial Narrow"/>
          <w:bCs/>
        </w:rPr>
        <w:t xml:space="preserve">Prioritized support of youth owned enterprises as a response to the challenge of youth unemployment in the country; and </w:t>
      </w:r>
    </w:p>
    <w:p w14:paraId="2AFF79DD" w14:textId="695C277A" w:rsidR="00940E8C" w:rsidRPr="00940E8C" w:rsidRDefault="00940E8C" w:rsidP="00940E8C">
      <w:pPr>
        <w:pStyle w:val="ListParagraph"/>
        <w:numPr>
          <w:ilvl w:val="0"/>
          <w:numId w:val="45"/>
        </w:numPr>
        <w:rPr>
          <w:rFonts w:ascii="Arial Narrow" w:hAnsi="Arial Narrow" w:cs="Arial Narrow"/>
          <w:bCs/>
        </w:rPr>
      </w:pPr>
      <w:r w:rsidRPr="00940E8C">
        <w:rPr>
          <w:rFonts w:ascii="Arial Narrow" w:hAnsi="Arial Narrow" w:cs="Arial Narrow"/>
          <w:bCs/>
        </w:rPr>
        <w:lastRenderedPageBreak/>
        <w:t xml:space="preserve">The Fund aims to address the significant funding gap in the market for youth-owned enterprises as existing instruments available do not adequately address their needs. The fund will provide support intended to stimulate the establishment and growth of youth-owned businesses, promote digital skills, grow the economy and foster job creation. </w:t>
      </w:r>
    </w:p>
    <w:p w14:paraId="3F343CE4" w14:textId="32830A74" w:rsidR="00940E8C" w:rsidRDefault="00940E8C" w:rsidP="00940E8C">
      <w:pPr>
        <w:spacing w:line="276" w:lineRule="auto"/>
        <w:rPr>
          <w:rFonts w:ascii="Arial Narrow" w:hAnsi="Arial Narrow" w:cs="Arial Narrow"/>
          <w:bCs/>
          <w:highlight w:val="yellow"/>
        </w:rPr>
      </w:pPr>
      <w:r>
        <w:rPr>
          <w:rFonts w:ascii="Arial Narrow" w:hAnsi="Arial Narrow" w:cs="Arial Narrow"/>
          <w:bCs/>
        </w:rPr>
        <w:t>Furthermore, a</w:t>
      </w:r>
      <w:r w:rsidRPr="00940E8C">
        <w:rPr>
          <w:rFonts w:ascii="Arial Narrow" w:hAnsi="Arial Narrow" w:cs="Arial Narrow"/>
          <w:bCs/>
        </w:rPr>
        <w:t xml:space="preserve"> total of 8 deals were approved under the Youth Fund programme since the beginning of the 2023/2024 </w:t>
      </w:r>
      <w:r>
        <w:rPr>
          <w:rFonts w:ascii="Arial Narrow" w:hAnsi="Arial Narrow" w:cs="Arial Narrow"/>
          <w:bCs/>
        </w:rPr>
        <w:t>f</w:t>
      </w:r>
      <w:r w:rsidRPr="00940E8C">
        <w:rPr>
          <w:rFonts w:ascii="Arial Narrow" w:hAnsi="Arial Narrow" w:cs="Arial Narrow"/>
          <w:bCs/>
        </w:rPr>
        <w:t xml:space="preserve">inancial </w:t>
      </w:r>
      <w:r>
        <w:rPr>
          <w:rFonts w:ascii="Arial Narrow" w:hAnsi="Arial Narrow" w:cs="Arial Narrow"/>
          <w:bCs/>
        </w:rPr>
        <w:t>y</w:t>
      </w:r>
      <w:r w:rsidRPr="00940E8C">
        <w:rPr>
          <w:rFonts w:ascii="Arial Narrow" w:hAnsi="Arial Narrow" w:cs="Arial Narrow"/>
          <w:bCs/>
        </w:rPr>
        <w:t>ear with the approval amount totalling R</w:t>
      </w:r>
      <w:r>
        <w:rPr>
          <w:rFonts w:ascii="Arial Narrow" w:hAnsi="Arial Narrow" w:cs="Arial Narrow"/>
          <w:bCs/>
        </w:rPr>
        <w:t xml:space="preserve"> </w:t>
      </w:r>
      <w:r w:rsidRPr="00940E8C">
        <w:rPr>
          <w:rFonts w:ascii="Arial Narrow" w:hAnsi="Arial Narrow" w:cs="Arial Narrow"/>
          <w:bCs/>
        </w:rPr>
        <w:t>6</w:t>
      </w:r>
      <w:r>
        <w:rPr>
          <w:rFonts w:ascii="Arial Narrow" w:hAnsi="Arial Narrow" w:cs="Arial Narrow"/>
          <w:bCs/>
        </w:rPr>
        <w:t> </w:t>
      </w:r>
      <w:r w:rsidRPr="00940E8C">
        <w:rPr>
          <w:rFonts w:ascii="Arial Narrow" w:hAnsi="Arial Narrow" w:cs="Arial Narrow"/>
          <w:bCs/>
        </w:rPr>
        <w:t>966</w:t>
      </w:r>
      <w:r>
        <w:rPr>
          <w:rFonts w:ascii="Arial Narrow" w:hAnsi="Arial Narrow" w:cs="Arial Narrow"/>
          <w:bCs/>
        </w:rPr>
        <w:t> </w:t>
      </w:r>
      <w:r w:rsidRPr="00940E8C">
        <w:rPr>
          <w:rFonts w:ascii="Arial Narrow" w:hAnsi="Arial Narrow" w:cs="Arial Narrow"/>
          <w:bCs/>
        </w:rPr>
        <w:t>772</w:t>
      </w:r>
      <w:r>
        <w:rPr>
          <w:rFonts w:ascii="Arial Narrow" w:hAnsi="Arial Narrow" w:cs="Arial Narrow"/>
          <w:bCs/>
        </w:rPr>
        <w:t xml:space="preserve"> (R6.9m)</w:t>
      </w:r>
      <w:r w:rsidRPr="00940E8C">
        <w:rPr>
          <w:rFonts w:ascii="Arial Narrow" w:hAnsi="Arial Narrow" w:cs="Arial Narrow"/>
          <w:bCs/>
        </w:rPr>
        <w:t>. There is a pipeline of 64 new applications for the youth fund that are in various stages of investment evaluation and assessment and the qualifying applications will serve in the approval committees during this quarter.</w:t>
      </w:r>
    </w:p>
    <w:p w14:paraId="6A0B02D3" w14:textId="77777777" w:rsidR="00940E8C" w:rsidRDefault="00940E8C" w:rsidP="007F0734">
      <w:pPr>
        <w:spacing w:line="276" w:lineRule="auto"/>
        <w:rPr>
          <w:rFonts w:ascii="Arial Narrow" w:hAnsi="Arial Narrow" w:cs="Arial Narrow"/>
          <w:bCs/>
          <w:highlight w:val="yellow"/>
        </w:rPr>
      </w:pPr>
    </w:p>
    <w:p w14:paraId="7A156551" w14:textId="77777777" w:rsidR="00940E8C" w:rsidRDefault="00940E8C" w:rsidP="007F0734">
      <w:pPr>
        <w:spacing w:line="276" w:lineRule="auto"/>
        <w:rPr>
          <w:rFonts w:ascii="Arial Narrow" w:hAnsi="Arial Narrow" w:cs="Arial Narrow"/>
          <w:bCs/>
          <w:highlight w:val="yellow"/>
        </w:rPr>
      </w:pPr>
    </w:p>
    <w:p w14:paraId="063584E9" w14:textId="63D2A0C7" w:rsidR="00D5173A" w:rsidRDefault="00453AF7" w:rsidP="00453AF7">
      <w:pPr>
        <w:spacing w:line="276" w:lineRule="auto"/>
        <w:rPr>
          <w:rFonts w:ascii="Arial Narrow" w:hAnsi="Arial Narrow" w:cs="Arial Narrow"/>
          <w:bCs/>
          <w:highlight w:val="yellow"/>
        </w:rPr>
      </w:pPr>
      <w:r>
        <w:rPr>
          <w:rFonts w:ascii="Arial Narrow" w:hAnsi="Arial Narrow" w:cs="Arial Narrow"/>
          <w:bCs/>
        </w:rPr>
        <w:t xml:space="preserve">The Committee noted that the entity was </w:t>
      </w:r>
      <w:r w:rsidRPr="00453AF7">
        <w:rPr>
          <w:rFonts w:ascii="Arial Narrow" w:hAnsi="Arial Narrow" w:cs="Arial Narrow"/>
          <w:bCs/>
        </w:rPr>
        <w:t>unsuccessful on the percentage of loans committed from the SMME partnership programme, with a total of R</w:t>
      </w:r>
      <w:r>
        <w:rPr>
          <w:rFonts w:ascii="Arial Narrow" w:hAnsi="Arial Narrow" w:cs="Arial Narrow"/>
          <w:bCs/>
        </w:rPr>
        <w:t xml:space="preserve"> </w:t>
      </w:r>
      <w:r w:rsidRPr="00453AF7">
        <w:rPr>
          <w:rFonts w:ascii="Arial Narrow" w:hAnsi="Arial Narrow" w:cs="Arial Narrow"/>
          <w:bCs/>
        </w:rPr>
        <w:t>600</w:t>
      </w:r>
      <w:r>
        <w:rPr>
          <w:rFonts w:ascii="Arial Narrow" w:hAnsi="Arial Narrow" w:cs="Arial Narrow"/>
          <w:bCs/>
        </w:rPr>
        <w:t> 000 000 (R600m)</w:t>
      </w:r>
      <w:r w:rsidRPr="00453AF7">
        <w:rPr>
          <w:rFonts w:ascii="Arial Narrow" w:hAnsi="Arial Narrow" w:cs="Arial Narrow"/>
          <w:bCs/>
        </w:rPr>
        <w:t xml:space="preserve"> funds committed against the budgeted</w:t>
      </w:r>
      <w:r>
        <w:rPr>
          <w:rFonts w:ascii="Arial Narrow" w:hAnsi="Arial Narrow" w:cs="Arial Narrow"/>
          <w:bCs/>
        </w:rPr>
        <w:t xml:space="preserve"> the</w:t>
      </w:r>
      <w:r w:rsidRPr="00453AF7">
        <w:rPr>
          <w:rFonts w:ascii="Arial Narrow" w:hAnsi="Arial Narrow" w:cs="Arial Narrow"/>
          <w:bCs/>
        </w:rPr>
        <w:t xml:space="preserve"> R700</w:t>
      </w:r>
      <w:r>
        <w:rPr>
          <w:rFonts w:ascii="Arial Narrow" w:hAnsi="Arial Narrow" w:cs="Arial Narrow"/>
          <w:bCs/>
        </w:rPr>
        <w:t> 000 000 (R700m)</w:t>
      </w:r>
      <w:r w:rsidRPr="00453AF7">
        <w:rPr>
          <w:rFonts w:ascii="Arial Narrow" w:hAnsi="Arial Narrow" w:cs="Arial Narrow"/>
          <w:bCs/>
        </w:rPr>
        <w:t>.</w:t>
      </w:r>
      <w:r>
        <w:rPr>
          <w:rFonts w:ascii="Arial Narrow" w:hAnsi="Arial Narrow" w:cs="Arial Narrow"/>
          <w:bCs/>
        </w:rPr>
        <w:t xml:space="preserve"> In response to this the entity indicated that </w:t>
      </w:r>
      <w:r w:rsidRPr="00453AF7">
        <w:rPr>
          <w:rFonts w:ascii="Arial Narrow" w:hAnsi="Arial Narrow" w:cs="Arial Narrow"/>
          <w:bCs/>
        </w:rPr>
        <w:t>TEPF commitment of R</w:t>
      </w:r>
      <w:r>
        <w:rPr>
          <w:rFonts w:ascii="Arial Narrow" w:hAnsi="Arial Narrow" w:cs="Arial Narrow"/>
          <w:bCs/>
        </w:rPr>
        <w:t xml:space="preserve"> </w:t>
      </w:r>
      <w:r w:rsidRPr="00453AF7">
        <w:rPr>
          <w:rFonts w:ascii="Arial Narrow" w:hAnsi="Arial Narrow" w:cs="Arial Narrow"/>
          <w:bCs/>
        </w:rPr>
        <w:t>50</w:t>
      </w:r>
      <w:r>
        <w:rPr>
          <w:rFonts w:ascii="Arial Narrow" w:hAnsi="Arial Narrow" w:cs="Arial Narrow"/>
          <w:bCs/>
        </w:rPr>
        <w:t> 000 000 (R 50</w:t>
      </w:r>
      <w:r w:rsidRPr="00453AF7">
        <w:rPr>
          <w:rFonts w:ascii="Arial Narrow" w:hAnsi="Arial Narrow" w:cs="Arial Narrow"/>
          <w:bCs/>
        </w:rPr>
        <w:t>m</w:t>
      </w:r>
      <w:r>
        <w:rPr>
          <w:rFonts w:ascii="Arial Narrow" w:hAnsi="Arial Narrow" w:cs="Arial Narrow"/>
          <w:bCs/>
        </w:rPr>
        <w:t>)</w:t>
      </w:r>
      <w:r w:rsidRPr="00453AF7">
        <w:rPr>
          <w:rFonts w:ascii="Arial Narrow" w:hAnsi="Arial Narrow" w:cs="Arial Narrow"/>
          <w:bCs/>
        </w:rPr>
        <w:t xml:space="preserve"> and the R</w:t>
      </w:r>
      <w:r>
        <w:rPr>
          <w:rFonts w:ascii="Arial Narrow" w:hAnsi="Arial Narrow" w:cs="Arial Narrow"/>
          <w:bCs/>
        </w:rPr>
        <w:t xml:space="preserve"> </w:t>
      </w:r>
      <w:r w:rsidRPr="00453AF7">
        <w:rPr>
          <w:rFonts w:ascii="Arial Narrow" w:hAnsi="Arial Narrow" w:cs="Arial Narrow"/>
          <w:bCs/>
        </w:rPr>
        <w:t>50</w:t>
      </w:r>
      <w:r>
        <w:rPr>
          <w:rFonts w:ascii="Arial Narrow" w:hAnsi="Arial Narrow" w:cs="Arial Narrow"/>
          <w:bCs/>
        </w:rPr>
        <w:t> 000 000 (R 50</w:t>
      </w:r>
      <w:r w:rsidRPr="00453AF7">
        <w:rPr>
          <w:rFonts w:ascii="Arial Narrow" w:hAnsi="Arial Narrow" w:cs="Arial Narrow"/>
          <w:bCs/>
        </w:rPr>
        <w:t>m</w:t>
      </w:r>
      <w:r>
        <w:rPr>
          <w:rFonts w:ascii="Arial Narrow" w:hAnsi="Arial Narrow" w:cs="Arial Narrow"/>
          <w:bCs/>
        </w:rPr>
        <w:t>)</w:t>
      </w:r>
      <w:r w:rsidRPr="00453AF7">
        <w:rPr>
          <w:rFonts w:ascii="Arial Narrow" w:hAnsi="Arial Narrow" w:cs="Arial Narrow"/>
          <w:bCs/>
        </w:rPr>
        <w:t xml:space="preserve"> from the Family Tree partner (ABSA BANK) make up the R100</w:t>
      </w:r>
      <w:r>
        <w:rPr>
          <w:rFonts w:ascii="Arial Narrow" w:hAnsi="Arial Narrow" w:cs="Arial Narrow"/>
          <w:bCs/>
        </w:rPr>
        <w:t> 000 000 (R100</w:t>
      </w:r>
      <w:r w:rsidRPr="00453AF7">
        <w:rPr>
          <w:rFonts w:ascii="Arial Narrow" w:hAnsi="Arial Narrow" w:cs="Arial Narrow"/>
          <w:bCs/>
        </w:rPr>
        <w:t>m</w:t>
      </w:r>
      <w:r>
        <w:rPr>
          <w:rFonts w:ascii="Arial Narrow" w:hAnsi="Arial Narrow" w:cs="Arial Narrow"/>
          <w:bCs/>
        </w:rPr>
        <w:t>)</w:t>
      </w:r>
      <w:r w:rsidRPr="00453AF7">
        <w:rPr>
          <w:rFonts w:ascii="Arial Narrow" w:hAnsi="Arial Narrow" w:cs="Arial Narrow"/>
          <w:bCs/>
        </w:rPr>
        <w:t xml:space="preserve"> that was not committed because Family tree and ABSA had not concluded funding agreements.  ABSA and Family Tree were give</w:t>
      </w:r>
      <w:r>
        <w:rPr>
          <w:rFonts w:ascii="Arial Narrow" w:hAnsi="Arial Narrow" w:cs="Arial Narrow"/>
          <w:bCs/>
        </w:rPr>
        <w:t>n</w:t>
      </w:r>
      <w:r w:rsidRPr="00453AF7">
        <w:rPr>
          <w:rFonts w:ascii="Arial Narrow" w:hAnsi="Arial Narrow" w:cs="Arial Narrow"/>
          <w:bCs/>
        </w:rPr>
        <w:t xml:space="preserve"> a deadline by the TEPF steering committee and that resulted in ABSA fastracking its approval processes.</w:t>
      </w:r>
      <w:r>
        <w:rPr>
          <w:rFonts w:ascii="Arial Narrow" w:hAnsi="Arial Narrow" w:cs="Arial Narrow"/>
          <w:bCs/>
        </w:rPr>
        <w:t xml:space="preserve"> </w:t>
      </w:r>
      <w:r w:rsidRPr="00453AF7">
        <w:rPr>
          <w:rFonts w:ascii="Arial Narrow" w:hAnsi="Arial Narrow" w:cs="Arial Narrow"/>
          <w:bCs/>
        </w:rPr>
        <w:t>This has since been resolved, TEPF and Family tree signed the funding agreement wherein TEPF provides R</w:t>
      </w:r>
      <w:r>
        <w:rPr>
          <w:rFonts w:ascii="Arial Narrow" w:hAnsi="Arial Narrow" w:cs="Arial Narrow"/>
          <w:bCs/>
        </w:rPr>
        <w:t xml:space="preserve"> </w:t>
      </w:r>
      <w:r w:rsidRPr="00453AF7">
        <w:rPr>
          <w:rFonts w:ascii="Arial Narrow" w:hAnsi="Arial Narrow" w:cs="Arial Narrow"/>
          <w:bCs/>
        </w:rPr>
        <w:t>50</w:t>
      </w:r>
      <w:r>
        <w:rPr>
          <w:rFonts w:ascii="Arial Narrow" w:hAnsi="Arial Narrow" w:cs="Arial Narrow"/>
          <w:bCs/>
        </w:rPr>
        <w:t> 000 000 (R50</w:t>
      </w:r>
      <w:r w:rsidRPr="00453AF7">
        <w:rPr>
          <w:rFonts w:ascii="Arial Narrow" w:hAnsi="Arial Narrow" w:cs="Arial Narrow"/>
          <w:bCs/>
        </w:rPr>
        <w:t>m</w:t>
      </w:r>
      <w:proofErr w:type="gramStart"/>
      <w:r>
        <w:rPr>
          <w:rFonts w:ascii="Arial Narrow" w:hAnsi="Arial Narrow" w:cs="Arial Narrow"/>
          <w:bCs/>
        </w:rPr>
        <w:t>)</w:t>
      </w:r>
      <w:proofErr w:type="gramEnd"/>
      <w:r w:rsidRPr="00453AF7">
        <w:rPr>
          <w:rFonts w:ascii="Arial Narrow" w:hAnsi="Arial Narrow" w:cs="Arial Narrow"/>
          <w:bCs/>
        </w:rPr>
        <w:t xml:space="preserve"> and ABSA provides a matching R50</w:t>
      </w:r>
      <w:r>
        <w:rPr>
          <w:rFonts w:ascii="Arial Narrow" w:hAnsi="Arial Narrow" w:cs="Arial Narrow"/>
          <w:bCs/>
        </w:rPr>
        <w:t> 000 000 (R50</w:t>
      </w:r>
      <w:r w:rsidRPr="00453AF7">
        <w:rPr>
          <w:rFonts w:ascii="Arial Narrow" w:hAnsi="Arial Narrow" w:cs="Arial Narrow"/>
          <w:bCs/>
        </w:rPr>
        <w:t>m</w:t>
      </w:r>
      <w:r>
        <w:rPr>
          <w:rFonts w:ascii="Arial Narrow" w:hAnsi="Arial Narrow" w:cs="Arial Narrow"/>
          <w:bCs/>
        </w:rPr>
        <w:t>)</w:t>
      </w:r>
      <w:r w:rsidRPr="00453AF7">
        <w:rPr>
          <w:rFonts w:ascii="Arial Narrow" w:hAnsi="Arial Narrow" w:cs="Arial Narrow"/>
          <w:bCs/>
        </w:rPr>
        <w:t xml:space="preserve"> and this will be operational by 1 November 2023.</w:t>
      </w:r>
    </w:p>
    <w:p w14:paraId="6ABAC766" w14:textId="77777777" w:rsidR="00D5173A" w:rsidRDefault="00D5173A" w:rsidP="007F0734">
      <w:pPr>
        <w:spacing w:line="276" w:lineRule="auto"/>
        <w:rPr>
          <w:rFonts w:ascii="Arial Narrow" w:hAnsi="Arial Narrow" w:cs="Arial Narrow"/>
          <w:bCs/>
          <w:highlight w:val="yellow"/>
        </w:rPr>
      </w:pPr>
    </w:p>
    <w:p w14:paraId="124A2D74" w14:textId="7EB5F983" w:rsidR="006E2134" w:rsidRPr="006E2134" w:rsidRDefault="006E2134" w:rsidP="006E2134">
      <w:pPr>
        <w:spacing w:line="276" w:lineRule="auto"/>
        <w:rPr>
          <w:rFonts w:ascii="Arial Narrow" w:hAnsi="Arial Narrow" w:cs="Arial Narrow"/>
          <w:bCs/>
        </w:rPr>
      </w:pPr>
      <w:r w:rsidRPr="006E2134">
        <w:rPr>
          <w:rFonts w:ascii="Arial Narrow" w:hAnsi="Arial Narrow" w:cs="Arial Narrow"/>
          <w:bCs/>
        </w:rPr>
        <w:t xml:space="preserve">In keeping track of the R 250 000 000 (R250m) allocated to GEP as part of the Covid-19 relief response and the cultivated partnership with the Industrial Development Corporation (IDC) meant to assist in the establishment of a joint SMME Fund. </w:t>
      </w:r>
      <w:r>
        <w:rPr>
          <w:rFonts w:ascii="Arial Narrow" w:hAnsi="Arial Narrow" w:cs="Arial Narrow"/>
          <w:bCs/>
        </w:rPr>
        <w:t>In light of this and i</w:t>
      </w:r>
      <w:r w:rsidRPr="006E2134">
        <w:rPr>
          <w:rFonts w:ascii="Arial Narrow" w:hAnsi="Arial Narrow" w:cs="Arial Narrow"/>
          <w:bCs/>
        </w:rPr>
        <w:t xml:space="preserve">n reaffirming the stance of the Committee on the need to conduct oversight on these allocations, the entity has not given account on how these funds will be accounted for, the information required by the Committee is on the background that this entity has struggled in the recent years with governance issues and reconciliation of their financial statements and the lack of provision of POE in some instances in the year under review.  </w:t>
      </w:r>
    </w:p>
    <w:p w14:paraId="12EE7AD8" w14:textId="77777777" w:rsidR="0047723C" w:rsidRDefault="0047723C" w:rsidP="007F0734">
      <w:pPr>
        <w:spacing w:line="276" w:lineRule="auto"/>
        <w:rPr>
          <w:rFonts w:ascii="Arial Narrow" w:hAnsi="Arial Narrow" w:cs="Arial Narrow"/>
          <w:bCs/>
        </w:rPr>
      </w:pPr>
    </w:p>
    <w:bookmarkEnd w:id="37"/>
    <w:p w14:paraId="5D97B0A5" w14:textId="77777777" w:rsidR="004C2F16" w:rsidRPr="00B95F39" w:rsidRDefault="004C2F16" w:rsidP="002166EF">
      <w:pPr>
        <w:spacing w:line="276" w:lineRule="auto"/>
        <w:rPr>
          <w:rFonts w:ascii="Arial Narrow" w:hAnsi="Arial Narrow" w:cs="Arial Narrow"/>
          <w:b/>
          <w:bCs/>
          <w:highlight w:val="yellow"/>
        </w:rPr>
      </w:pPr>
      <w:r w:rsidRPr="00E866FA">
        <w:rPr>
          <w:rFonts w:ascii="Arial Narrow" w:hAnsi="Arial Narrow" w:cs="Arial Narrow"/>
          <w:b/>
          <w:bCs/>
        </w:rPr>
        <w:t xml:space="preserve">Gauteng Gambling Board (GGB) </w:t>
      </w:r>
    </w:p>
    <w:p w14:paraId="1F60A161" w14:textId="652B178D" w:rsidR="009534BB" w:rsidRDefault="009534BB" w:rsidP="002166EF">
      <w:pPr>
        <w:spacing w:line="276" w:lineRule="auto"/>
        <w:rPr>
          <w:rFonts w:ascii="Arial Narrow" w:hAnsi="Arial Narrow" w:cs="Arial Narrow"/>
          <w:bCs/>
          <w:highlight w:val="yellow"/>
        </w:rPr>
      </w:pPr>
    </w:p>
    <w:p w14:paraId="34E5CB60" w14:textId="5EF44E2B" w:rsidR="004C581B" w:rsidRDefault="004C581B" w:rsidP="002166EF">
      <w:pPr>
        <w:spacing w:line="276" w:lineRule="auto"/>
        <w:rPr>
          <w:rFonts w:ascii="Arial Narrow" w:hAnsi="Arial Narrow" w:cs="Arial Narrow"/>
          <w:bCs/>
          <w:highlight w:val="yellow"/>
        </w:rPr>
      </w:pPr>
      <w:r>
        <w:rPr>
          <w:rFonts w:ascii="Arial Narrow" w:hAnsi="Arial Narrow" w:cs="Arial Narrow"/>
          <w:bCs/>
        </w:rPr>
        <w:t xml:space="preserve">The Committee noted that the </w:t>
      </w:r>
      <w:r w:rsidRPr="004C581B">
        <w:rPr>
          <w:rFonts w:ascii="Arial Narrow" w:hAnsi="Arial Narrow" w:cs="Arial Narrow"/>
          <w:bCs/>
        </w:rPr>
        <w:t>GGB spent 95.50% of its allocation</w:t>
      </w:r>
      <w:r>
        <w:rPr>
          <w:rFonts w:ascii="Arial Narrow" w:hAnsi="Arial Narrow" w:cs="Arial Narrow"/>
          <w:bCs/>
        </w:rPr>
        <w:t xml:space="preserve"> which translated to </w:t>
      </w:r>
      <w:r w:rsidRPr="004C581B">
        <w:rPr>
          <w:rFonts w:ascii="Arial Narrow" w:hAnsi="Arial Narrow" w:cs="Arial Narrow"/>
          <w:bCs/>
        </w:rPr>
        <w:t>R218 584</w:t>
      </w:r>
      <w:r>
        <w:rPr>
          <w:rFonts w:ascii="Arial Narrow" w:hAnsi="Arial Narrow" w:cs="Arial Narrow"/>
          <w:bCs/>
        </w:rPr>
        <w:t> </w:t>
      </w:r>
      <w:r w:rsidRPr="004C581B">
        <w:rPr>
          <w:rFonts w:ascii="Arial Narrow" w:hAnsi="Arial Narrow" w:cs="Arial Narrow"/>
          <w:bCs/>
        </w:rPr>
        <w:t>000</w:t>
      </w:r>
      <w:r>
        <w:rPr>
          <w:rFonts w:ascii="Arial Narrow" w:hAnsi="Arial Narrow" w:cs="Arial Narrow"/>
          <w:bCs/>
        </w:rPr>
        <w:t xml:space="preserve"> (R218m)</w:t>
      </w:r>
      <w:r w:rsidRPr="004C581B">
        <w:rPr>
          <w:rFonts w:ascii="Arial Narrow" w:hAnsi="Arial Narrow" w:cs="Arial Narrow"/>
          <w:bCs/>
        </w:rPr>
        <w:t xml:space="preserve"> against R228 884</w:t>
      </w:r>
      <w:r>
        <w:rPr>
          <w:rFonts w:ascii="Arial Narrow" w:hAnsi="Arial Narrow" w:cs="Arial Narrow"/>
          <w:bCs/>
        </w:rPr>
        <w:t> </w:t>
      </w:r>
      <w:r w:rsidRPr="004C581B">
        <w:rPr>
          <w:rFonts w:ascii="Arial Narrow" w:hAnsi="Arial Narrow" w:cs="Arial Narrow"/>
          <w:bCs/>
        </w:rPr>
        <w:t>000</w:t>
      </w:r>
      <w:r>
        <w:rPr>
          <w:rFonts w:ascii="Arial Narrow" w:hAnsi="Arial Narrow" w:cs="Arial Narrow"/>
          <w:bCs/>
        </w:rPr>
        <w:t xml:space="preserve"> (R228.8m) that was budgeted. </w:t>
      </w:r>
      <w:r w:rsidRPr="004C581B">
        <w:rPr>
          <w:rFonts w:ascii="Arial Narrow" w:hAnsi="Arial Narrow" w:cs="Arial Narrow"/>
          <w:bCs/>
        </w:rPr>
        <w:t>The underspending</w:t>
      </w:r>
      <w:r>
        <w:rPr>
          <w:rFonts w:ascii="Arial Narrow" w:hAnsi="Arial Narrow" w:cs="Arial Narrow"/>
          <w:bCs/>
        </w:rPr>
        <w:t xml:space="preserve"> reflected here is </w:t>
      </w:r>
      <w:r w:rsidRPr="004C581B">
        <w:rPr>
          <w:rFonts w:ascii="Arial Narrow" w:hAnsi="Arial Narrow" w:cs="Arial Narrow"/>
          <w:bCs/>
        </w:rPr>
        <w:t xml:space="preserve">on Administration, Responsible gambling, and socioeconomic development, mainly apparent on Administration. The latter is due to the high vacancy rate at 26% and delays experienced </w:t>
      </w:r>
      <w:r>
        <w:rPr>
          <w:rFonts w:ascii="Arial Narrow" w:hAnsi="Arial Narrow" w:cs="Arial Narrow"/>
          <w:bCs/>
        </w:rPr>
        <w:t xml:space="preserve">in </w:t>
      </w:r>
      <w:r w:rsidRPr="004C581B">
        <w:rPr>
          <w:rFonts w:ascii="Arial Narrow" w:hAnsi="Arial Narrow" w:cs="Arial Narrow"/>
          <w:bCs/>
        </w:rPr>
        <w:t>filling executive and senior po</w:t>
      </w:r>
      <w:r>
        <w:rPr>
          <w:rFonts w:ascii="Arial Narrow" w:hAnsi="Arial Narrow" w:cs="Arial Narrow"/>
          <w:bCs/>
        </w:rPr>
        <w:t>sitions</w:t>
      </w:r>
      <w:r w:rsidRPr="004C581B">
        <w:rPr>
          <w:rFonts w:ascii="Arial Narrow" w:hAnsi="Arial Narrow" w:cs="Arial Narrow"/>
          <w:bCs/>
        </w:rPr>
        <w:t>.</w:t>
      </w:r>
    </w:p>
    <w:p w14:paraId="64E3A497" w14:textId="77777777" w:rsidR="004C581B" w:rsidRDefault="004C581B" w:rsidP="002166EF">
      <w:pPr>
        <w:spacing w:line="276" w:lineRule="auto"/>
        <w:rPr>
          <w:rFonts w:ascii="Arial Narrow" w:hAnsi="Arial Narrow" w:cs="Arial Narrow"/>
          <w:bCs/>
          <w:highlight w:val="yellow"/>
        </w:rPr>
      </w:pPr>
    </w:p>
    <w:p w14:paraId="27290233" w14:textId="77777777" w:rsidR="00F20604" w:rsidRDefault="006554C6" w:rsidP="006554C6">
      <w:pPr>
        <w:spacing w:line="276" w:lineRule="auto"/>
        <w:rPr>
          <w:rFonts w:ascii="Arial Narrow" w:hAnsi="Arial Narrow" w:cs="Arial Narrow"/>
          <w:bCs/>
        </w:rPr>
      </w:pPr>
      <w:r>
        <w:rPr>
          <w:rFonts w:ascii="Arial Narrow" w:hAnsi="Arial Narrow" w:cs="Arial Narrow"/>
          <w:bCs/>
        </w:rPr>
        <w:t>The Committee note that i</w:t>
      </w:r>
      <w:r w:rsidRPr="006554C6">
        <w:rPr>
          <w:rFonts w:ascii="Arial Narrow" w:hAnsi="Arial Narrow" w:cs="Arial Narrow"/>
          <w:bCs/>
        </w:rPr>
        <w:t>n the</w:t>
      </w:r>
      <w:r>
        <w:rPr>
          <w:rFonts w:ascii="Arial Narrow" w:hAnsi="Arial Narrow" w:cs="Arial Narrow"/>
          <w:bCs/>
        </w:rPr>
        <w:t xml:space="preserve"> year under review t</w:t>
      </w:r>
      <w:r w:rsidRPr="006554C6">
        <w:rPr>
          <w:rFonts w:ascii="Arial Narrow" w:hAnsi="Arial Narrow" w:cs="Arial Narrow"/>
          <w:bCs/>
        </w:rPr>
        <w:t>he GGB distributed gambling taxes and levies amounting to R1 208 575</w:t>
      </w:r>
      <w:r>
        <w:rPr>
          <w:rFonts w:ascii="Arial Narrow" w:hAnsi="Arial Narrow" w:cs="Arial Narrow"/>
          <w:bCs/>
        </w:rPr>
        <w:t> </w:t>
      </w:r>
      <w:r w:rsidRPr="006554C6">
        <w:rPr>
          <w:rFonts w:ascii="Arial Narrow" w:hAnsi="Arial Narrow" w:cs="Arial Narrow"/>
          <w:bCs/>
        </w:rPr>
        <w:t>000</w:t>
      </w:r>
      <w:r>
        <w:rPr>
          <w:rFonts w:ascii="Arial Narrow" w:hAnsi="Arial Narrow" w:cs="Arial Narrow"/>
          <w:bCs/>
        </w:rPr>
        <w:t xml:space="preserve"> (R 1.2m)</w:t>
      </w:r>
      <w:r w:rsidRPr="006554C6">
        <w:rPr>
          <w:rFonts w:ascii="Arial Narrow" w:hAnsi="Arial Narrow" w:cs="Arial Narrow"/>
          <w:bCs/>
        </w:rPr>
        <w:t xml:space="preserve"> in tax revenue against an estimated R1 149 187</w:t>
      </w:r>
      <w:r>
        <w:rPr>
          <w:rFonts w:ascii="Arial Narrow" w:hAnsi="Arial Narrow" w:cs="Arial Narrow"/>
          <w:bCs/>
        </w:rPr>
        <w:t> </w:t>
      </w:r>
      <w:r w:rsidRPr="006554C6">
        <w:rPr>
          <w:rFonts w:ascii="Arial Narrow" w:hAnsi="Arial Narrow" w:cs="Arial Narrow"/>
          <w:bCs/>
        </w:rPr>
        <w:t>000</w:t>
      </w:r>
      <w:r>
        <w:rPr>
          <w:rFonts w:ascii="Arial Narrow" w:hAnsi="Arial Narrow" w:cs="Arial Narrow"/>
          <w:bCs/>
        </w:rPr>
        <w:t xml:space="preserve"> (R 1.1m)</w:t>
      </w:r>
      <w:r w:rsidRPr="006554C6">
        <w:rPr>
          <w:rFonts w:ascii="Arial Narrow" w:hAnsi="Arial Narrow" w:cs="Arial Narrow"/>
          <w:bCs/>
        </w:rPr>
        <w:t xml:space="preserve">, which represents 105.17% This </w:t>
      </w:r>
      <w:r>
        <w:rPr>
          <w:rFonts w:ascii="Arial Narrow" w:hAnsi="Arial Narrow" w:cs="Arial Narrow"/>
          <w:bCs/>
        </w:rPr>
        <w:t xml:space="preserve">is commendable as it </w:t>
      </w:r>
      <w:r w:rsidRPr="006554C6">
        <w:rPr>
          <w:rFonts w:ascii="Arial Narrow" w:hAnsi="Arial Narrow" w:cs="Arial Narrow"/>
          <w:bCs/>
        </w:rPr>
        <w:t xml:space="preserve">shows an increase of over 22% from the preceding </w:t>
      </w:r>
      <w:r>
        <w:rPr>
          <w:rFonts w:ascii="Arial Narrow" w:hAnsi="Arial Narrow" w:cs="Arial Narrow"/>
          <w:bCs/>
        </w:rPr>
        <w:t>financial year</w:t>
      </w:r>
      <w:r w:rsidRPr="006554C6">
        <w:rPr>
          <w:rFonts w:ascii="Arial Narrow" w:hAnsi="Arial Narrow" w:cs="Arial Narrow"/>
          <w:bCs/>
        </w:rPr>
        <w:t xml:space="preserve">. The improved performance suggests that the gambling industry </w:t>
      </w:r>
      <w:r w:rsidR="00F20604">
        <w:rPr>
          <w:rFonts w:ascii="Arial Narrow" w:hAnsi="Arial Narrow" w:cs="Arial Narrow"/>
          <w:bCs/>
        </w:rPr>
        <w:t>maybe</w:t>
      </w:r>
      <w:r w:rsidRPr="006554C6">
        <w:rPr>
          <w:rFonts w:ascii="Arial Narrow" w:hAnsi="Arial Narrow" w:cs="Arial Narrow"/>
          <w:bCs/>
        </w:rPr>
        <w:t xml:space="preserve"> recovering post Covid-19</w:t>
      </w:r>
      <w:r w:rsidR="00F20604">
        <w:rPr>
          <w:rFonts w:ascii="Arial Narrow" w:hAnsi="Arial Narrow" w:cs="Arial Narrow"/>
          <w:bCs/>
        </w:rPr>
        <w:t xml:space="preserve"> pandemic</w:t>
      </w:r>
      <w:r w:rsidRPr="006554C6">
        <w:rPr>
          <w:rFonts w:ascii="Arial Narrow" w:hAnsi="Arial Narrow" w:cs="Arial Narrow"/>
          <w:bCs/>
        </w:rPr>
        <w:t xml:space="preserve">. </w:t>
      </w:r>
    </w:p>
    <w:p w14:paraId="7AE579C1" w14:textId="77777777" w:rsidR="00F20604" w:rsidRDefault="00F20604" w:rsidP="006554C6">
      <w:pPr>
        <w:spacing w:line="276" w:lineRule="auto"/>
        <w:rPr>
          <w:rFonts w:ascii="Arial Narrow" w:hAnsi="Arial Narrow" w:cs="Arial Narrow"/>
          <w:bCs/>
        </w:rPr>
      </w:pPr>
    </w:p>
    <w:p w14:paraId="23FBB322" w14:textId="485F7761" w:rsidR="006554C6" w:rsidRDefault="00F20604" w:rsidP="002166EF">
      <w:pPr>
        <w:spacing w:line="276" w:lineRule="auto"/>
        <w:rPr>
          <w:rFonts w:ascii="Arial Narrow" w:hAnsi="Arial Narrow" w:cs="Arial Narrow"/>
          <w:bCs/>
        </w:rPr>
      </w:pPr>
      <w:r w:rsidRPr="00F20604">
        <w:rPr>
          <w:rFonts w:ascii="Arial Narrow" w:hAnsi="Arial Narrow" w:cs="Arial Narrow"/>
          <w:bCs/>
        </w:rPr>
        <w:t>In terms of the APP targets performance, the GGB attained 18 of its 23</w:t>
      </w:r>
      <w:r>
        <w:rPr>
          <w:rFonts w:ascii="Arial Narrow" w:hAnsi="Arial Narrow" w:cs="Arial Narrow"/>
          <w:bCs/>
        </w:rPr>
        <w:t xml:space="preserve"> constitutes </w:t>
      </w:r>
      <w:r w:rsidRPr="00F20604">
        <w:rPr>
          <w:rFonts w:ascii="Arial Narrow" w:hAnsi="Arial Narrow" w:cs="Arial Narrow"/>
          <w:bCs/>
        </w:rPr>
        <w:t>78.26%</w:t>
      </w:r>
      <w:r>
        <w:rPr>
          <w:rFonts w:ascii="Arial Narrow" w:hAnsi="Arial Narrow" w:cs="Arial Narrow"/>
          <w:bCs/>
        </w:rPr>
        <w:t xml:space="preserve"> attainment of set targets, in comparison to the previous financial year this shows a </w:t>
      </w:r>
      <w:r w:rsidRPr="00F20604">
        <w:rPr>
          <w:rFonts w:ascii="Arial Narrow" w:hAnsi="Arial Narrow" w:cs="Arial Narrow"/>
          <w:bCs/>
        </w:rPr>
        <w:t>decline when compared with 91.30%</w:t>
      </w:r>
      <w:r>
        <w:rPr>
          <w:rFonts w:ascii="Arial Narrow" w:hAnsi="Arial Narrow" w:cs="Arial Narrow"/>
          <w:bCs/>
        </w:rPr>
        <w:t xml:space="preserve"> attainment of targets. </w:t>
      </w:r>
      <w:r w:rsidRPr="00F20604">
        <w:rPr>
          <w:rFonts w:ascii="Arial Narrow" w:hAnsi="Arial Narrow" w:cs="Arial Narrow"/>
          <w:bCs/>
        </w:rPr>
        <w:t>The non-attained targets include, 4 business units not implemented due to quality control by service provider and 30 Bookmarker licenses not issued due to the absence of a Board, coupled with the</w:t>
      </w:r>
      <w:r>
        <w:rPr>
          <w:rFonts w:ascii="Arial Narrow" w:hAnsi="Arial Narrow" w:cs="Arial Narrow"/>
          <w:bCs/>
        </w:rPr>
        <w:t xml:space="preserve"> none-</w:t>
      </w:r>
      <w:r w:rsidRPr="00F20604">
        <w:rPr>
          <w:rFonts w:ascii="Arial Narrow" w:hAnsi="Arial Narrow" w:cs="Arial Narrow"/>
          <w:bCs/>
        </w:rPr>
        <w:t xml:space="preserve">payment of suppliers within 15 days due to delays for approval. The GGB has stressed during the quarterly responses that it has since strengthened internal controls. Notably, 43 Bookmarker licenses were issued late after the new Board was appointed. This coupled with the 80% Bingo licenses with both 55% management and ownership control </w:t>
      </w:r>
      <w:r w:rsidRPr="00F20604">
        <w:rPr>
          <w:rFonts w:ascii="Arial Narrow" w:hAnsi="Arial Narrow" w:cs="Arial Narrow"/>
          <w:bCs/>
        </w:rPr>
        <w:lastRenderedPageBreak/>
        <w:t>issued to the historically disadvantaged show commitment to transforming the industry. In addition, there is a confusion related to % reduction in problem gambling, it has attained 6.5% against 7%, yet reported to have attained this target, which is an anomaly. Conversely, it has attained inter alia clean audit, 100% licenses applications processed; 26 gambling awareness initiatives; and 100% non-compliance incidences investigated, 50 youth skilled through Tshepo 1 million as well as R10</w:t>
      </w:r>
      <w:r>
        <w:rPr>
          <w:rFonts w:ascii="Arial Narrow" w:hAnsi="Arial Narrow" w:cs="Arial Narrow"/>
          <w:bCs/>
        </w:rPr>
        <w:t> 000 000 (R10m)</w:t>
      </w:r>
      <w:r w:rsidRPr="00F20604">
        <w:rPr>
          <w:rFonts w:ascii="Arial Narrow" w:hAnsi="Arial Narrow" w:cs="Arial Narrow"/>
          <w:bCs/>
        </w:rPr>
        <w:t xml:space="preserve"> distributed</w:t>
      </w:r>
      <w:r>
        <w:rPr>
          <w:rFonts w:ascii="Arial Narrow" w:hAnsi="Arial Narrow" w:cs="Arial Narrow"/>
          <w:bCs/>
        </w:rPr>
        <w:t xml:space="preserve"> against</w:t>
      </w:r>
      <w:r w:rsidRPr="00F20604">
        <w:rPr>
          <w:rFonts w:ascii="Arial Narrow" w:hAnsi="Arial Narrow" w:cs="Arial Narrow"/>
          <w:bCs/>
        </w:rPr>
        <w:t xml:space="preserve"> R</w:t>
      </w:r>
      <w:r>
        <w:rPr>
          <w:rFonts w:ascii="Arial Narrow" w:hAnsi="Arial Narrow" w:cs="Arial Narrow"/>
          <w:bCs/>
        </w:rPr>
        <w:t xml:space="preserve"> </w:t>
      </w:r>
      <w:r w:rsidRPr="00F20604">
        <w:rPr>
          <w:rFonts w:ascii="Arial Narrow" w:hAnsi="Arial Narrow" w:cs="Arial Narrow"/>
          <w:bCs/>
        </w:rPr>
        <w:t>24</w:t>
      </w:r>
      <w:r>
        <w:rPr>
          <w:rFonts w:ascii="Arial Narrow" w:hAnsi="Arial Narrow" w:cs="Arial Narrow"/>
          <w:bCs/>
        </w:rPr>
        <w:t> 000 000 (R24m)</w:t>
      </w:r>
      <w:r w:rsidRPr="00F20604">
        <w:rPr>
          <w:rFonts w:ascii="Arial Narrow" w:hAnsi="Arial Narrow" w:cs="Arial Narrow"/>
          <w:bCs/>
        </w:rPr>
        <w:t xml:space="preserve"> million) to CSI and SDF, and R</w:t>
      </w:r>
      <w:r>
        <w:rPr>
          <w:rFonts w:ascii="Arial Narrow" w:hAnsi="Arial Narrow" w:cs="Arial Narrow"/>
          <w:bCs/>
        </w:rPr>
        <w:t xml:space="preserve"> </w:t>
      </w:r>
      <w:r w:rsidRPr="00F20604">
        <w:rPr>
          <w:rFonts w:ascii="Arial Narrow" w:hAnsi="Arial Narrow" w:cs="Arial Narrow"/>
          <w:bCs/>
        </w:rPr>
        <w:t>5</w:t>
      </w:r>
      <w:r>
        <w:rPr>
          <w:rFonts w:ascii="Arial Narrow" w:hAnsi="Arial Narrow" w:cs="Arial Narrow"/>
          <w:bCs/>
        </w:rPr>
        <w:t> </w:t>
      </w:r>
      <w:r w:rsidRPr="00F20604">
        <w:rPr>
          <w:rFonts w:ascii="Arial Narrow" w:hAnsi="Arial Narrow" w:cs="Arial Narrow"/>
          <w:bCs/>
        </w:rPr>
        <w:t>9</w:t>
      </w:r>
      <w:r>
        <w:rPr>
          <w:rFonts w:ascii="Arial Narrow" w:hAnsi="Arial Narrow" w:cs="Arial Narrow"/>
          <w:bCs/>
        </w:rPr>
        <w:t xml:space="preserve">00 000 (R5,9m) </w:t>
      </w:r>
      <w:r w:rsidRPr="00F20604">
        <w:rPr>
          <w:rFonts w:ascii="Arial Narrow" w:hAnsi="Arial Narrow" w:cs="Arial Narrow"/>
          <w:bCs/>
        </w:rPr>
        <w:t xml:space="preserve">for CSI (disaster in Khutsong sinkhole). </w:t>
      </w:r>
      <w:r w:rsidR="00F7234B">
        <w:rPr>
          <w:rFonts w:ascii="Arial Narrow" w:hAnsi="Arial Narrow" w:cs="Arial Narrow"/>
          <w:bCs/>
        </w:rPr>
        <w:t xml:space="preserve">The distributed funds were for </w:t>
      </w:r>
      <w:r w:rsidR="00F7234B" w:rsidRPr="00F7234B">
        <w:rPr>
          <w:rFonts w:ascii="Arial Narrow" w:hAnsi="Arial Narrow" w:cs="Arial Narrow"/>
          <w:bCs/>
        </w:rPr>
        <w:t>the building of the combi courts across the 5 regions of</w:t>
      </w:r>
      <w:r w:rsidR="00F7234B">
        <w:rPr>
          <w:rFonts w:ascii="Arial Narrow" w:hAnsi="Arial Narrow" w:cs="Arial Narrow"/>
          <w:bCs/>
        </w:rPr>
        <w:t xml:space="preserve"> the</w:t>
      </w:r>
      <w:r w:rsidR="00F7234B" w:rsidRPr="00F7234B">
        <w:rPr>
          <w:rFonts w:ascii="Arial Narrow" w:hAnsi="Arial Narrow" w:cs="Arial Narrow"/>
          <w:bCs/>
        </w:rPr>
        <w:t xml:space="preserve"> Gauteng</w:t>
      </w:r>
      <w:r w:rsidR="00F7234B">
        <w:rPr>
          <w:rFonts w:ascii="Arial Narrow" w:hAnsi="Arial Narrow" w:cs="Arial Narrow"/>
          <w:bCs/>
        </w:rPr>
        <w:t xml:space="preserve"> Province</w:t>
      </w:r>
      <w:r w:rsidR="00F7234B" w:rsidRPr="00F7234B">
        <w:rPr>
          <w:rFonts w:ascii="Arial Narrow" w:hAnsi="Arial Narrow" w:cs="Arial Narrow"/>
          <w:bCs/>
        </w:rPr>
        <w:t>. The Khutsong National disaster was funded with R5</w:t>
      </w:r>
      <w:r w:rsidR="00F7234B">
        <w:rPr>
          <w:rFonts w:ascii="Arial Narrow" w:hAnsi="Arial Narrow" w:cs="Arial Narrow"/>
          <w:bCs/>
        </w:rPr>
        <w:t> </w:t>
      </w:r>
      <w:r w:rsidR="00F7234B" w:rsidRPr="00F7234B">
        <w:rPr>
          <w:rFonts w:ascii="Arial Narrow" w:hAnsi="Arial Narrow" w:cs="Arial Narrow"/>
          <w:bCs/>
        </w:rPr>
        <w:t>4</w:t>
      </w:r>
      <w:r w:rsidR="00F7234B">
        <w:rPr>
          <w:rFonts w:ascii="Arial Narrow" w:hAnsi="Arial Narrow" w:cs="Arial Narrow"/>
          <w:bCs/>
        </w:rPr>
        <w:t>00 000 (R 5.4m)</w:t>
      </w:r>
      <w:r w:rsidR="00F7234B" w:rsidRPr="00F7234B">
        <w:rPr>
          <w:rFonts w:ascii="Arial Narrow" w:hAnsi="Arial Narrow" w:cs="Arial Narrow"/>
          <w:bCs/>
        </w:rPr>
        <w:t xml:space="preserve"> and the R500 000 was then sponsoring back to school campaign for school shoes and related accessories of going to school for the school children.</w:t>
      </w:r>
    </w:p>
    <w:p w14:paraId="1B141BFC" w14:textId="77777777" w:rsidR="00F7234B" w:rsidRDefault="00F7234B" w:rsidP="002166EF">
      <w:pPr>
        <w:spacing w:line="276" w:lineRule="auto"/>
        <w:rPr>
          <w:rFonts w:ascii="Arial Narrow" w:hAnsi="Arial Narrow" w:cs="Arial Narrow"/>
          <w:bCs/>
        </w:rPr>
      </w:pPr>
    </w:p>
    <w:p w14:paraId="272A139E" w14:textId="37610C10" w:rsidR="00F7234B" w:rsidRPr="00F7234B" w:rsidRDefault="00F7234B" w:rsidP="00F7234B">
      <w:pPr>
        <w:spacing w:line="276" w:lineRule="auto"/>
        <w:rPr>
          <w:rFonts w:ascii="Arial Narrow" w:hAnsi="Arial Narrow" w:cs="Arial Narrow"/>
          <w:bCs/>
        </w:rPr>
      </w:pPr>
      <w:r>
        <w:rPr>
          <w:rFonts w:ascii="Arial Narrow" w:hAnsi="Arial Narrow" w:cs="Arial Narrow"/>
          <w:bCs/>
        </w:rPr>
        <w:t xml:space="preserve">The Committee noted that the GGB </w:t>
      </w:r>
      <w:r w:rsidRPr="00F7234B">
        <w:rPr>
          <w:rFonts w:ascii="Arial Narrow" w:hAnsi="Arial Narrow" w:cs="Arial Narrow"/>
          <w:bCs/>
        </w:rPr>
        <w:t>exceeded the</w:t>
      </w:r>
      <w:r>
        <w:rPr>
          <w:rFonts w:ascii="Arial Narrow" w:hAnsi="Arial Narrow" w:cs="Arial Narrow"/>
          <w:bCs/>
        </w:rPr>
        <w:t xml:space="preserve"> target related to the</w:t>
      </w:r>
      <w:r w:rsidRPr="00F7234B">
        <w:rPr>
          <w:rFonts w:ascii="Arial Narrow" w:hAnsi="Arial Narrow" w:cs="Arial Narrow"/>
          <w:bCs/>
        </w:rPr>
        <w:t xml:space="preserve"> reduction in illegal gambling sites </w:t>
      </w:r>
      <w:r>
        <w:rPr>
          <w:rFonts w:ascii="Arial Narrow" w:hAnsi="Arial Narrow" w:cs="Arial Narrow"/>
          <w:bCs/>
        </w:rPr>
        <w:t xml:space="preserve">with </w:t>
      </w:r>
      <w:r w:rsidRPr="00F7234B">
        <w:rPr>
          <w:rFonts w:ascii="Arial Narrow" w:hAnsi="Arial Narrow" w:cs="Arial Narrow"/>
          <w:bCs/>
        </w:rPr>
        <w:t>478</w:t>
      </w:r>
      <w:r>
        <w:rPr>
          <w:rFonts w:ascii="Arial Narrow" w:hAnsi="Arial Narrow" w:cs="Arial Narrow"/>
          <w:bCs/>
        </w:rPr>
        <w:t xml:space="preserve"> gambling </w:t>
      </w:r>
      <w:proofErr w:type="gramStart"/>
      <w:r>
        <w:rPr>
          <w:rFonts w:ascii="Arial Narrow" w:hAnsi="Arial Narrow" w:cs="Arial Narrow"/>
          <w:bCs/>
        </w:rPr>
        <w:t>site</w:t>
      </w:r>
      <w:proofErr w:type="gramEnd"/>
      <w:r>
        <w:rPr>
          <w:rFonts w:ascii="Arial Narrow" w:hAnsi="Arial Narrow" w:cs="Arial Narrow"/>
          <w:bCs/>
        </w:rPr>
        <w:t xml:space="preserve"> closed</w:t>
      </w:r>
      <w:r w:rsidRPr="00F7234B">
        <w:rPr>
          <w:rFonts w:ascii="Arial Narrow" w:hAnsi="Arial Narrow" w:cs="Arial Narrow"/>
          <w:bCs/>
        </w:rPr>
        <w:t xml:space="preserve"> against</w:t>
      </w:r>
      <w:r>
        <w:rPr>
          <w:rFonts w:ascii="Arial Narrow" w:hAnsi="Arial Narrow" w:cs="Arial Narrow"/>
          <w:bCs/>
        </w:rPr>
        <w:t xml:space="preserve"> the planned</w:t>
      </w:r>
      <w:r w:rsidRPr="00F7234B">
        <w:rPr>
          <w:rFonts w:ascii="Arial Narrow" w:hAnsi="Arial Narrow" w:cs="Arial Narrow"/>
          <w:bCs/>
        </w:rPr>
        <w:t xml:space="preserve"> 400 owing to collaborating with law enforcement and attained a target of 1 in establishing a dedicated SAPS Unit</w:t>
      </w:r>
      <w:r>
        <w:rPr>
          <w:rFonts w:ascii="Arial Narrow" w:hAnsi="Arial Narrow" w:cs="Arial Narrow"/>
          <w:bCs/>
        </w:rPr>
        <w:t xml:space="preserve">. Despite the collaboration, the </w:t>
      </w:r>
      <w:r w:rsidRPr="00F7234B">
        <w:rPr>
          <w:rFonts w:ascii="Arial Narrow" w:hAnsi="Arial Narrow" w:cs="Arial Narrow"/>
          <w:bCs/>
        </w:rPr>
        <w:t>Provincial Commissioner of</w:t>
      </w:r>
      <w:r>
        <w:rPr>
          <w:rFonts w:ascii="Arial Narrow" w:hAnsi="Arial Narrow" w:cs="Arial Narrow"/>
          <w:bCs/>
        </w:rPr>
        <w:t xml:space="preserve"> the</w:t>
      </w:r>
      <w:r w:rsidRPr="00F7234B">
        <w:rPr>
          <w:rFonts w:ascii="Arial Narrow" w:hAnsi="Arial Narrow" w:cs="Arial Narrow"/>
          <w:bCs/>
        </w:rPr>
        <w:t xml:space="preserve"> S</w:t>
      </w:r>
      <w:r>
        <w:rPr>
          <w:rFonts w:ascii="Arial Narrow" w:hAnsi="Arial Narrow" w:cs="Arial Narrow"/>
          <w:bCs/>
        </w:rPr>
        <w:t xml:space="preserve">outh </w:t>
      </w:r>
      <w:r w:rsidRPr="00F7234B">
        <w:rPr>
          <w:rFonts w:ascii="Arial Narrow" w:hAnsi="Arial Narrow" w:cs="Arial Narrow"/>
          <w:bCs/>
        </w:rPr>
        <w:t>A</w:t>
      </w:r>
      <w:r>
        <w:rPr>
          <w:rFonts w:ascii="Arial Narrow" w:hAnsi="Arial Narrow" w:cs="Arial Narrow"/>
          <w:bCs/>
        </w:rPr>
        <w:t xml:space="preserve">frican </w:t>
      </w:r>
      <w:r w:rsidRPr="00F7234B">
        <w:rPr>
          <w:rFonts w:ascii="Arial Narrow" w:hAnsi="Arial Narrow" w:cs="Arial Narrow"/>
          <w:bCs/>
        </w:rPr>
        <w:t>P</w:t>
      </w:r>
      <w:r>
        <w:rPr>
          <w:rFonts w:ascii="Arial Narrow" w:hAnsi="Arial Narrow" w:cs="Arial Narrow"/>
          <w:bCs/>
        </w:rPr>
        <w:t xml:space="preserve">olice </w:t>
      </w:r>
      <w:r w:rsidRPr="00F7234B">
        <w:rPr>
          <w:rFonts w:ascii="Arial Narrow" w:hAnsi="Arial Narrow" w:cs="Arial Narrow"/>
          <w:bCs/>
        </w:rPr>
        <w:t>S</w:t>
      </w:r>
      <w:r>
        <w:rPr>
          <w:rFonts w:ascii="Arial Narrow" w:hAnsi="Arial Narrow" w:cs="Arial Narrow"/>
          <w:bCs/>
        </w:rPr>
        <w:t xml:space="preserve">ervices </w:t>
      </w:r>
      <w:r w:rsidR="00F7073B">
        <w:rPr>
          <w:rFonts w:ascii="Arial Narrow" w:hAnsi="Arial Narrow" w:cs="Arial Narrow"/>
          <w:bCs/>
        </w:rPr>
        <w:t>(SAPS)</w:t>
      </w:r>
      <w:r>
        <w:rPr>
          <w:rFonts w:ascii="Arial Narrow" w:hAnsi="Arial Narrow" w:cs="Arial Narrow"/>
          <w:bCs/>
        </w:rPr>
        <w:t xml:space="preserve"> </w:t>
      </w:r>
      <w:r w:rsidRPr="00F7234B">
        <w:rPr>
          <w:rFonts w:ascii="Arial Narrow" w:hAnsi="Arial Narrow" w:cs="Arial Narrow"/>
          <w:bCs/>
        </w:rPr>
        <w:t xml:space="preserve">refused to provide a dedicated SAPS Unit, however GGB was invited to the Provincial joint operational and intelligence structure (PROVJOINTS) where a presentation was made on the threat of illegal gambling. PROVJOINTS resolved to establish a priority </w:t>
      </w:r>
      <w:r w:rsidR="00F7073B">
        <w:rPr>
          <w:rFonts w:ascii="Arial Narrow" w:hAnsi="Arial Narrow" w:cs="Arial Narrow"/>
          <w:bCs/>
        </w:rPr>
        <w:t>C</w:t>
      </w:r>
      <w:r w:rsidRPr="00F7234B">
        <w:rPr>
          <w:rFonts w:ascii="Arial Narrow" w:hAnsi="Arial Narrow" w:cs="Arial Narrow"/>
          <w:bCs/>
        </w:rPr>
        <w:t xml:space="preserve">ommittee to address illegal gambling. The priority </w:t>
      </w:r>
      <w:r w:rsidR="00F7073B">
        <w:rPr>
          <w:rFonts w:ascii="Arial Narrow" w:hAnsi="Arial Narrow" w:cs="Arial Narrow"/>
          <w:bCs/>
        </w:rPr>
        <w:t>C</w:t>
      </w:r>
      <w:r w:rsidRPr="00F7234B">
        <w:rPr>
          <w:rFonts w:ascii="Arial Narrow" w:hAnsi="Arial Narrow" w:cs="Arial Narrow"/>
          <w:bCs/>
        </w:rPr>
        <w:t>ommittee held its first meeting on 13 September 2023 and the next meeting is scheduled for 06 December 2023. PROVJOINTS further resolved that the threat of illegal gambling machines must be addressed by the SAPS Flash Unit on a short</w:t>
      </w:r>
      <w:r w:rsidR="00F7073B">
        <w:rPr>
          <w:rFonts w:ascii="Arial Narrow" w:hAnsi="Arial Narrow" w:cs="Arial Narrow"/>
          <w:bCs/>
        </w:rPr>
        <w:t>-</w:t>
      </w:r>
      <w:r w:rsidRPr="00F7234B">
        <w:rPr>
          <w:rFonts w:ascii="Arial Narrow" w:hAnsi="Arial Narrow" w:cs="Arial Narrow"/>
          <w:bCs/>
        </w:rPr>
        <w:t xml:space="preserve">term basis, which lead to the overachievement in raids conducted </w:t>
      </w:r>
      <w:r w:rsidR="00F7073B">
        <w:rPr>
          <w:rFonts w:ascii="Arial Narrow" w:hAnsi="Arial Narrow" w:cs="Arial Narrow"/>
          <w:bCs/>
        </w:rPr>
        <w:t>in the year under review</w:t>
      </w:r>
      <w:r w:rsidRPr="00F7234B">
        <w:rPr>
          <w:rFonts w:ascii="Arial Narrow" w:hAnsi="Arial Narrow" w:cs="Arial Narrow"/>
          <w:bCs/>
        </w:rPr>
        <w:t>.</w:t>
      </w:r>
      <w:r w:rsidR="00F7073B">
        <w:rPr>
          <w:rFonts w:ascii="Arial Narrow" w:hAnsi="Arial Narrow" w:cs="Arial Narrow"/>
          <w:bCs/>
        </w:rPr>
        <w:t xml:space="preserve"> The Committee is encouraged by this initiative noting that the GGB had experienced challenges in this regard. </w:t>
      </w:r>
    </w:p>
    <w:p w14:paraId="143F61F4" w14:textId="77777777" w:rsidR="00F7234B" w:rsidRPr="00F7234B" w:rsidRDefault="00F7234B" w:rsidP="00F7234B">
      <w:pPr>
        <w:spacing w:line="276" w:lineRule="auto"/>
        <w:rPr>
          <w:rFonts w:ascii="Arial Narrow" w:hAnsi="Arial Narrow" w:cs="Arial Narrow"/>
          <w:bCs/>
        </w:rPr>
      </w:pPr>
    </w:p>
    <w:p w14:paraId="3ACABA15" w14:textId="07A47988" w:rsidR="00F7234B" w:rsidRDefault="00F7234B" w:rsidP="00F7234B">
      <w:pPr>
        <w:spacing w:line="276" w:lineRule="auto"/>
        <w:rPr>
          <w:rFonts w:ascii="Arial Narrow" w:hAnsi="Arial Narrow" w:cs="Arial Narrow"/>
          <w:bCs/>
        </w:rPr>
      </w:pPr>
      <w:r w:rsidRPr="00F7234B">
        <w:rPr>
          <w:rFonts w:ascii="Arial Narrow" w:hAnsi="Arial Narrow" w:cs="Arial Narrow"/>
          <w:bCs/>
        </w:rPr>
        <w:t>The</w:t>
      </w:r>
      <w:r w:rsidR="00F7073B">
        <w:rPr>
          <w:rFonts w:ascii="Arial Narrow" w:hAnsi="Arial Narrow" w:cs="Arial Narrow"/>
          <w:bCs/>
        </w:rPr>
        <w:t xml:space="preserve"> entity reported that the filling of the </w:t>
      </w:r>
      <w:r w:rsidRPr="00F7234B">
        <w:rPr>
          <w:rFonts w:ascii="Arial Narrow" w:hAnsi="Arial Narrow" w:cs="Arial Narrow"/>
          <w:bCs/>
        </w:rPr>
        <w:t>vacant Chief Executive Officer (CEO) po</w:t>
      </w:r>
      <w:r w:rsidR="00F7073B">
        <w:rPr>
          <w:rFonts w:ascii="Arial Narrow" w:hAnsi="Arial Narrow" w:cs="Arial Narrow"/>
          <w:bCs/>
        </w:rPr>
        <w:t xml:space="preserve">sition, is in progress and was tabled </w:t>
      </w:r>
      <w:r w:rsidRPr="00F7234B">
        <w:rPr>
          <w:rFonts w:ascii="Arial Narrow" w:hAnsi="Arial Narrow" w:cs="Arial Narrow"/>
          <w:bCs/>
        </w:rPr>
        <w:t xml:space="preserve">at EXCO </w:t>
      </w:r>
      <w:r w:rsidR="00F7073B">
        <w:rPr>
          <w:rFonts w:ascii="Arial Narrow" w:hAnsi="Arial Narrow" w:cs="Arial Narrow"/>
          <w:bCs/>
        </w:rPr>
        <w:t>in</w:t>
      </w:r>
      <w:r w:rsidRPr="00F7234B">
        <w:rPr>
          <w:rFonts w:ascii="Arial Narrow" w:hAnsi="Arial Narrow" w:cs="Arial Narrow"/>
          <w:bCs/>
        </w:rPr>
        <w:t xml:space="preserve"> October 2023. GGB has since been requested to submit updated verification documents </w:t>
      </w:r>
      <w:r w:rsidR="00F7073B">
        <w:rPr>
          <w:rFonts w:ascii="Arial Narrow" w:hAnsi="Arial Narrow" w:cs="Arial Narrow"/>
          <w:bCs/>
        </w:rPr>
        <w:t>in the same month of</w:t>
      </w:r>
      <w:r w:rsidRPr="00F7234B">
        <w:rPr>
          <w:rFonts w:ascii="Arial Narrow" w:hAnsi="Arial Narrow" w:cs="Arial Narrow"/>
          <w:bCs/>
        </w:rPr>
        <w:t xml:space="preserve"> October 2023 </w:t>
      </w:r>
      <w:proofErr w:type="gramStart"/>
      <w:r w:rsidRPr="00F7234B">
        <w:rPr>
          <w:rFonts w:ascii="Arial Narrow" w:hAnsi="Arial Narrow" w:cs="Arial Narrow"/>
          <w:bCs/>
        </w:rPr>
        <w:t>so as to</w:t>
      </w:r>
      <w:proofErr w:type="gramEnd"/>
      <w:r w:rsidRPr="00F7234B">
        <w:rPr>
          <w:rFonts w:ascii="Arial Narrow" w:hAnsi="Arial Narrow" w:cs="Arial Narrow"/>
          <w:bCs/>
        </w:rPr>
        <w:t xml:space="preserve"> take the process forward.</w:t>
      </w:r>
      <w:r w:rsidR="00F7073B">
        <w:rPr>
          <w:rFonts w:ascii="Arial Narrow" w:hAnsi="Arial Narrow" w:cs="Arial Narrow"/>
          <w:bCs/>
        </w:rPr>
        <w:t xml:space="preserve"> The Committee is of the view that this process should be expediated as the position has been vacant for a lengthy </w:t>
      </w:r>
      <w:proofErr w:type="gramStart"/>
      <w:r w:rsidR="00F7073B">
        <w:rPr>
          <w:rFonts w:ascii="Arial Narrow" w:hAnsi="Arial Narrow" w:cs="Arial Narrow"/>
          <w:bCs/>
        </w:rPr>
        <w:t>period of time</w:t>
      </w:r>
      <w:proofErr w:type="gramEnd"/>
      <w:r w:rsidR="00F7073B">
        <w:rPr>
          <w:rFonts w:ascii="Arial Narrow" w:hAnsi="Arial Narrow" w:cs="Arial Narrow"/>
          <w:bCs/>
        </w:rPr>
        <w:t xml:space="preserve">. </w:t>
      </w:r>
    </w:p>
    <w:p w14:paraId="73F4AD01" w14:textId="77777777" w:rsidR="004C581B" w:rsidRDefault="004C581B" w:rsidP="002166EF">
      <w:pPr>
        <w:spacing w:line="276" w:lineRule="auto"/>
        <w:rPr>
          <w:rFonts w:ascii="Arial Narrow" w:hAnsi="Arial Narrow" w:cs="Arial Narrow"/>
          <w:b/>
          <w:bCs/>
        </w:rPr>
      </w:pPr>
      <w:bookmarkStart w:id="38" w:name="_Hlk530505979"/>
    </w:p>
    <w:p w14:paraId="5A36115B" w14:textId="547F9AB2" w:rsidR="005607AB" w:rsidRPr="00FC45E1" w:rsidRDefault="005607AB" w:rsidP="002166EF">
      <w:pPr>
        <w:spacing w:line="276" w:lineRule="auto"/>
        <w:rPr>
          <w:rFonts w:ascii="Arial Narrow" w:hAnsi="Arial Narrow" w:cs="Arial Narrow"/>
          <w:b/>
          <w:bCs/>
        </w:rPr>
      </w:pPr>
      <w:r w:rsidRPr="00FC45E1">
        <w:rPr>
          <w:rFonts w:ascii="Arial Narrow" w:hAnsi="Arial Narrow" w:cs="Arial Narrow"/>
          <w:b/>
          <w:bCs/>
        </w:rPr>
        <w:t xml:space="preserve">Gauteng Tourism Agency (GTA) </w:t>
      </w:r>
    </w:p>
    <w:p w14:paraId="6744A387" w14:textId="7D33A9E4" w:rsidR="009534BB" w:rsidRDefault="009534BB" w:rsidP="005607AB">
      <w:pPr>
        <w:spacing w:line="276" w:lineRule="auto"/>
        <w:rPr>
          <w:rFonts w:ascii="Arial Narrow" w:hAnsi="Arial Narrow" w:cs="Arial Narrow"/>
          <w:bCs/>
        </w:rPr>
      </w:pPr>
    </w:p>
    <w:p w14:paraId="203EC2D9" w14:textId="161CF883" w:rsidR="00385F5C" w:rsidRDefault="00385F5C" w:rsidP="00385F5C">
      <w:pPr>
        <w:spacing w:line="276" w:lineRule="auto"/>
        <w:rPr>
          <w:rFonts w:ascii="Arial Narrow" w:hAnsi="Arial Narrow" w:cs="Arial Narrow"/>
          <w:bCs/>
        </w:rPr>
      </w:pPr>
      <w:r>
        <w:rPr>
          <w:rFonts w:ascii="Arial Narrow" w:hAnsi="Arial Narrow" w:cs="Arial Narrow"/>
          <w:bCs/>
        </w:rPr>
        <w:t xml:space="preserve">As part of its response to the Committee, the GTA gave a full account of the tourism recovery plan before the Committee. Parts of the recovery plan talk to in brief the working relationship between the entity and Tourism SA, the development of </w:t>
      </w:r>
      <w:r w:rsidRPr="00385F5C">
        <w:rPr>
          <w:rFonts w:ascii="Arial Narrow" w:hAnsi="Arial Narrow" w:cs="Arial Narrow"/>
          <w:bCs/>
        </w:rPr>
        <w:t>Gauteng Air access programme</w:t>
      </w:r>
      <w:r>
        <w:rPr>
          <w:rFonts w:ascii="Arial Narrow" w:hAnsi="Arial Narrow" w:cs="Arial Narrow"/>
          <w:bCs/>
        </w:rPr>
        <w:t>,</w:t>
      </w:r>
      <w:r w:rsidRPr="00385F5C">
        <w:rPr>
          <w:rFonts w:ascii="Arial Narrow" w:hAnsi="Arial Narrow" w:cs="Arial Narrow"/>
          <w:bCs/>
        </w:rPr>
        <w:t xml:space="preserve"> set</w:t>
      </w:r>
      <w:r>
        <w:rPr>
          <w:rFonts w:ascii="Arial Narrow" w:hAnsi="Arial Narrow" w:cs="Arial Narrow"/>
          <w:bCs/>
        </w:rPr>
        <w:t>ting</w:t>
      </w:r>
      <w:r w:rsidRPr="00385F5C">
        <w:rPr>
          <w:rFonts w:ascii="Arial Narrow" w:hAnsi="Arial Narrow" w:cs="Arial Narrow"/>
          <w:bCs/>
        </w:rPr>
        <w:t xml:space="preserve"> aside funding to assist Gauteng based SMME tourism accommodations</w:t>
      </w:r>
      <w:r>
        <w:rPr>
          <w:rFonts w:ascii="Arial Narrow" w:hAnsi="Arial Narrow" w:cs="Arial Narrow"/>
          <w:bCs/>
        </w:rPr>
        <w:t xml:space="preserve"> and c</w:t>
      </w:r>
      <w:r w:rsidRPr="00385F5C">
        <w:rPr>
          <w:rFonts w:ascii="Arial Narrow" w:hAnsi="Arial Narrow" w:cs="Arial Narrow"/>
          <w:bCs/>
        </w:rPr>
        <w:t>onducted Tourism Skills Audit to assess the skills gaps and interventions</w:t>
      </w:r>
      <w:r>
        <w:rPr>
          <w:rFonts w:ascii="Arial Narrow" w:hAnsi="Arial Narrow" w:cs="Arial Narrow"/>
          <w:bCs/>
        </w:rPr>
        <w:t xml:space="preserve">. </w:t>
      </w:r>
    </w:p>
    <w:p w14:paraId="6D60D3F7" w14:textId="4B3E691A" w:rsidR="00385F5C" w:rsidRDefault="00385F5C" w:rsidP="00385F5C">
      <w:pPr>
        <w:spacing w:line="276" w:lineRule="auto"/>
        <w:rPr>
          <w:rFonts w:ascii="Arial Narrow" w:hAnsi="Arial Narrow" w:cs="Arial Narrow"/>
          <w:bCs/>
        </w:rPr>
      </w:pPr>
    </w:p>
    <w:p w14:paraId="665CA20E" w14:textId="2FF7A15C" w:rsidR="00F7073B" w:rsidRDefault="00F7073B" w:rsidP="00385F5C">
      <w:pPr>
        <w:spacing w:line="276" w:lineRule="auto"/>
        <w:rPr>
          <w:rFonts w:ascii="Arial Narrow" w:hAnsi="Arial Narrow" w:cs="Arial Narrow"/>
          <w:bCs/>
        </w:rPr>
      </w:pPr>
      <w:r>
        <w:rPr>
          <w:rFonts w:ascii="Arial Narrow" w:hAnsi="Arial Narrow" w:cs="Arial Narrow"/>
          <w:bCs/>
        </w:rPr>
        <w:t>The Committee noted that</w:t>
      </w:r>
      <w:r w:rsidR="004C581B">
        <w:rPr>
          <w:rFonts w:ascii="Arial Narrow" w:hAnsi="Arial Narrow" w:cs="Arial Narrow"/>
          <w:bCs/>
        </w:rPr>
        <w:t xml:space="preserve"> the GTA </w:t>
      </w:r>
      <w:r w:rsidR="004C581B" w:rsidRPr="004C581B">
        <w:rPr>
          <w:rFonts w:ascii="Arial Narrow" w:hAnsi="Arial Narrow" w:cs="Arial Narrow"/>
          <w:bCs/>
        </w:rPr>
        <w:t>reported</w:t>
      </w:r>
      <w:r w:rsidR="004C581B">
        <w:rPr>
          <w:rFonts w:ascii="Arial Narrow" w:hAnsi="Arial Narrow" w:cs="Arial Narrow"/>
          <w:bCs/>
        </w:rPr>
        <w:t xml:space="preserve"> on 26 targets</w:t>
      </w:r>
      <w:r w:rsidR="004C581B" w:rsidRPr="004C581B">
        <w:rPr>
          <w:rFonts w:ascii="Arial Narrow" w:hAnsi="Arial Narrow" w:cs="Arial Narrow"/>
          <w:bCs/>
        </w:rPr>
        <w:t xml:space="preserve">, </w:t>
      </w:r>
      <w:r w:rsidR="002E364E">
        <w:rPr>
          <w:rFonts w:ascii="Arial Narrow" w:hAnsi="Arial Narrow" w:cs="Arial Narrow"/>
          <w:bCs/>
        </w:rPr>
        <w:t>and i</w:t>
      </w:r>
      <w:r w:rsidR="004C581B" w:rsidRPr="004C581B">
        <w:rPr>
          <w:rFonts w:ascii="Arial Narrow" w:hAnsi="Arial Narrow" w:cs="Arial Narrow"/>
          <w:bCs/>
        </w:rPr>
        <w:t xml:space="preserve">n the main, out of the 26 targets, 7 were reported in the strategic support program, whilst 10 relate to the destination marketing program and 9 to the destination management program. Of the planned targets, 23 were attained (88%) and 3 </w:t>
      </w:r>
      <w:r w:rsidR="002E364E">
        <w:rPr>
          <w:rFonts w:ascii="Arial Narrow" w:hAnsi="Arial Narrow" w:cs="Arial Narrow"/>
          <w:bCs/>
        </w:rPr>
        <w:t xml:space="preserve">were not </w:t>
      </w:r>
      <w:r w:rsidR="004C581B" w:rsidRPr="004C581B">
        <w:rPr>
          <w:rFonts w:ascii="Arial Narrow" w:hAnsi="Arial Narrow" w:cs="Arial Narrow"/>
          <w:bCs/>
        </w:rPr>
        <w:t>achieved. With regards to program 2, the Destination Marketing Rand value generated through supported events’ target of R1</w:t>
      </w:r>
      <w:r w:rsidR="002E364E">
        <w:rPr>
          <w:rFonts w:ascii="Arial Narrow" w:hAnsi="Arial Narrow" w:cs="Arial Narrow"/>
          <w:bCs/>
        </w:rPr>
        <w:t> 000 000 000 (R1bn)</w:t>
      </w:r>
      <w:r w:rsidR="004C581B" w:rsidRPr="004C581B">
        <w:rPr>
          <w:rFonts w:ascii="Arial Narrow" w:hAnsi="Arial Narrow" w:cs="Arial Narrow"/>
          <w:bCs/>
        </w:rPr>
        <w:t xml:space="preserve"> was overachieved at R</w:t>
      </w:r>
      <w:r w:rsidR="002E364E">
        <w:rPr>
          <w:rFonts w:ascii="Arial Narrow" w:hAnsi="Arial Narrow" w:cs="Arial Narrow"/>
          <w:bCs/>
        </w:rPr>
        <w:t xml:space="preserve"> </w:t>
      </w:r>
      <w:r w:rsidR="004C581B" w:rsidRPr="004C581B">
        <w:rPr>
          <w:rFonts w:ascii="Arial Narrow" w:hAnsi="Arial Narrow" w:cs="Arial Narrow"/>
          <w:bCs/>
        </w:rPr>
        <w:t>2</w:t>
      </w:r>
      <w:r w:rsidR="002E364E">
        <w:rPr>
          <w:rFonts w:ascii="Arial Narrow" w:hAnsi="Arial Narrow" w:cs="Arial Narrow"/>
          <w:bCs/>
        </w:rPr>
        <w:t> </w:t>
      </w:r>
      <w:r w:rsidR="004C581B" w:rsidRPr="004C581B">
        <w:rPr>
          <w:rFonts w:ascii="Arial Narrow" w:hAnsi="Arial Narrow" w:cs="Arial Narrow"/>
          <w:bCs/>
        </w:rPr>
        <w:t>3</w:t>
      </w:r>
      <w:r w:rsidR="002E364E">
        <w:rPr>
          <w:rFonts w:ascii="Arial Narrow" w:hAnsi="Arial Narrow" w:cs="Arial Narrow"/>
          <w:bCs/>
        </w:rPr>
        <w:t>00 000 000 (R2.3</w:t>
      </w:r>
      <w:r w:rsidR="004C581B" w:rsidRPr="004C581B">
        <w:rPr>
          <w:rFonts w:ascii="Arial Narrow" w:hAnsi="Arial Narrow" w:cs="Arial Narrow"/>
          <w:bCs/>
        </w:rPr>
        <w:t>bn</w:t>
      </w:r>
      <w:r w:rsidR="002E364E">
        <w:rPr>
          <w:rFonts w:ascii="Arial Narrow" w:hAnsi="Arial Narrow" w:cs="Arial Narrow"/>
          <w:bCs/>
        </w:rPr>
        <w:t>)</w:t>
      </w:r>
      <w:r w:rsidR="004C581B" w:rsidRPr="004C581B">
        <w:rPr>
          <w:rFonts w:ascii="Arial Narrow" w:hAnsi="Arial Narrow" w:cs="Arial Narrow"/>
          <w:bCs/>
        </w:rPr>
        <w:t xml:space="preserve">. The GTA’s planned target for program 1, strategic support was to attain a clean audit, which was not achieved at all, as the report failed to correlate with what was said to be attained. </w:t>
      </w:r>
      <w:r w:rsidR="002E364E" w:rsidRPr="002E364E">
        <w:rPr>
          <w:rFonts w:ascii="Arial Narrow" w:hAnsi="Arial Narrow" w:cs="Arial Narrow"/>
          <w:b/>
        </w:rPr>
        <w:t>The Committee is concerned that the GTA was unable to attain a clean audit, the Committee impresses that going forward the GTA should ensure that it attains clean audit.</w:t>
      </w:r>
      <w:r w:rsidR="002E364E">
        <w:rPr>
          <w:rFonts w:ascii="Arial Narrow" w:hAnsi="Arial Narrow" w:cs="Arial Narrow"/>
          <w:bCs/>
        </w:rPr>
        <w:t xml:space="preserve"> </w:t>
      </w:r>
    </w:p>
    <w:p w14:paraId="0CCCF717" w14:textId="77777777" w:rsidR="002E364E" w:rsidRPr="002E364E" w:rsidRDefault="002E364E" w:rsidP="002E364E">
      <w:pPr>
        <w:spacing w:line="276" w:lineRule="auto"/>
        <w:rPr>
          <w:rFonts w:ascii="Arial Narrow" w:hAnsi="Arial Narrow" w:cs="Arial Narrow"/>
          <w:bCs/>
        </w:rPr>
      </w:pPr>
    </w:p>
    <w:p w14:paraId="570B7A1C" w14:textId="0783259B" w:rsidR="00F7073B" w:rsidRDefault="002E364E" w:rsidP="002E364E">
      <w:pPr>
        <w:spacing w:line="276" w:lineRule="auto"/>
        <w:rPr>
          <w:rFonts w:ascii="Arial Narrow" w:hAnsi="Arial Narrow" w:cs="Arial Narrow"/>
          <w:bCs/>
        </w:rPr>
      </w:pPr>
      <w:r w:rsidRPr="002E364E">
        <w:rPr>
          <w:rFonts w:ascii="Arial Narrow" w:hAnsi="Arial Narrow" w:cs="Arial Narrow"/>
          <w:bCs/>
        </w:rPr>
        <w:t>The GTA</w:t>
      </w:r>
      <w:r>
        <w:rPr>
          <w:rFonts w:ascii="Arial Narrow" w:hAnsi="Arial Narrow" w:cs="Arial Narrow"/>
          <w:bCs/>
        </w:rPr>
        <w:t xml:space="preserve"> reported that in this </w:t>
      </w:r>
      <w:r w:rsidRPr="002E364E">
        <w:rPr>
          <w:rFonts w:ascii="Arial Narrow" w:hAnsi="Arial Narrow" w:cs="Arial Narrow"/>
          <w:bCs/>
        </w:rPr>
        <w:t>financial year three (3) critical posts</w:t>
      </w:r>
      <w:r>
        <w:rPr>
          <w:rFonts w:ascii="Arial Narrow" w:hAnsi="Arial Narrow" w:cs="Arial Narrow"/>
          <w:bCs/>
        </w:rPr>
        <w:t xml:space="preserve"> have been filled</w:t>
      </w:r>
      <w:r w:rsidRPr="002E364E">
        <w:rPr>
          <w:rFonts w:ascii="Arial Narrow" w:hAnsi="Arial Narrow" w:cs="Arial Narrow"/>
          <w:bCs/>
        </w:rPr>
        <w:t xml:space="preserve"> and</w:t>
      </w:r>
      <w:r>
        <w:rPr>
          <w:rFonts w:ascii="Arial Narrow" w:hAnsi="Arial Narrow" w:cs="Arial Narrow"/>
          <w:bCs/>
        </w:rPr>
        <w:t xml:space="preserve"> the GTA</w:t>
      </w:r>
      <w:r w:rsidRPr="002E364E">
        <w:rPr>
          <w:rFonts w:ascii="Arial Narrow" w:hAnsi="Arial Narrow" w:cs="Arial Narrow"/>
          <w:bCs/>
        </w:rPr>
        <w:t xml:space="preserve"> has 23 vacant posts. The agency is currently engaging with the Provincial Treasury in the quest to fill all remaining vacant posts. With the organisational redesign project on the verge of completion, it is hoped that should the proposed structure be approved and fully funded, then all vacant posts will be filled.</w:t>
      </w:r>
    </w:p>
    <w:p w14:paraId="02BEF653" w14:textId="77777777" w:rsidR="002E364E" w:rsidRDefault="002E364E" w:rsidP="00385F5C">
      <w:pPr>
        <w:spacing w:line="276" w:lineRule="auto"/>
        <w:rPr>
          <w:rFonts w:ascii="Arial Narrow" w:hAnsi="Arial Narrow" w:cs="Arial Narrow"/>
          <w:bCs/>
        </w:rPr>
      </w:pPr>
    </w:p>
    <w:p w14:paraId="627402F2" w14:textId="56359FD3" w:rsidR="00316B00" w:rsidRDefault="00316B00" w:rsidP="00316B00">
      <w:pPr>
        <w:spacing w:line="276" w:lineRule="auto"/>
        <w:rPr>
          <w:rFonts w:ascii="Arial Narrow" w:hAnsi="Arial Narrow" w:cs="Arial Narrow"/>
          <w:bCs/>
        </w:rPr>
      </w:pPr>
      <w:r>
        <w:rPr>
          <w:rFonts w:ascii="Arial Narrow" w:hAnsi="Arial Narrow" w:cs="Arial Narrow"/>
          <w:bCs/>
        </w:rPr>
        <w:lastRenderedPageBreak/>
        <w:t xml:space="preserve">The Committee was informed that the </w:t>
      </w:r>
      <w:r w:rsidRPr="00316B00">
        <w:rPr>
          <w:rFonts w:ascii="Arial Narrow" w:hAnsi="Arial Narrow" w:cs="Arial Narrow"/>
          <w:bCs/>
        </w:rPr>
        <w:t xml:space="preserve">GTA </w:t>
      </w:r>
      <w:r>
        <w:rPr>
          <w:rFonts w:ascii="Arial Narrow" w:hAnsi="Arial Narrow" w:cs="Arial Narrow"/>
          <w:bCs/>
        </w:rPr>
        <w:t>through</w:t>
      </w:r>
      <w:r w:rsidRPr="00316B00">
        <w:rPr>
          <w:rFonts w:ascii="Arial Narrow" w:hAnsi="Arial Narrow" w:cs="Arial Narrow"/>
          <w:bCs/>
        </w:rPr>
        <w:t xml:space="preserve"> the G</w:t>
      </w:r>
      <w:r>
        <w:rPr>
          <w:rFonts w:ascii="Arial Narrow" w:hAnsi="Arial Narrow" w:cs="Arial Narrow"/>
          <w:bCs/>
        </w:rPr>
        <w:t xml:space="preserve">arankuwa </w:t>
      </w:r>
      <w:r w:rsidRPr="00316B00">
        <w:rPr>
          <w:rFonts w:ascii="Arial Narrow" w:hAnsi="Arial Narrow" w:cs="Arial Narrow"/>
          <w:bCs/>
        </w:rPr>
        <w:t>H</w:t>
      </w:r>
      <w:r>
        <w:rPr>
          <w:rFonts w:ascii="Arial Narrow" w:hAnsi="Arial Narrow" w:cs="Arial Narrow"/>
          <w:bCs/>
        </w:rPr>
        <w:t xml:space="preserve">otel </w:t>
      </w:r>
      <w:r w:rsidRPr="00316B00">
        <w:rPr>
          <w:rFonts w:ascii="Arial Narrow" w:hAnsi="Arial Narrow" w:cs="Arial Narrow"/>
          <w:bCs/>
        </w:rPr>
        <w:t>S</w:t>
      </w:r>
      <w:r>
        <w:rPr>
          <w:rFonts w:ascii="Arial Narrow" w:hAnsi="Arial Narrow" w:cs="Arial Narrow"/>
          <w:bCs/>
        </w:rPr>
        <w:t>chool</w:t>
      </w:r>
      <w:r w:rsidRPr="00316B00">
        <w:rPr>
          <w:rFonts w:ascii="Arial Narrow" w:hAnsi="Arial Narrow" w:cs="Arial Narrow"/>
          <w:bCs/>
        </w:rPr>
        <w:t xml:space="preserve"> managed to reach out to 112 SMME</w:t>
      </w:r>
      <w:r>
        <w:rPr>
          <w:rFonts w:ascii="Arial Narrow" w:hAnsi="Arial Narrow" w:cs="Arial Narrow"/>
          <w:bCs/>
        </w:rPr>
        <w:t>’</w:t>
      </w:r>
      <w:r w:rsidRPr="00316B00">
        <w:rPr>
          <w:rFonts w:ascii="Arial Narrow" w:hAnsi="Arial Narrow" w:cs="Arial Narrow"/>
          <w:bCs/>
        </w:rPr>
        <w:t>s and train a total of 180 youth on accredited courses.</w:t>
      </w:r>
      <w:r>
        <w:rPr>
          <w:rFonts w:ascii="Arial Narrow" w:hAnsi="Arial Narrow" w:cs="Arial Narrow"/>
          <w:bCs/>
        </w:rPr>
        <w:t xml:space="preserve"> The </w:t>
      </w:r>
      <w:r w:rsidRPr="00316B00">
        <w:rPr>
          <w:rFonts w:ascii="Arial Narrow" w:hAnsi="Arial Narrow" w:cs="Arial Narrow"/>
          <w:bCs/>
        </w:rPr>
        <w:t>majority of the 112 SMMEs trained th</w:t>
      </w:r>
      <w:r>
        <w:rPr>
          <w:rFonts w:ascii="Arial Narrow" w:hAnsi="Arial Narrow" w:cs="Arial Narrow"/>
          <w:bCs/>
        </w:rPr>
        <w:t>rough</w:t>
      </w:r>
      <w:r w:rsidRPr="00316B00">
        <w:rPr>
          <w:rFonts w:ascii="Arial Narrow" w:hAnsi="Arial Narrow" w:cs="Arial Narrow"/>
          <w:bCs/>
        </w:rPr>
        <w:t xml:space="preserve"> the Garankuwa Hotel </w:t>
      </w:r>
      <w:proofErr w:type="gramStart"/>
      <w:r w:rsidRPr="00316B00">
        <w:rPr>
          <w:rFonts w:ascii="Arial Narrow" w:hAnsi="Arial Narrow" w:cs="Arial Narrow"/>
          <w:bCs/>
        </w:rPr>
        <w:t>School</w:t>
      </w:r>
      <w:proofErr w:type="gramEnd"/>
      <w:r w:rsidRPr="00316B00">
        <w:rPr>
          <w:rFonts w:ascii="Arial Narrow" w:hAnsi="Arial Narrow" w:cs="Arial Narrow"/>
          <w:bCs/>
        </w:rPr>
        <w:t xml:space="preserve"> were from Garankuwa and the greater Tshwane region and were trained primarily on food hygiene and Customer Service</w:t>
      </w:r>
      <w:r>
        <w:rPr>
          <w:rFonts w:ascii="Arial Narrow" w:hAnsi="Arial Narrow" w:cs="Arial Narrow"/>
          <w:bCs/>
        </w:rPr>
        <w:t xml:space="preserve"> and the </w:t>
      </w:r>
      <w:r w:rsidRPr="00316B00">
        <w:rPr>
          <w:rFonts w:ascii="Arial Narrow" w:hAnsi="Arial Narrow" w:cs="Arial Narrow"/>
          <w:bCs/>
        </w:rPr>
        <w:t xml:space="preserve">training courses for the 180 youth are as follows: </w:t>
      </w:r>
    </w:p>
    <w:p w14:paraId="73980C37" w14:textId="10622D11" w:rsidR="00316B00" w:rsidRDefault="00316B00" w:rsidP="00316B00">
      <w:pPr>
        <w:pStyle w:val="ListParagraph"/>
        <w:numPr>
          <w:ilvl w:val="0"/>
          <w:numId w:val="44"/>
        </w:numPr>
        <w:rPr>
          <w:rFonts w:ascii="Arial Narrow" w:hAnsi="Arial Narrow" w:cs="Arial Narrow"/>
          <w:bCs/>
        </w:rPr>
      </w:pPr>
      <w:r w:rsidRPr="00316B00">
        <w:rPr>
          <w:rFonts w:ascii="Arial Narrow" w:hAnsi="Arial Narrow" w:cs="Arial Narrow"/>
          <w:bCs/>
        </w:rPr>
        <w:t>103 youth were trained in Hospitality Reception and Room Attendant. Both trainings were for a duration of 30 day</w:t>
      </w:r>
      <w:r>
        <w:rPr>
          <w:rFonts w:ascii="Arial Narrow" w:hAnsi="Arial Narrow" w:cs="Arial Narrow"/>
          <w:bCs/>
        </w:rPr>
        <w:t>s</w:t>
      </w:r>
      <w:r w:rsidRPr="00316B00">
        <w:rPr>
          <w:rFonts w:ascii="Arial Narrow" w:hAnsi="Arial Narrow" w:cs="Arial Narrow"/>
          <w:bCs/>
        </w:rPr>
        <w:t xml:space="preserve"> (one-month) and are accredited skills programmes; and</w:t>
      </w:r>
    </w:p>
    <w:p w14:paraId="61BDBB70" w14:textId="2B199B29" w:rsidR="00316B00" w:rsidRPr="00316B00" w:rsidRDefault="00316B00" w:rsidP="00316B00">
      <w:pPr>
        <w:pStyle w:val="ListParagraph"/>
        <w:numPr>
          <w:ilvl w:val="0"/>
          <w:numId w:val="44"/>
        </w:numPr>
        <w:rPr>
          <w:rFonts w:ascii="Arial Narrow" w:hAnsi="Arial Narrow" w:cs="Arial Narrow"/>
          <w:bCs/>
        </w:rPr>
      </w:pPr>
      <w:r w:rsidRPr="00316B00">
        <w:rPr>
          <w:rFonts w:ascii="Arial Narrow" w:hAnsi="Arial Narrow" w:cs="Arial Narrow"/>
          <w:bCs/>
        </w:rPr>
        <w:t>77 youth were trained in Customer Service, Food Hygiene and Basic Baking skills. The duration of the training ranged from 3 days to two weeks.</w:t>
      </w:r>
    </w:p>
    <w:p w14:paraId="20728DE6" w14:textId="61CD5747" w:rsidR="002E364E" w:rsidRDefault="00316B00" w:rsidP="00316B00">
      <w:pPr>
        <w:spacing w:line="276" w:lineRule="auto"/>
        <w:rPr>
          <w:rFonts w:ascii="Arial Narrow" w:hAnsi="Arial Narrow" w:cs="Arial Narrow"/>
          <w:bCs/>
        </w:rPr>
      </w:pPr>
      <w:r>
        <w:rPr>
          <w:rFonts w:ascii="Arial Narrow" w:hAnsi="Arial Narrow" w:cs="Arial Narrow"/>
          <w:bCs/>
        </w:rPr>
        <w:t>The Committee was informed by GTA that under p</w:t>
      </w:r>
      <w:r w:rsidRPr="00316B00">
        <w:rPr>
          <w:rFonts w:ascii="Arial Narrow" w:hAnsi="Arial Narrow" w:cs="Arial Narrow"/>
          <w:bCs/>
        </w:rPr>
        <w:t>rogrammes, Destination Marketing and Destination Marketing Management</w:t>
      </w:r>
      <w:r>
        <w:rPr>
          <w:rFonts w:ascii="Arial Narrow" w:hAnsi="Arial Narrow" w:cs="Arial Narrow"/>
          <w:bCs/>
        </w:rPr>
        <w:t xml:space="preserve"> allocations</w:t>
      </w:r>
      <w:r w:rsidRPr="00316B00">
        <w:rPr>
          <w:rFonts w:ascii="Arial Narrow" w:hAnsi="Arial Narrow" w:cs="Arial Narrow"/>
          <w:bCs/>
        </w:rPr>
        <w:t xml:space="preserve"> are ring fenced as per the GTA allocation and classified as conditional grants. Previously, the GTA had challenges in spending the funds for these allocations. </w:t>
      </w:r>
      <w:r w:rsidR="00590D8D">
        <w:rPr>
          <w:rFonts w:ascii="Arial Narrow" w:hAnsi="Arial Narrow" w:cs="Arial Narrow"/>
          <w:bCs/>
        </w:rPr>
        <w:t xml:space="preserve">In the year under review, </w:t>
      </w:r>
      <w:r w:rsidRPr="00316B00">
        <w:rPr>
          <w:rFonts w:ascii="Arial Narrow" w:hAnsi="Arial Narrow" w:cs="Arial Narrow"/>
          <w:bCs/>
        </w:rPr>
        <w:t>the organi</w:t>
      </w:r>
      <w:r w:rsidR="00590D8D">
        <w:rPr>
          <w:rFonts w:ascii="Arial Narrow" w:hAnsi="Arial Narrow" w:cs="Arial Narrow"/>
          <w:bCs/>
        </w:rPr>
        <w:t>z</w:t>
      </w:r>
      <w:r w:rsidRPr="00316B00">
        <w:rPr>
          <w:rFonts w:ascii="Arial Narrow" w:hAnsi="Arial Narrow" w:cs="Arial Narrow"/>
          <w:bCs/>
        </w:rPr>
        <w:t>ation increased its efforts to promote the hosting of the Gauteng’s brand as this is a major economic driver in fulfilling the GTA’s mandate in the province. The overspending was mainly funded from conditional grant balances that had been accumulated from previous years as result of the impact of COVID -19.</w:t>
      </w:r>
      <w:r w:rsidR="00590D8D">
        <w:rPr>
          <w:rFonts w:ascii="Arial Narrow" w:hAnsi="Arial Narrow" w:cs="Arial Narrow"/>
          <w:bCs/>
        </w:rPr>
        <w:t xml:space="preserve"> </w:t>
      </w:r>
      <w:r w:rsidRPr="00316B00">
        <w:rPr>
          <w:rFonts w:ascii="Arial Narrow" w:hAnsi="Arial Narrow" w:cs="Arial Narrow"/>
          <w:bCs/>
        </w:rPr>
        <w:t xml:space="preserve">As part of the budget monitoring and control process; before any procurement process is done, programme managers </w:t>
      </w:r>
      <w:proofErr w:type="gramStart"/>
      <w:r w:rsidRPr="00316B00">
        <w:rPr>
          <w:rFonts w:ascii="Arial Narrow" w:hAnsi="Arial Narrow" w:cs="Arial Narrow"/>
          <w:bCs/>
        </w:rPr>
        <w:t>have to</w:t>
      </w:r>
      <w:proofErr w:type="gramEnd"/>
      <w:r w:rsidRPr="00316B00">
        <w:rPr>
          <w:rFonts w:ascii="Arial Narrow" w:hAnsi="Arial Narrow" w:cs="Arial Narrow"/>
          <w:bCs/>
        </w:rPr>
        <w:t xml:space="preserve"> obtain confirmation from finance of the availability of funds</w:t>
      </w:r>
      <w:r w:rsidR="00590D8D">
        <w:rPr>
          <w:rFonts w:ascii="Arial Narrow" w:hAnsi="Arial Narrow" w:cs="Arial Narrow"/>
          <w:bCs/>
        </w:rPr>
        <w:t>,</w:t>
      </w:r>
    </w:p>
    <w:p w14:paraId="765C967C" w14:textId="77777777" w:rsidR="00F7073B" w:rsidRDefault="00F7073B" w:rsidP="00385F5C">
      <w:pPr>
        <w:spacing w:line="276" w:lineRule="auto"/>
        <w:rPr>
          <w:rFonts w:ascii="Arial Narrow" w:hAnsi="Arial Narrow" w:cs="Arial Narrow"/>
          <w:bCs/>
        </w:rPr>
      </w:pPr>
    </w:p>
    <w:p w14:paraId="611665F7" w14:textId="3EF16B05" w:rsidR="0022285C" w:rsidRPr="0022285C" w:rsidRDefault="007F29E7" w:rsidP="00590D8D">
      <w:pPr>
        <w:spacing w:line="276" w:lineRule="auto"/>
        <w:rPr>
          <w:rFonts w:ascii="Arial Narrow" w:hAnsi="Arial Narrow" w:cs="Arial Narrow"/>
          <w:b/>
        </w:rPr>
      </w:pPr>
      <w:r>
        <w:rPr>
          <w:rFonts w:ascii="Arial Narrow" w:hAnsi="Arial Narrow" w:cs="Arial Narrow"/>
          <w:bCs/>
        </w:rPr>
        <w:t xml:space="preserve">The Committee noted with concern that the vacancy rate within the GTA has increased from </w:t>
      </w:r>
      <w:r w:rsidRPr="007F29E7">
        <w:rPr>
          <w:rFonts w:ascii="Arial Narrow" w:hAnsi="Arial Narrow" w:cs="Arial Narrow"/>
          <w:bCs/>
        </w:rPr>
        <w:t xml:space="preserve">28% in the previous </w:t>
      </w:r>
      <w:r>
        <w:rPr>
          <w:rFonts w:ascii="Arial Narrow" w:hAnsi="Arial Narrow" w:cs="Arial Narrow"/>
          <w:bCs/>
        </w:rPr>
        <w:t xml:space="preserve">financial year </w:t>
      </w:r>
      <w:r w:rsidRPr="007F29E7">
        <w:rPr>
          <w:rFonts w:ascii="Arial Narrow" w:hAnsi="Arial Narrow" w:cs="Arial Narrow"/>
          <w:bCs/>
        </w:rPr>
        <w:t xml:space="preserve">to 34% </w:t>
      </w:r>
      <w:proofErr w:type="gramStart"/>
      <w:r>
        <w:rPr>
          <w:rFonts w:ascii="Arial Narrow" w:hAnsi="Arial Narrow" w:cs="Arial Narrow"/>
          <w:bCs/>
        </w:rPr>
        <w:t>and also</w:t>
      </w:r>
      <w:proofErr w:type="gramEnd"/>
      <w:r>
        <w:rPr>
          <w:rFonts w:ascii="Arial Narrow" w:hAnsi="Arial Narrow" w:cs="Arial Narrow"/>
          <w:bCs/>
        </w:rPr>
        <w:t xml:space="preserve"> citing the budgetary constraints as well in this regard. In response, the GTA indicated that there is not enough budget to f</w:t>
      </w:r>
      <w:r w:rsidRPr="007F29E7">
        <w:rPr>
          <w:rFonts w:ascii="Arial Narrow" w:hAnsi="Arial Narrow" w:cs="Arial Narrow"/>
          <w:bCs/>
        </w:rPr>
        <w:t xml:space="preserve">ill the current vacant positions due to continuous budget cuts. </w:t>
      </w:r>
      <w:proofErr w:type="gramStart"/>
      <w:r w:rsidRPr="007F29E7">
        <w:rPr>
          <w:rFonts w:ascii="Arial Narrow" w:hAnsi="Arial Narrow" w:cs="Arial Narrow"/>
          <w:bCs/>
        </w:rPr>
        <w:t>In light of</w:t>
      </w:r>
      <w:proofErr w:type="gramEnd"/>
      <w:r w:rsidRPr="007F29E7">
        <w:rPr>
          <w:rFonts w:ascii="Arial Narrow" w:hAnsi="Arial Narrow" w:cs="Arial Narrow"/>
          <w:bCs/>
        </w:rPr>
        <w:t xml:space="preserve"> the available limited compensation budget, GTA Board of Directors approved the filling of critical positions which include Finance and HR Managers. </w:t>
      </w:r>
      <w:r>
        <w:rPr>
          <w:rFonts w:ascii="Arial Narrow" w:hAnsi="Arial Narrow" w:cs="Arial Narrow"/>
          <w:bCs/>
        </w:rPr>
        <w:t>The</w:t>
      </w:r>
      <w:r w:rsidRPr="007F29E7">
        <w:rPr>
          <w:rFonts w:ascii="Arial Narrow" w:hAnsi="Arial Narrow" w:cs="Arial Narrow"/>
          <w:bCs/>
        </w:rPr>
        <w:t xml:space="preserve"> recruitment process has been completed and the two managers will start on the 01 December 2022. In addition, GTA is also completing the process to fill Supply Chain Management </w:t>
      </w:r>
      <w:bookmarkStart w:id="39" w:name="_Hlk120229276"/>
    </w:p>
    <w:p w14:paraId="22E6D31A" w14:textId="0C3D4DDC" w:rsidR="0022285C" w:rsidRDefault="0022285C" w:rsidP="007F29E7">
      <w:pPr>
        <w:spacing w:line="276" w:lineRule="auto"/>
        <w:rPr>
          <w:rFonts w:ascii="Arial Narrow" w:hAnsi="Arial Narrow" w:cs="Arial Narrow"/>
          <w:bCs/>
        </w:rPr>
      </w:pPr>
      <w:bookmarkStart w:id="40" w:name="_Hlk120229313"/>
      <w:bookmarkEnd w:id="39"/>
    </w:p>
    <w:p w14:paraId="26E0BA5A" w14:textId="73413B7C" w:rsidR="0022285C" w:rsidRDefault="0022285C" w:rsidP="007F29E7">
      <w:pPr>
        <w:spacing w:line="276" w:lineRule="auto"/>
        <w:rPr>
          <w:rFonts w:ascii="Arial Narrow" w:hAnsi="Arial Narrow" w:cs="Arial Narrow"/>
          <w:bCs/>
        </w:rPr>
      </w:pPr>
      <w:r>
        <w:rPr>
          <w:rFonts w:ascii="Arial Narrow" w:hAnsi="Arial Narrow" w:cs="Arial Narrow"/>
          <w:bCs/>
        </w:rPr>
        <w:t>In addition to this the Committee implores on the GTA to link the safety strategy to its destination marketing strategy</w:t>
      </w:r>
      <w:r w:rsidR="00BC1B2F">
        <w:rPr>
          <w:rFonts w:ascii="Arial Narrow" w:hAnsi="Arial Narrow" w:cs="Arial Narrow"/>
          <w:bCs/>
        </w:rPr>
        <w:t xml:space="preserve"> </w:t>
      </w:r>
      <w:proofErr w:type="gramStart"/>
      <w:r w:rsidR="00BC1B2F">
        <w:rPr>
          <w:rFonts w:ascii="Arial Narrow" w:hAnsi="Arial Narrow" w:cs="Arial Narrow"/>
          <w:bCs/>
        </w:rPr>
        <w:t xml:space="preserve">in order </w:t>
      </w:r>
      <w:r>
        <w:rPr>
          <w:rFonts w:ascii="Arial Narrow" w:hAnsi="Arial Narrow" w:cs="Arial Narrow"/>
          <w:bCs/>
        </w:rPr>
        <w:t>to</w:t>
      </w:r>
      <w:proofErr w:type="gramEnd"/>
      <w:r>
        <w:rPr>
          <w:rFonts w:ascii="Arial Narrow" w:hAnsi="Arial Narrow" w:cs="Arial Narrow"/>
          <w:bCs/>
        </w:rPr>
        <w:t xml:space="preserve"> persuade travellers that Gauteng is the destination of choice. The GTA as well should be at the forefront of bidding and hosting events that contribute significantly for the economy of the </w:t>
      </w:r>
      <w:proofErr w:type="gramStart"/>
      <w:r>
        <w:rPr>
          <w:rFonts w:ascii="Arial Narrow" w:hAnsi="Arial Narrow" w:cs="Arial Narrow"/>
          <w:bCs/>
        </w:rPr>
        <w:t>Province</w:t>
      </w:r>
      <w:proofErr w:type="gramEnd"/>
      <w:r>
        <w:rPr>
          <w:rFonts w:ascii="Arial Narrow" w:hAnsi="Arial Narrow" w:cs="Arial Narrow"/>
          <w:bCs/>
        </w:rPr>
        <w:t xml:space="preserve"> working in conjunction with the Department of Sports, Arts</w:t>
      </w:r>
      <w:r w:rsidR="00FF42F4">
        <w:rPr>
          <w:rFonts w:ascii="Arial Narrow" w:hAnsi="Arial Narrow" w:cs="Arial Narrow"/>
          <w:bCs/>
        </w:rPr>
        <w:t>, Culture and</w:t>
      </w:r>
      <w:r>
        <w:rPr>
          <w:rFonts w:ascii="Arial Narrow" w:hAnsi="Arial Narrow" w:cs="Arial Narrow"/>
          <w:bCs/>
        </w:rPr>
        <w:t xml:space="preserve"> Recreation. </w:t>
      </w:r>
    </w:p>
    <w:bookmarkEnd w:id="40"/>
    <w:p w14:paraId="05281B31" w14:textId="77777777" w:rsidR="0022285C" w:rsidRPr="00FF42F4" w:rsidRDefault="0022285C" w:rsidP="007F29E7">
      <w:pPr>
        <w:spacing w:line="276" w:lineRule="auto"/>
        <w:rPr>
          <w:rFonts w:ascii="Arial Narrow" w:hAnsi="Arial Narrow" w:cs="Arial Narrow"/>
          <w:b/>
        </w:rPr>
      </w:pPr>
    </w:p>
    <w:p w14:paraId="3B82BB83" w14:textId="49B8041B" w:rsidR="007F29E7" w:rsidRPr="00FF42F4" w:rsidRDefault="00FF42F4" w:rsidP="007F29E7">
      <w:pPr>
        <w:spacing w:line="276" w:lineRule="auto"/>
        <w:rPr>
          <w:rFonts w:ascii="Arial Narrow" w:hAnsi="Arial Narrow" w:cs="Arial Narrow"/>
          <w:b/>
        </w:rPr>
      </w:pPr>
      <w:r w:rsidRPr="00FF42F4">
        <w:rPr>
          <w:rFonts w:ascii="Arial Narrow" w:hAnsi="Arial Narrow" w:cs="Arial Narrow"/>
          <w:b/>
        </w:rPr>
        <w:t>Tshwane Automotive Special Economic Zone (TASEZ)</w:t>
      </w:r>
      <w:r w:rsidR="007F29E7" w:rsidRPr="00FF42F4">
        <w:rPr>
          <w:rFonts w:ascii="Arial Narrow" w:hAnsi="Arial Narrow" w:cs="Arial Narrow"/>
          <w:b/>
        </w:rPr>
        <w:t xml:space="preserve"> </w:t>
      </w:r>
    </w:p>
    <w:p w14:paraId="553001D4" w14:textId="2893ECB9" w:rsidR="007F29E7" w:rsidRDefault="007F29E7" w:rsidP="00385F5C">
      <w:pPr>
        <w:spacing w:line="276" w:lineRule="auto"/>
        <w:rPr>
          <w:rFonts w:ascii="Arial Narrow" w:hAnsi="Arial Narrow" w:cs="Arial Narrow"/>
          <w:bCs/>
        </w:rPr>
      </w:pPr>
    </w:p>
    <w:p w14:paraId="4DED459B" w14:textId="10F78C35" w:rsidR="00BC1B2F" w:rsidRDefault="00061F2E" w:rsidP="00385F5C">
      <w:pPr>
        <w:spacing w:line="276" w:lineRule="auto"/>
        <w:rPr>
          <w:rFonts w:ascii="Arial Narrow" w:hAnsi="Arial Narrow" w:cs="Arial Narrow"/>
          <w:bCs/>
        </w:rPr>
      </w:pPr>
      <w:r w:rsidRPr="00061F2E">
        <w:rPr>
          <w:rFonts w:ascii="Arial Narrow" w:hAnsi="Arial Narrow" w:cs="Arial Narrow"/>
          <w:bCs/>
        </w:rPr>
        <w:t>The Tshwane Automotive Special Economic Zone (TASEZ) is aimed at accelerating industrialization and ensuring that the automotive industry’s competitive and comparative advantages are optimised. It is further expected to deliver critical infrastructure, drive transformation, attract the much-needed investment and enhance job creation. It was formally registered in May 2020 as a private company. A Tripartite Agreement between the Department of Trade Industry and Competition (DTIC), TASEZ and Coega was signed for the development and technical implementation of the TASEZ.</w:t>
      </w:r>
    </w:p>
    <w:p w14:paraId="007B206E" w14:textId="0E97BA4F" w:rsidR="00385F5C" w:rsidRDefault="00385F5C" w:rsidP="00385F5C">
      <w:pPr>
        <w:spacing w:line="276" w:lineRule="auto"/>
        <w:rPr>
          <w:rFonts w:ascii="Arial Narrow" w:hAnsi="Arial Narrow" w:cs="Arial Narrow"/>
          <w:bCs/>
        </w:rPr>
      </w:pPr>
    </w:p>
    <w:p w14:paraId="55235D40" w14:textId="1DD30E9A" w:rsidR="009505AE" w:rsidRDefault="009505AE" w:rsidP="00385F5C">
      <w:pPr>
        <w:spacing w:line="276" w:lineRule="auto"/>
        <w:rPr>
          <w:rFonts w:ascii="Arial Narrow" w:hAnsi="Arial Narrow" w:cs="Arial Narrow"/>
          <w:bCs/>
        </w:rPr>
      </w:pPr>
      <w:r>
        <w:rPr>
          <w:rFonts w:ascii="Arial Narrow" w:hAnsi="Arial Narrow" w:cs="Arial Narrow"/>
          <w:bCs/>
        </w:rPr>
        <w:t>In the year under review the Committee noted that TAS</w:t>
      </w:r>
      <w:r w:rsidRPr="009505AE">
        <w:rPr>
          <w:rFonts w:ascii="Arial Narrow" w:hAnsi="Arial Narrow" w:cs="Arial Narrow"/>
          <w:bCs/>
        </w:rPr>
        <w:t>EZ achieved 7 out of the 10 planned targets. This shows an improvement when compared with the 5 out of 9 targets attain</w:t>
      </w:r>
      <w:r>
        <w:rPr>
          <w:rFonts w:ascii="Arial Narrow" w:hAnsi="Arial Narrow" w:cs="Arial Narrow"/>
          <w:bCs/>
        </w:rPr>
        <w:t xml:space="preserve">ed in the </w:t>
      </w:r>
      <w:r w:rsidRPr="009505AE">
        <w:rPr>
          <w:rFonts w:ascii="Arial Narrow" w:hAnsi="Arial Narrow" w:cs="Arial Narrow"/>
          <w:bCs/>
        </w:rPr>
        <w:t xml:space="preserve">2021/22 FY. On Administration, there are improvements on the payment period of the implementing </w:t>
      </w:r>
      <w:r>
        <w:rPr>
          <w:rFonts w:ascii="Arial Narrow" w:hAnsi="Arial Narrow" w:cs="Arial Narrow"/>
          <w:bCs/>
        </w:rPr>
        <w:t>agencies</w:t>
      </w:r>
      <w:r w:rsidRPr="009505AE">
        <w:rPr>
          <w:rFonts w:ascii="Arial Narrow" w:hAnsi="Arial Narrow" w:cs="Arial Narrow"/>
          <w:bCs/>
        </w:rPr>
        <w:t xml:space="preserve">. </w:t>
      </w:r>
    </w:p>
    <w:p w14:paraId="0A6A9CD9" w14:textId="77777777" w:rsidR="009505AE" w:rsidRDefault="009505AE" w:rsidP="00385F5C">
      <w:pPr>
        <w:spacing w:line="276" w:lineRule="auto"/>
        <w:rPr>
          <w:rFonts w:ascii="Arial Narrow" w:hAnsi="Arial Narrow" w:cs="Arial Narrow"/>
          <w:bCs/>
        </w:rPr>
      </w:pPr>
    </w:p>
    <w:p w14:paraId="3015F71D" w14:textId="5302A32A" w:rsidR="009505AE" w:rsidRDefault="009505AE" w:rsidP="00385F5C">
      <w:pPr>
        <w:spacing w:line="276" w:lineRule="auto"/>
        <w:rPr>
          <w:rFonts w:ascii="Arial Narrow" w:hAnsi="Arial Narrow" w:cs="Arial Narrow"/>
          <w:bCs/>
        </w:rPr>
      </w:pPr>
      <w:r w:rsidRPr="009505AE">
        <w:rPr>
          <w:rFonts w:ascii="Arial Narrow" w:hAnsi="Arial Narrow" w:cs="Arial Narrow"/>
          <w:bCs/>
        </w:rPr>
        <w:t>Pertaining to investment attraction, the targeted R1</w:t>
      </w:r>
      <w:r>
        <w:rPr>
          <w:rFonts w:ascii="Arial Narrow" w:hAnsi="Arial Narrow" w:cs="Arial Narrow"/>
          <w:bCs/>
        </w:rPr>
        <w:t xml:space="preserve"> 000 000 000 (R1bn) </w:t>
      </w:r>
      <w:r w:rsidRPr="009505AE">
        <w:rPr>
          <w:rFonts w:ascii="Arial Narrow" w:hAnsi="Arial Narrow" w:cs="Arial Narrow"/>
          <w:bCs/>
        </w:rPr>
        <w:t>was surpassed as a total of R1</w:t>
      </w:r>
      <w:r>
        <w:rPr>
          <w:rFonts w:ascii="Arial Narrow" w:hAnsi="Arial Narrow" w:cs="Arial Narrow"/>
          <w:bCs/>
        </w:rPr>
        <w:t> </w:t>
      </w:r>
      <w:r w:rsidRPr="009505AE">
        <w:rPr>
          <w:rFonts w:ascii="Arial Narrow" w:hAnsi="Arial Narrow" w:cs="Arial Narrow"/>
          <w:bCs/>
        </w:rPr>
        <w:t>21</w:t>
      </w:r>
      <w:r>
        <w:rPr>
          <w:rFonts w:ascii="Arial Narrow" w:hAnsi="Arial Narrow" w:cs="Arial Narrow"/>
          <w:bCs/>
        </w:rPr>
        <w:t>0 000 000 (R1.2b)</w:t>
      </w:r>
      <w:r w:rsidRPr="009505AE">
        <w:rPr>
          <w:rFonts w:ascii="Arial Narrow" w:hAnsi="Arial Narrow" w:cs="Arial Narrow"/>
          <w:bCs/>
        </w:rPr>
        <w:t xml:space="preserve"> was realised by local and foreign investors. The Department should detail the composition of these investments as well as the rationale and differences thereof. Meanwhile, the targeted jobs creation during construction has been far surpassed at 332. Overall, the total jobs created within the zone totalled 2 425 against the planned 1 688. </w:t>
      </w:r>
    </w:p>
    <w:p w14:paraId="6AFF306C" w14:textId="77777777" w:rsidR="009505AE" w:rsidRDefault="009505AE" w:rsidP="00385F5C">
      <w:pPr>
        <w:spacing w:line="276" w:lineRule="auto"/>
        <w:rPr>
          <w:rFonts w:ascii="Arial Narrow" w:hAnsi="Arial Narrow" w:cs="Arial Narrow"/>
          <w:bCs/>
        </w:rPr>
      </w:pPr>
    </w:p>
    <w:p w14:paraId="14D17A17" w14:textId="1FA37ABC" w:rsidR="009505AE" w:rsidRDefault="009505AE" w:rsidP="00385F5C">
      <w:pPr>
        <w:spacing w:line="276" w:lineRule="auto"/>
        <w:rPr>
          <w:rFonts w:ascii="Arial Narrow" w:hAnsi="Arial Narrow" w:cs="Arial Narrow"/>
          <w:bCs/>
        </w:rPr>
      </w:pPr>
      <w:r>
        <w:rPr>
          <w:rFonts w:ascii="Arial Narrow" w:hAnsi="Arial Narrow" w:cs="Arial Narrow"/>
          <w:bCs/>
        </w:rPr>
        <w:t>Furthermore</w:t>
      </w:r>
      <w:r w:rsidR="00FB08AA">
        <w:rPr>
          <w:rFonts w:ascii="Arial Narrow" w:hAnsi="Arial Narrow" w:cs="Arial Narrow"/>
          <w:bCs/>
        </w:rPr>
        <w:t>,</w:t>
      </w:r>
      <w:r>
        <w:rPr>
          <w:rFonts w:ascii="Arial Narrow" w:hAnsi="Arial Narrow" w:cs="Arial Narrow"/>
          <w:bCs/>
        </w:rPr>
        <w:t xml:space="preserve"> the Committee was informed that t</w:t>
      </w:r>
      <w:r w:rsidRPr="009505AE">
        <w:rPr>
          <w:rFonts w:ascii="Arial Narrow" w:hAnsi="Arial Narrow" w:cs="Arial Narrow"/>
          <w:bCs/>
        </w:rPr>
        <w:t xml:space="preserve">he under </w:t>
      </w:r>
      <w:r w:rsidR="00FB08AA">
        <w:rPr>
          <w:rFonts w:ascii="Arial Narrow" w:hAnsi="Arial Narrow" w:cs="Arial Narrow"/>
          <w:bCs/>
        </w:rPr>
        <w:t>–</w:t>
      </w:r>
      <w:r w:rsidRPr="009505AE">
        <w:rPr>
          <w:rFonts w:ascii="Arial Narrow" w:hAnsi="Arial Narrow" w:cs="Arial Narrow"/>
          <w:bCs/>
        </w:rPr>
        <w:t xml:space="preserve"> collection</w:t>
      </w:r>
      <w:r w:rsidR="00FB08AA">
        <w:rPr>
          <w:rFonts w:ascii="Arial Narrow" w:hAnsi="Arial Narrow" w:cs="Arial Narrow"/>
          <w:bCs/>
        </w:rPr>
        <w:t xml:space="preserve"> of revenue from the City of Tshwane</w:t>
      </w:r>
      <w:r w:rsidRPr="009505AE">
        <w:rPr>
          <w:rFonts w:ascii="Arial Narrow" w:hAnsi="Arial Narrow" w:cs="Arial Narrow"/>
          <w:bCs/>
        </w:rPr>
        <w:t xml:space="preserve"> resulted from</w:t>
      </w:r>
      <w:r w:rsidR="00FB08AA">
        <w:rPr>
          <w:rFonts w:ascii="Arial Narrow" w:hAnsi="Arial Narrow" w:cs="Arial Narrow"/>
          <w:bCs/>
        </w:rPr>
        <w:t xml:space="preserve"> the</w:t>
      </w:r>
      <w:r w:rsidRPr="009505AE">
        <w:rPr>
          <w:rFonts w:ascii="Arial Narrow" w:hAnsi="Arial Narrow" w:cs="Arial Narrow"/>
          <w:bCs/>
        </w:rPr>
        <w:t xml:space="preserve"> delays in the approval of designs for roads and stormwater which delayed issuing of purchase orders by the City and consequently billing and collection of invoices. Thorough discussions were held with the </w:t>
      </w:r>
      <w:proofErr w:type="gramStart"/>
      <w:r w:rsidRPr="009505AE">
        <w:rPr>
          <w:rFonts w:ascii="Arial Narrow" w:hAnsi="Arial Narrow" w:cs="Arial Narrow"/>
          <w:bCs/>
        </w:rPr>
        <w:t>City</w:t>
      </w:r>
      <w:proofErr w:type="gramEnd"/>
      <w:r w:rsidRPr="009505AE">
        <w:rPr>
          <w:rFonts w:ascii="Arial Narrow" w:hAnsi="Arial Narrow" w:cs="Arial Narrow"/>
          <w:bCs/>
        </w:rPr>
        <w:t xml:space="preserve"> and the matter was resolved by the City approving the designs in June 2023. Invoices to bill the whole budget were issued in June 2023. TASEZ has received payments after year end and only R56</w:t>
      </w:r>
      <w:r w:rsidR="00FB08AA">
        <w:rPr>
          <w:rFonts w:ascii="Arial Narrow" w:hAnsi="Arial Narrow" w:cs="Arial Narrow"/>
          <w:bCs/>
        </w:rPr>
        <w:t xml:space="preserve"> 000 000 (R56m) </w:t>
      </w:r>
      <w:r w:rsidRPr="009505AE">
        <w:rPr>
          <w:rFonts w:ascii="Arial Narrow" w:hAnsi="Arial Narrow" w:cs="Arial Narrow"/>
          <w:bCs/>
        </w:rPr>
        <w:t xml:space="preserve">is outstanding from the </w:t>
      </w:r>
      <w:proofErr w:type="gramStart"/>
      <w:r w:rsidRPr="009505AE">
        <w:rPr>
          <w:rFonts w:ascii="Arial Narrow" w:hAnsi="Arial Narrow" w:cs="Arial Narrow"/>
          <w:bCs/>
        </w:rPr>
        <w:t>City</w:t>
      </w:r>
      <w:proofErr w:type="gramEnd"/>
      <w:r w:rsidRPr="009505AE">
        <w:rPr>
          <w:rFonts w:ascii="Arial Narrow" w:hAnsi="Arial Narrow" w:cs="Arial Narrow"/>
          <w:bCs/>
        </w:rPr>
        <w:t xml:space="preserve">. Since currently billing and collecting monies for water and electricity from tenants on the behalf of the </w:t>
      </w:r>
      <w:proofErr w:type="gramStart"/>
      <w:r w:rsidRPr="009505AE">
        <w:rPr>
          <w:rFonts w:ascii="Arial Narrow" w:hAnsi="Arial Narrow" w:cs="Arial Narrow"/>
          <w:bCs/>
        </w:rPr>
        <w:t>City</w:t>
      </w:r>
      <w:proofErr w:type="gramEnd"/>
      <w:r w:rsidRPr="009505AE">
        <w:rPr>
          <w:rFonts w:ascii="Arial Narrow" w:hAnsi="Arial Narrow" w:cs="Arial Narrow"/>
          <w:bCs/>
        </w:rPr>
        <w:t xml:space="preserve">, these monies have not been paid over to the City as the City has resolved to enter into an offsetting arrangement with TASEZ. There are discrepancies between TASEZ’s records and the City’s records regarding the monies that TASEZ owes the </w:t>
      </w:r>
      <w:proofErr w:type="gramStart"/>
      <w:r w:rsidRPr="009505AE">
        <w:rPr>
          <w:rFonts w:ascii="Arial Narrow" w:hAnsi="Arial Narrow" w:cs="Arial Narrow"/>
          <w:bCs/>
        </w:rPr>
        <w:t>City</w:t>
      </w:r>
      <w:proofErr w:type="gramEnd"/>
      <w:r w:rsidRPr="009505AE">
        <w:rPr>
          <w:rFonts w:ascii="Arial Narrow" w:hAnsi="Arial Narrow" w:cs="Arial Narrow"/>
          <w:bCs/>
        </w:rPr>
        <w:t xml:space="preserve"> for water and electricity. The zone operations team and the </w:t>
      </w:r>
      <w:proofErr w:type="gramStart"/>
      <w:r w:rsidRPr="009505AE">
        <w:rPr>
          <w:rFonts w:ascii="Arial Narrow" w:hAnsi="Arial Narrow" w:cs="Arial Narrow"/>
          <w:bCs/>
        </w:rPr>
        <w:t>City</w:t>
      </w:r>
      <w:proofErr w:type="gramEnd"/>
      <w:r w:rsidRPr="009505AE">
        <w:rPr>
          <w:rFonts w:ascii="Arial Narrow" w:hAnsi="Arial Narrow" w:cs="Arial Narrow"/>
          <w:bCs/>
        </w:rPr>
        <w:t xml:space="preserve"> are currently resolving the discrepancies and the offsetting will be finalised as soon as the two teams agree.  The matter should be resolved before end of this quarter.</w:t>
      </w:r>
    </w:p>
    <w:p w14:paraId="1C170B1C" w14:textId="50468EDA" w:rsidR="004B7663" w:rsidRPr="0079000E" w:rsidRDefault="0011789D"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41" w:name="_Toc66876376"/>
      <w:bookmarkEnd w:id="38"/>
      <w:r>
        <w:rPr>
          <w:rFonts w:ascii="Arial Narrow" w:hAnsi="Arial Narrow"/>
          <w:color w:val="auto"/>
          <w:sz w:val="22"/>
          <w:szCs w:val="22"/>
        </w:rPr>
        <w:t>O</w:t>
      </w:r>
      <w:r w:rsidR="001D680E" w:rsidRPr="0079000E">
        <w:rPr>
          <w:rFonts w:ascii="Arial Narrow" w:hAnsi="Arial Narrow"/>
          <w:color w:val="auto"/>
          <w:sz w:val="22"/>
          <w:szCs w:val="22"/>
        </w:rPr>
        <w:t xml:space="preserve">VERSIGHT ON </w:t>
      </w:r>
      <w:r w:rsidR="004B7663" w:rsidRPr="0079000E">
        <w:rPr>
          <w:rFonts w:ascii="Arial Narrow" w:hAnsi="Arial Narrow"/>
          <w:color w:val="auto"/>
          <w:sz w:val="22"/>
          <w:szCs w:val="22"/>
        </w:rPr>
        <w:t xml:space="preserve">BUDGET </w:t>
      </w:r>
      <w:r w:rsidR="001D680E" w:rsidRPr="0079000E">
        <w:rPr>
          <w:rFonts w:ascii="Arial Narrow" w:hAnsi="Arial Narrow"/>
          <w:color w:val="auto"/>
          <w:sz w:val="22"/>
          <w:szCs w:val="22"/>
        </w:rPr>
        <w:t>EXPENDITURE</w:t>
      </w:r>
      <w:bookmarkEnd w:id="41"/>
    </w:p>
    <w:p w14:paraId="70A13FB8" w14:textId="2CFB4C35" w:rsidR="005F46A7" w:rsidRPr="005F46A7" w:rsidRDefault="005F46A7" w:rsidP="005F46A7">
      <w:pPr>
        <w:spacing w:after="200" w:line="276" w:lineRule="auto"/>
        <w:rPr>
          <w:rFonts w:ascii="Arial Narrow" w:hAnsi="Arial Narrow" w:cs="Arial Narrow"/>
          <w:lang w:val="en-GB"/>
        </w:rPr>
      </w:pPr>
      <w:r w:rsidRPr="005F46A7">
        <w:rPr>
          <w:rFonts w:ascii="Arial Narrow" w:hAnsi="Arial Narrow" w:cs="Arial Narrow"/>
          <w:lang w:val="en-GB"/>
        </w:rPr>
        <w:t>Table 1: Final appropriation R’000</w:t>
      </w:r>
    </w:p>
    <w:tbl>
      <w:tblPr>
        <w:tblW w:w="9072" w:type="dxa"/>
        <w:tblBorders>
          <w:top w:val="single" w:sz="8" w:space="0" w:color="000000"/>
          <w:bottom w:val="single" w:sz="8" w:space="0" w:color="000000"/>
        </w:tblBorders>
        <w:tblLook w:val="04A0" w:firstRow="1" w:lastRow="0" w:firstColumn="1" w:lastColumn="0" w:noHBand="0" w:noVBand="1"/>
      </w:tblPr>
      <w:tblGrid>
        <w:gridCol w:w="1550"/>
        <w:gridCol w:w="2136"/>
        <w:gridCol w:w="1417"/>
        <w:gridCol w:w="1418"/>
        <w:gridCol w:w="1276"/>
        <w:gridCol w:w="1275"/>
      </w:tblGrid>
      <w:tr w:rsidR="005F46A7" w:rsidRPr="005F46A7" w14:paraId="18C312A3" w14:textId="77777777" w:rsidTr="00227EE0">
        <w:trPr>
          <w:trHeight w:val="429"/>
        </w:trPr>
        <w:tc>
          <w:tcPr>
            <w:tcW w:w="1550" w:type="dxa"/>
            <w:tcBorders>
              <w:top w:val="single" w:sz="8" w:space="0" w:color="000000"/>
              <w:left w:val="nil"/>
              <w:bottom w:val="single" w:sz="8" w:space="0" w:color="000000"/>
              <w:right w:val="nil"/>
            </w:tcBorders>
          </w:tcPr>
          <w:p w14:paraId="75166196" w14:textId="77777777" w:rsidR="005F46A7" w:rsidRPr="005F46A7" w:rsidRDefault="005F46A7" w:rsidP="005F46A7">
            <w:pPr>
              <w:spacing w:after="200" w:line="276" w:lineRule="auto"/>
              <w:rPr>
                <w:rFonts w:ascii="Arial Narrow" w:hAnsi="Arial Narrow" w:cs="Arial Narrow"/>
                <w:b/>
                <w:bCs/>
                <w:lang w:val="en-GB"/>
              </w:rPr>
            </w:pPr>
          </w:p>
        </w:tc>
        <w:tc>
          <w:tcPr>
            <w:tcW w:w="2136" w:type="dxa"/>
            <w:tcBorders>
              <w:top w:val="single" w:sz="8" w:space="0" w:color="000000"/>
              <w:left w:val="nil"/>
              <w:bottom w:val="single" w:sz="8" w:space="0" w:color="000000"/>
              <w:right w:val="nil"/>
            </w:tcBorders>
          </w:tcPr>
          <w:p w14:paraId="76AABF7C" w14:textId="77777777" w:rsidR="005F46A7" w:rsidRPr="005F46A7" w:rsidRDefault="005F46A7" w:rsidP="005F46A7">
            <w:pPr>
              <w:spacing w:after="200" w:line="276" w:lineRule="auto"/>
              <w:rPr>
                <w:rFonts w:ascii="Arial Narrow" w:hAnsi="Arial Narrow" w:cs="Arial Narrow"/>
                <w:b/>
                <w:bCs/>
                <w:lang w:val="en-GB"/>
              </w:rPr>
            </w:pPr>
          </w:p>
        </w:tc>
        <w:tc>
          <w:tcPr>
            <w:tcW w:w="1417" w:type="dxa"/>
            <w:tcBorders>
              <w:top w:val="single" w:sz="8" w:space="0" w:color="000000"/>
              <w:left w:val="nil"/>
              <w:bottom w:val="single" w:sz="8" w:space="0" w:color="000000"/>
              <w:right w:val="nil"/>
            </w:tcBorders>
          </w:tcPr>
          <w:p w14:paraId="0F80EBF7"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2019/20</w:t>
            </w:r>
          </w:p>
        </w:tc>
        <w:tc>
          <w:tcPr>
            <w:tcW w:w="1418" w:type="dxa"/>
            <w:tcBorders>
              <w:top w:val="single" w:sz="8" w:space="0" w:color="000000"/>
              <w:left w:val="nil"/>
              <w:bottom w:val="single" w:sz="8" w:space="0" w:color="000000"/>
              <w:right w:val="nil"/>
            </w:tcBorders>
          </w:tcPr>
          <w:p w14:paraId="5FE91634"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2020/21</w:t>
            </w:r>
          </w:p>
        </w:tc>
        <w:tc>
          <w:tcPr>
            <w:tcW w:w="1276" w:type="dxa"/>
            <w:tcBorders>
              <w:top w:val="single" w:sz="8" w:space="0" w:color="000000"/>
              <w:left w:val="nil"/>
              <w:bottom w:val="single" w:sz="8" w:space="0" w:color="000000"/>
              <w:right w:val="nil"/>
            </w:tcBorders>
          </w:tcPr>
          <w:p w14:paraId="0C05C0EE"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2021/22</w:t>
            </w:r>
          </w:p>
        </w:tc>
        <w:tc>
          <w:tcPr>
            <w:tcW w:w="1275" w:type="dxa"/>
            <w:tcBorders>
              <w:top w:val="single" w:sz="8" w:space="0" w:color="000000"/>
              <w:left w:val="nil"/>
              <w:bottom w:val="single" w:sz="8" w:space="0" w:color="000000"/>
              <w:right w:val="nil"/>
            </w:tcBorders>
          </w:tcPr>
          <w:p w14:paraId="53C71D7C"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2022/23</w:t>
            </w:r>
          </w:p>
        </w:tc>
      </w:tr>
      <w:tr w:rsidR="005F46A7" w:rsidRPr="005F46A7" w14:paraId="05C9B594" w14:textId="77777777" w:rsidTr="00227EE0">
        <w:trPr>
          <w:trHeight w:val="443"/>
        </w:trPr>
        <w:tc>
          <w:tcPr>
            <w:tcW w:w="1550" w:type="dxa"/>
            <w:tcBorders>
              <w:top w:val="nil"/>
              <w:left w:val="nil"/>
              <w:bottom w:val="nil"/>
              <w:right w:val="nil"/>
            </w:tcBorders>
            <w:shd w:val="clear" w:color="auto" w:fill="C0C0C0"/>
            <w:hideMark/>
          </w:tcPr>
          <w:p w14:paraId="0EAEC2F8"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Final Appropriation</w:t>
            </w:r>
          </w:p>
        </w:tc>
        <w:tc>
          <w:tcPr>
            <w:tcW w:w="2136" w:type="dxa"/>
            <w:tcBorders>
              <w:top w:val="nil"/>
              <w:left w:val="nil"/>
              <w:bottom w:val="nil"/>
              <w:right w:val="nil"/>
            </w:tcBorders>
            <w:shd w:val="clear" w:color="auto" w:fill="C0C0C0"/>
          </w:tcPr>
          <w:p w14:paraId="617A7012" w14:textId="77777777" w:rsidR="005F46A7" w:rsidRPr="005F46A7" w:rsidRDefault="005F46A7" w:rsidP="005F46A7">
            <w:pPr>
              <w:spacing w:after="200" w:line="276" w:lineRule="auto"/>
              <w:rPr>
                <w:rFonts w:ascii="Arial Narrow" w:hAnsi="Arial Narrow" w:cs="Arial Narrow"/>
                <w:bCs/>
                <w:lang w:val="en-GB"/>
              </w:rPr>
            </w:pPr>
          </w:p>
        </w:tc>
        <w:tc>
          <w:tcPr>
            <w:tcW w:w="1417" w:type="dxa"/>
            <w:tcBorders>
              <w:top w:val="nil"/>
              <w:left w:val="nil"/>
              <w:bottom w:val="nil"/>
              <w:right w:val="nil"/>
            </w:tcBorders>
            <w:shd w:val="clear" w:color="auto" w:fill="C0C0C0"/>
          </w:tcPr>
          <w:p w14:paraId="312A436C"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1 638 292</w:t>
            </w:r>
          </w:p>
        </w:tc>
        <w:tc>
          <w:tcPr>
            <w:tcW w:w="1418" w:type="dxa"/>
            <w:tcBorders>
              <w:top w:val="nil"/>
              <w:left w:val="nil"/>
              <w:bottom w:val="nil"/>
              <w:right w:val="nil"/>
            </w:tcBorders>
            <w:shd w:val="clear" w:color="auto" w:fill="C0C0C0"/>
          </w:tcPr>
          <w:p w14:paraId="3D695AC1"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1 944 592</w:t>
            </w:r>
          </w:p>
        </w:tc>
        <w:tc>
          <w:tcPr>
            <w:tcW w:w="1276" w:type="dxa"/>
            <w:tcBorders>
              <w:top w:val="nil"/>
              <w:left w:val="nil"/>
              <w:bottom w:val="nil"/>
              <w:right w:val="nil"/>
            </w:tcBorders>
            <w:shd w:val="clear" w:color="auto" w:fill="C0C0C0"/>
          </w:tcPr>
          <w:p w14:paraId="0DCB73C2"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1 782 911</w:t>
            </w:r>
          </w:p>
        </w:tc>
        <w:tc>
          <w:tcPr>
            <w:tcW w:w="1275" w:type="dxa"/>
            <w:tcBorders>
              <w:top w:val="nil"/>
              <w:left w:val="nil"/>
              <w:bottom w:val="nil"/>
              <w:right w:val="nil"/>
            </w:tcBorders>
            <w:shd w:val="clear" w:color="auto" w:fill="C0C0C0"/>
          </w:tcPr>
          <w:p w14:paraId="5124A48E"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1 796 830</w:t>
            </w:r>
          </w:p>
        </w:tc>
      </w:tr>
      <w:tr w:rsidR="005F46A7" w:rsidRPr="005F46A7" w14:paraId="54180C31" w14:textId="77777777" w:rsidTr="00227EE0">
        <w:trPr>
          <w:trHeight w:val="417"/>
        </w:trPr>
        <w:tc>
          <w:tcPr>
            <w:tcW w:w="1550" w:type="dxa"/>
            <w:tcBorders>
              <w:top w:val="nil"/>
              <w:left w:val="nil"/>
              <w:bottom w:val="nil"/>
              <w:right w:val="nil"/>
            </w:tcBorders>
            <w:hideMark/>
          </w:tcPr>
          <w:p w14:paraId="2647A803"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Actual Spending</w:t>
            </w:r>
          </w:p>
        </w:tc>
        <w:tc>
          <w:tcPr>
            <w:tcW w:w="2136" w:type="dxa"/>
            <w:tcBorders>
              <w:top w:val="nil"/>
              <w:left w:val="nil"/>
              <w:bottom w:val="nil"/>
              <w:right w:val="nil"/>
            </w:tcBorders>
          </w:tcPr>
          <w:p w14:paraId="26054C3D" w14:textId="77777777" w:rsidR="005F46A7" w:rsidRPr="005F46A7" w:rsidRDefault="005F46A7" w:rsidP="005F46A7">
            <w:pPr>
              <w:spacing w:after="200" w:line="276" w:lineRule="auto"/>
              <w:rPr>
                <w:rFonts w:ascii="Arial Narrow" w:hAnsi="Arial Narrow" w:cs="Arial Narrow"/>
                <w:bCs/>
                <w:lang w:val="en-GB"/>
              </w:rPr>
            </w:pPr>
          </w:p>
        </w:tc>
        <w:tc>
          <w:tcPr>
            <w:tcW w:w="1417" w:type="dxa"/>
            <w:tcBorders>
              <w:top w:val="nil"/>
              <w:left w:val="nil"/>
              <w:bottom w:val="nil"/>
              <w:right w:val="nil"/>
            </w:tcBorders>
          </w:tcPr>
          <w:p w14:paraId="344A8F23"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1 558 980</w:t>
            </w:r>
          </w:p>
        </w:tc>
        <w:tc>
          <w:tcPr>
            <w:tcW w:w="1418" w:type="dxa"/>
            <w:tcBorders>
              <w:top w:val="nil"/>
              <w:left w:val="nil"/>
              <w:bottom w:val="nil"/>
              <w:right w:val="nil"/>
            </w:tcBorders>
          </w:tcPr>
          <w:p w14:paraId="2B61F66D"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1 887 344</w:t>
            </w:r>
          </w:p>
        </w:tc>
        <w:tc>
          <w:tcPr>
            <w:tcW w:w="1276" w:type="dxa"/>
            <w:tcBorders>
              <w:top w:val="nil"/>
              <w:left w:val="nil"/>
              <w:bottom w:val="nil"/>
              <w:right w:val="nil"/>
            </w:tcBorders>
          </w:tcPr>
          <w:p w14:paraId="68377CBA"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1 733 913</w:t>
            </w:r>
          </w:p>
        </w:tc>
        <w:tc>
          <w:tcPr>
            <w:tcW w:w="1275" w:type="dxa"/>
            <w:tcBorders>
              <w:top w:val="nil"/>
              <w:left w:val="nil"/>
              <w:bottom w:val="nil"/>
              <w:right w:val="nil"/>
            </w:tcBorders>
          </w:tcPr>
          <w:p w14:paraId="33B8D033"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1 750 612</w:t>
            </w:r>
          </w:p>
        </w:tc>
      </w:tr>
      <w:tr w:rsidR="005F46A7" w:rsidRPr="005F46A7" w14:paraId="6891D4BB" w14:textId="77777777" w:rsidTr="00227EE0">
        <w:trPr>
          <w:trHeight w:val="429"/>
        </w:trPr>
        <w:tc>
          <w:tcPr>
            <w:tcW w:w="1550" w:type="dxa"/>
            <w:tcBorders>
              <w:top w:val="nil"/>
              <w:left w:val="nil"/>
              <w:bottom w:val="nil"/>
              <w:right w:val="nil"/>
            </w:tcBorders>
            <w:shd w:val="clear" w:color="auto" w:fill="C0C0C0"/>
            <w:hideMark/>
          </w:tcPr>
          <w:p w14:paraId="3998A192"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Under spending/var</w:t>
            </w:r>
          </w:p>
        </w:tc>
        <w:tc>
          <w:tcPr>
            <w:tcW w:w="2136" w:type="dxa"/>
            <w:tcBorders>
              <w:top w:val="nil"/>
              <w:left w:val="nil"/>
              <w:bottom w:val="nil"/>
              <w:right w:val="nil"/>
            </w:tcBorders>
            <w:shd w:val="clear" w:color="auto" w:fill="C0C0C0"/>
          </w:tcPr>
          <w:p w14:paraId="2F7B3BDA" w14:textId="77777777" w:rsidR="005F46A7" w:rsidRPr="005F46A7" w:rsidRDefault="005F46A7" w:rsidP="005F46A7">
            <w:pPr>
              <w:spacing w:after="200" w:line="276" w:lineRule="auto"/>
              <w:rPr>
                <w:rFonts w:ascii="Arial Narrow" w:hAnsi="Arial Narrow" w:cs="Arial Narrow"/>
                <w:bCs/>
                <w:lang w:val="en-GB"/>
              </w:rPr>
            </w:pPr>
          </w:p>
        </w:tc>
        <w:tc>
          <w:tcPr>
            <w:tcW w:w="1417" w:type="dxa"/>
            <w:tcBorders>
              <w:top w:val="nil"/>
              <w:left w:val="nil"/>
              <w:bottom w:val="nil"/>
              <w:right w:val="nil"/>
            </w:tcBorders>
            <w:shd w:val="clear" w:color="auto" w:fill="C0C0C0"/>
          </w:tcPr>
          <w:p w14:paraId="25B3DD8F"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79 312</w:t>
            </w:r>
          </w:p>
        </w:tc>
        <w:tc>
          <w:tcPr>
            <w:tcW w:w="1418" w:type="dxa"/>
            <w:tcBorders>
              <w:top w:val="nil"/>
              <w:left w:val="nil"/>
              <w:bottom w:val="nil"/>
              <w:right w:val="nil"/>
            </w:tcBorders>
            <w:shd w:val="clear" w:color="auto" w:fill="C0C0C0"/>
          </w:tcPr>
          <w:p w14:paraId="004775BE"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57 248</w:t>
            </w:r>
          </w:p>
        </w:tc>
        <w:tc>
          <w:tcPr>
            <w:tcW w:w="1276" w:type="dxa"/>
            <w:tcBorders>
              <w:top w:val="nil"/>
              <w:left w:val="nil"/>
              <w:bottom w:val="nil"/>
              <w:right w:val="nil"/>
            </w:tcBorders>
            <w:shd w:val="clear" w:color="auto" w:fill="C0C0C0"/>
          </w:tcPr>
          <w:p w14:paraId="507CB5BE"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48 997</w:t>
            </w:r>
          </w:p>
        </w:tc>
        <w:tc>
          <w:tcPr>
            <w:tcW w:w="1275" w:type="dxa"/>
            <w:tcBorders>
              <w:top w:val="nil"/>
              <w:left w:val="nil"/>
              <w:bottom w:val="nil"/>
              <w:right w:val="nil"/>
            </w:tcBorders>
            <w:shd w:val="clear" w:color="auto" w:fill="C0C0C0"/>
          </w:tcPr>
          <w:p w14:paraId="5B550AF2"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46 218</w:t>
            </w:r>
          </w:p>
        </w:tc>
      </w:tr>
      <w:tr w:rsidR="005F46A7" w:rsidRPr="005F46A7" w14:paraId="38FD0399" w14:textId="77777777" w:rsidTr="00227EE0">
        <w:trPr>
          <w:trHeight w:val="443"/>
        </w:trPr>
        <w:tc>
          <w:tcPr>
            <w:tcW w:w="1550" w:type="dxa"/>
            <w:tcBorders>
              <w:top w:val="nil"/>
              <w:left w:val="nil"/>
              <w:bottom w:val="single" w:sz="8" w:space="0" w:color="000000"/>
              <w:right w:val="nil"/>
            </w:tcBorders>
            <w:hideMark/>
          </w:tcPr>
          <w:p w14:paraId="3D9AFC93" w14:textId="77777777" w:rsidR="005F46A7" w:rsidRPr="005F46A7" w:rsidRDefault="005F46A7" w:rsidP="005F46A7">
            <w:pPr>
              <w:spacing w:after="200" w:line="276" w:lineRule="auto"/>
              <w:rPr>
                <w:rFonts w:ascii="Arial Narrow" w:hAnsi="Arial Narrow" w:cs="Arial Narrow"/>
                <w:b/>
                <w:bCs/>
                <w:lang w:val="en-GB"/>
              </w:rPr>
            </w:pPr>
            <w:r w:rsidRPr="005F46A7">
              <w:rPr>
                <w:rFonts w:ascii="Arial Narrow" w:hAnsi="Arial Narrow" w:cs="Arial Narrow"/>
                <w:b/>
                <w:bCs/>
                <w:lang w:val="en-GB"/>
              </w:rPr>
              <w:t>Variance %</w:t>
            </w:r>
          </w:p>
        </w:tc>
        <w:tc>
          <w:tcPr>
            <w:tcW w:w="2136" w:type="dxa"/>
            <w:tcBorders>
              <w:top w:val="nil"/>
              <w:left w:val="nil"/>
              <w:bottom w:val="single" w:sz="8" w:space="0" w:color="000000"/>
              <w:right w:val="nil"/>
            </w:tcBorders>
          </w:tcPr>
          <w:p w14:paraId="7DD869CB" w14:textId="77777777" w:rsidR="005F46A7" w:rsidRPr="005F46A7" w:rsidRDefault="005F46A7" w:rsidP="005F46A7">
            <w:pPr>
              <w:spacing w:after="200" w:line="276" w:lineRule="auto"/>
              <w:rPr>
                <w:rFonts w:ascii="Arial Narrow" w:hAnsi="Arial Narrow" w:cs="Arial Narrow"/>
                <w:bCs/>
                <w:lang w:val="en-GB"/>
              </w:rPr>
            </w:pPr>
          </w:p>
        </w:tc>
        <w:tc>
          <w:tcPr>
            <w:tcW w:w="1417" w:type="dxa"/>
            <w:tcBorders>
              <w:top w:val="nil"/>
              <w:left w:val="nil"/>
              <w:bottom w:val="single" w:sz="8" w:space="0" w:color="000000"/>
              <w:right w:val="nil"/>
            </w:tcBorders>
          </w:tcPr>
          <w:p w14:paraId="725F7B24"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4.84%</w:t>
            </w:r>
          </w:p>
        </w:tc>
        <w:tc>
          <w:tcPr>
            <w:tcW w:w="1418" w:type="dxa"/>
            <w:tcBorders>
              <w:top w:val="nil"/>
              <w:left w:val="nil"/>
              <w:bottom w:val="single" w:sz="8" w:space="0" w:color="000000"/>
              <w:right w:val="nil"/>
            </w:tcBorders>
          </w:tcPr>
          <w:p w14:paraId="54041195"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2.94%</w:t>
            </w:r>
          </w:p>
        </w:tc>
        <w:tc>
          <w:tcPr>
            <w:tcW w:w="1276" w:type="dxa"/>
            <w:tcBorders>
              <w:top w:val="nil"/>
              <w:left w:val="nil"/>
              <w:bottom w:val="single" w:sz="8" w:space="0" w:color="000000"/>
              <w:right w:val="nil"/>
            </w:tcBorders>
          </w:tcPr>
          <w:p w14:paraId="3B23648F"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2.75%</w:t>
            </w:r>
          </w:p>
        </w:tc>
        <w:tc>
          <w:tcPr>
            <w:tcW w:w="1275" w:type="dxa"/>
            <w:tcBorders>
              <w:top w:val="nil"/>
              <w:left w:val="nil"/>
              <w:bottom w:val="single" w:sz="8" w:space="0" w:color="000000"/>
              <w:right w:val="nil"/>
            </w:tcBorders>
          </w:tcPr>
          <w:p w14:paraId="57D59D36" w14:textId="77777777" w:rsidR="005F46A7" w:rsidRPr="005F46A7" w:rsidRDefault="005F46A7" w:rsidP="005F46A7">
            <w:pPr>
              <w:spacing w:after="200" w:line="276" w:lineRule="auto"/>
              <w:rPr>
                <w:rFonts w:ascii="Arial Narrow" w:hAnsi="Arial Narrow" w:cs="Arial Narrow"/>
                <w:bCs/>
                <w:lang w:val="en-GB"/>
              </w:rPr>
            </w:pPr>
            <w:r w:rsidRPr="005F46A7">
              <w:rPr>
                <w:rFonts w:ascii="Arial Narrow" w:hAnsi="Arial Narrow" w:cs="Arial Narrow"/>
                <w:bCs/>
                <w:lang w:val="en-GB"/>
              </w:rPr>
              <w:t>2.57%</w:t>
            </w:r>
          </w:p>
        </w:tc>
      </w:tr>
    </w:tbl>
    <w:p w14:paraId="0D370A67" w14:textId="27547051" w:rsidR="005F46A7" w:rsidRPr="005F46A7" w:rsidRDefault="005F46A7" w:rsidP="005F46A7">
      <w:pPr>
        <w:spacing w:after="200" w:line="276" w:lineRule="auto"/>
        <w:rPr>
          <w:rFonts w:ascii="Arial Narrow" w:hAnsi="Arial Narrow" w:cs="Arial Narrow"/>
          <w:bCs/>
          <w:sz w:val="16"/>
          <w:szCs w:val="16"/>
          <w:lang w:val="en-GB"/>
        </w:rPr>
      </w:pPr>
      <w:r w:rsidRPr="005F46A7">
        <w:rPr>
          <w:rFonts w:ascii="Arial Narrow" w:hAnsi="Arial Narrow" w:cs="Arial Narrow"/>
          <w:bCs/>
          <w:sz w:val="16"/>
          <w:szCs w:val="16"/>
          <w:lang w:val="en-GB"/>
        </w:rPr>
        <w:t>Source: DED Annual Reports and Researchers Calculations</w:t>
      </w:r>
    </w:p>
    <w:p w14:paraId="2012794C" w14:textId="2158166A" w:rsidR="00395430" w:rsidRPr="005F46A7" w:rsidRDefault="005F46A7" w:rsidP="005F46A7">
      <w:pPr>
        <w:spacing w:after="200" w:line="276" w:lineRule="auto"/>
        <w:rPr>
          <w:rFonts w:ascii="Arial Narrow" w:hAnsi="Arial Narrow" w:cs="Arial Narrow"/>
          <w:bCs/>
        </w:rPr>
      </w:pPr>
      <w:r w:rsidRPr="005F46A7">
        <w:rPr>
          <w:rFonts w:ascii="Arial Narrow" w:hAnsi="Arial Narrow" w:cs="Arial Narrow"/>
          <w:bCs/>
        </w:rPr>
        <w:t xml:space="preserve">Table </w:t>
      </w:r>
      <w:r>
        <w:rPr>
          <w:rFonts w:ascii="Arial Narrow" w:hAnsi="Arial Narrow" w:cs="Arial Narrow"/>
          <w:bCs/>
        </w:rPr>
        <w:t>1</w:t>
      </w:r>
      <w:r w:rsidRPr="005F46A7">
        <w:rPr>
          <w:rFonts w:ascii="Arial Narrow" w:hAnsi="Arial Narrow" w:cs="Arial Narrow"/>
          <w:bCs/>
        </w:rPr>
        <w:t xml:space="preserve"> shows the final appropriation for the </w:t>
      </w:r>
      <w:r>
        <w:rPr>
          <w:rFonts w:ascii="Arial Narrow" w:hAnsi="Arial Narrow" w:cs="Arial Narrow"/>
          <w:bCs/>
        </w:rPr>
        <w:t xml:space="preserve">Department </w:t>
      </w:r>
      <w:r w:rsidRPr="005F46A7">
        <w:rPr>
          <w:rFonts w:ascii="Arial Narrow" w:hAnsi="Arial Narrow" w:cs="Arial Narrow"/>
          <w:bCs/>
        </w:rPr>
        <w:t>from the 2019/20 to 202</w:t>
      </w:r>
      <w:r w:rsidRPr="005F46A7">
        <w:rPr>
          <w:rFonts w:ascii="Arial Narrow" w:hAnsi="Arial Narrow" w:cs="Arial Narrow"/>
          <w:bCs/>
          <w:lang w:val="en-US"/>
        </w:rPr>
        <w:t>2</w:t>
      </w:r>
      <w:r w:rsidRPr="005F46A7">
        <w:rPr>
          <w:rFonts w:ascii="Arial Narrow" w:hAnsi="Arial Narrow" w:cs="Arial Narrow"/>
          <w:bCs/>
        </w:rPr>
        <w:t>/2</w:t>
      </w:r>
      <w:r w:rsidRPr="005F46A7">
        <w:rPr>
          <w:rFonts w:ascii="Arial Narrow" w:hAnsi="Arial Narrow" w:cs="Arial Narrow"/>
          <w:bCs/>
          <w:lang w:val="en-US"/>
        </w:rPr>
        <w:t>3</w:t>
      </w:r>
      <w:r w:rsidRPr="005F46A7">
        <w:rPr>
          <w:rFonts w:ascii="Arial Narrow" w:hAnsi="Arial Narrow" w:cs="Arial Narrow"/>
          <w:bCs/>
        </w:rPr>
        <w:t xml:space="preserve"> financial years.</w:t>
      </w:r>
      <w:r w:rsidRPr="005F46A7">
        <w:rPr>
          <w:rFonts w:ascii="Arial Narrow" w:hAnsi="Arial Narrow" w:cs="Arial Narrow"/>
          <w:bCs/>
          <w:lang w:val="en-US"/>
        </w:rPr>
        <w:t xml:space="preserve"> In the 2022/23 financial year, a total amount of R1 750 612</w:t>
      </w:r>
      <w:r>
        <w:rPr>
          <w:rFonts w:ascii="Arial Narrow" w:hAnsi="Arial Narrow" w:cs="Arial Narrow"/>
          <w:bCs/>
          <w:lang w:val="en-US"/>
        </w:rPr>
        <w:t> </w:t>
      </w:r>
      <w:r w:rsidRPr="005F46A7">
        <w:rPr>
          <w:rFonts w:ascii="Arial Narrow" w:hAnsi="Arial Narrow" w:cs="Arial Narrow"/>
          <w:bCs/>
          <w:lang w:val="en-US"/>
        </w:rPr>
        <w:t>000</w:t>
      </w:r>
      <w:r>
        <w:rPr>
          <w:rFonts w:ascii="Arial Narrow" w:hAnsi="Arial Narrow" w:cs="Arial Narrow"/>
          <w:bCs/>
          <w:lang w:val="en-US"/>
        </w:rPr>
        <w:t xml:space="preserve"> (R 1 750.6bn)</w:t>
      </w:r>
      <w:r w:rsidRPr="005F46A7">
        <w:rPr>
          <w:rFonts w:ascii="Arial Narrow" w:hAnsi="Arial Narrow" w:cs="Arial Narrow"/>
          <w:bCs/>
          <w:lang w:val="en-US"/>
        </w:rPr>
        <w:t xml:space="preserve"> has been spent out of the appropriated R1 796 830</w:t>
      </w:r>
      <w:r>
        <w:rPr>
          <w:rFonts w:ascii="Arial Narrow" w:hAnsi="Arial Narrow" w:cs="Arial Narrow"/>
          <w:bCs/>
          <w:lang w:val="en-US"/>
        </w:rPr>
        <w:t> </w:t>
      </w:r>
      <w:r w:rsidRPr="005F46A7">
        <w:rPr>
          <w:rFonts w:ascii="Arial Narrow" w:hAnsi="Arial Narrow" w:cs="Arial Narrow"/>
          <w:bCs/>
          <w:lang w:val="en-US"/>
        </w:rPr>
        <w:t>000</w:t>
      </w:r>
      <w:r>
        <w:rPr>
          <w:rFonts w:ascii="Arial Narrow" w:hAnsi="Arial Narrow" w:cs="Arial Narrow"/>
          <w:bCs/>
          <w:lang w:val="en-US"/>
        </w:rPr>
        <w:t xml:space="preserve"> (R 1 796.8bn)</w:t>
      </w:r>
      <w:r w:rsidRPr="005F46A7">
        <w:rPr>
          <w:rFonts w:ascii="Arial Narrow" w:hAnsi="Arial Narrow" w:cs="Arial Narrow"/>
          <w:bCs/>
          <w:lang w:val="en-US"/>
        </w:rPr>
        <w:t xml:space="preserve">, and this translates to 97.43% </w:t>
      </w:r>
      <w:r>
        <w:rPr>
          <w:rFonts w:ascii="Arial Narrow" w:hAnsi="Arial Narrow" w:cs="Arial Narrow"/>
          <w:bCs/>
          <w:lang w:val="en-US"/>
        </w:rPr>
        <w:t>expenditure with an</w:t>
      </w:r>
      <w:r w:rsidRPr="005F46A7">
        <w:rPr>
          <w:rFonts w:ascii="Arial Narrow" w:hAnsi="Arial Narrow" w:cs="Arial Narrow"/>
          <w:bCs/>
          <w:lang w:val="en-US"/>
        </w:rPr>
        <w:t xml:space="preserve"> 2.57% variance. </w:t>
      </w:r>
      <w:r w:rsidRPr="005F46A7">
        <w:rPr>
          <w:rFonts w:ascii="Arial Narrow" w:hAnsi="Arial Narrow" w:cs="Arial Narrow"/>
          <w:bCs/>
        </w:rPr>
        <w:t xml:space="preserve">While </w:t>
      </w:r>
      <w:proofErr w:type="gramStart"/>
      <w:r w:rsidRPr="005F46A7">
        <w:rPr>
          <w:rFonts w:ascii="Arial Narrow" w:hAnsi="Arial Narrow" w:cs="Arial Narrow"/>
          <w:bCs/>
        </w:rPr>
        <w:t>similar to</w:t>
      </w:r>
      <w:proofErr w:type="gramEnd"/>
      <w:r w:rsidRPr="005F46A7">
        <w:rPr>
          <w:rFonts w:ascii="Arial Narrow" w:hAnsi="Arial Narrow" w:cs="Arial Narrow"/>
          <w:bCs/>
        </w:rPr>
        <w:t xml:space="preserve"> the preceding financial year the variance is within the 3%, it represents a huge sum of R4</w:t>
      </w:r>
      <w:r w:rsidRPr="005F46A7">
        <w:rPr>
          <w:rFonts w:ascii="Arial Narrow" w:hAnsi="Arial Narrow" w:cs="Arial Narrow"/>
          <w:bCs/>
          <w:lang w:val="en-US"/>
        </w:rPr>
        <w:t>6 218</w:t>
      </w:r>
      <w:r>
        <w:rPr>
          <w:rFonts w:ascii="Arial Narrow" w:hAnsi="Arial Narrow" w:cs="Arial Narrow"/>
          <w:bCs/>
          <w:lang w:val="en-US"/>
        </w:rPr>
        <w:t> </w:t>
      </w:r>
      <w:r w:rsidRPr="005F46A7">
        <w:rPr>
          <w:rFonts w:ascii="Arial Narrow" w:hAnsi="Arial Narrow" w:cs="Arial Narrow"/>
          <w:bCs/>
          <w:lang w:val="en-US"/>
        </w:rPr>
        <w:t>000</w:t>
      </w:r>
      <w:r>
        <w:rPr>
          <w:rFonts w:ascii="Arial Narrow" w:hAnsi="Arial Narrow" w:cs="Arial Narrow"/>
          <w:bCs/>
          <w:lang w:val="en-US"/>
        </w:rPr>
        <w:t xml:space="preserve"> (R 46.2m) The underspent amount could have contributed significantly to the creation of jobs and support of SMME’s noting that some of the programme including entities struggled with financially supporting job creation initiatives</w:t>
      </w:r>
      <w:r w:rsidRPr="005F46A7">
        <w:rPr>
          <w:rFonts w:ascii="Arial Narrow" w:hAnsi="Arial Narrow" w:cs="Arial Narrow"/>
          <w:bCs/>
        </w:rPr>
        <w:t xml:space="preserve">. </w:t>
      </w:r>
    </w:p>
    <w:p w14:paraId="2B95BEA7" w14:textId="22990B06" w:rsidR="00746B67" w:rsidRPr="005F46A7" w:rsidRDefault="00746B67" w:rsidP="00C93456">
      <w:pPr>
        <w:spacing w:line="276" w:lineRule="auto"/>
        <w:rPr>
          <w:rFonts w:ascii="Arial Narrow" w:hAnsi="Arial Narrow"/>
          <w:bCs/>
        </w:rPr>
      </w:pPr>
    </w:p>
    <w:p w14:paraId="670F6964" w14:textId="5176C6CC" w:rsidR="005F46A7" w:rsidRPr="005F46A7" w:rsidRDefault="005F46A7" w:rsidP="005F46A7">
      <w:pPr>
        <w:spacing w:after="200"/>
        <w:rPr>
          <w:rFonts w:ascii="Arial Narrow" w:eastAsia="Calibri" w:hAnsi="Arial Narrow" w:cs="Times New Roman"/>
          <w:bCs/>
          <w:lang w:val="en-GB"/>
        </w:rPr>
      </w:pPr>
      <w:r w:rsidRPr="005F46A7">
        <w:rPr>
          <w:rFonts w:ascii="Arial Narrow" w:eastAsia="Calibri" w:hAnsi="Arial Narrow" w:cs="Times New Roman"/>
          <w:bCs/>
          <w:lang w:val="en-GB"/>
        </w:rPr>
        <w:t>Table 2: Departmental Expenditure per programme R’000 2021/22 To 2022/23 FYs</w:t>
      </w:r>
    </w:p>
    <w:tbl>
      <w:tblPr>
        <w:tblW w:w="9026" w:type="dxa"/>
        <w:tblInd w:w="10" w:type="dxa"/>
        <w:tblLayout w:type="fixed"/>
        <w:tblLook w:val="04A0" w:firstRow="1" w:lastRow="0" w:firstColumn="1" w:lastColumn="0" w:noHBand="0" w:noVBand="1"/>
      </w:tblPr>
      <w:tblGrid>
        <w:gridCol w:w="2258"/>
        <w:gridCol w:w="969"/>
        <w:gridCol w:w="874"/>
        <w:gridCol w:w="1276"/>
        <w:gridCol w:w="850"/>
        <w:gridCol w:w="993"/>
        <w:gridCol w:w="996"/>
        <w:gridCol w:w="810"/>
      </w:tblGrid>
      <w:tr w:rsidR="005F46A7" w:rsidRPr="005F46A7" w14:paraId="1DD7619C" w14:textId="77777777" w:rsidTr="00227EE0">
        <w:tc>
          <w:tcPr>
            <w:tcW w:w="2258" w:type="dxa"/>
            <w:hideMark/>
          </w:tcPr>
          <w:p w14:paraId="554B1FF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 xml:space="preserve">Programme </w:t>
            </w:r>
          </w:p>
        </w:tc>
        <w:tc>
          <w:tcPr>
            <w:tcW w:w="969" w:type="dxa"/>
            <w:tcBorders>
              <w:bottom w:val="single" w:sz="4" w:space="0" w:color="666666"/>
            </w:tcBorders>
          </w:tcPr>
          <w:p w14:paraId="3E15D2CB"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 xml:space="preserve"> 2021/22</w:t>
            </w:r>
          </w:p>
        </w:tc>
        <w:tc>
          <w:tcPr>
            <w:tcW w:w="874" w:type="dxa"/>
            <w:tcBorders>
              <w:bottom w:val="single" w:sz="4" w:space="0" w:color="666666"/>
            </w:tcBorders>
          </w:tcPr>
          <w:p w14:paraId="664498F3"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2022/23</w:t>
            </w:r>
          </w:p>
        </w:tc>
        <w:tc>
          <w:tcPr>
            <w:tcW w:w="1276" w:type="dxa"/>
            <w:tcBorders>
              <w:bottom w:val="single" w:sz="4" w:space="0" w:color="666666"/>
            </w:tcBorders>
            <w:hideMark/>
          </w:tcPr>
          <w:p w14:paraId="70AC8EFF"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Actual spending</w:t>
            </w:r>
          </w:p>
        </w:tc>
        <w:tc>
          <w:tcPr>
            <w:tcW w:w="850" w:type="dxa"/>
            <w:tcBorders>
              <w:bottom w:val="single" w:sz="4" w:space="0" w:color="666666"/>
            </w:tcBorders>
            <w:hideMark/>
          </w:tcPr>
          <w:p w14:paraId="26F6BBFB"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Variance</w:t>
            </w:r>
          </w:p>
        </w:tc>
        <w:tc>
          <w:tcPr>
            <w:tcW w:w="993" w:type="dxa"/>
            <w:tcBorders>
              <w:bottom w:val="single" w:sz="4" w:space="0" w:color="666666"/>
            </w:tcBorders>
            <w:hideMark/>
          </w:tcPr>
          <w:p w14:paraId="62966306"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Variance %</w:t>
            </w:r>
          </w:p>
        </w:tc>
        <w:tc>
          <w:tcPr>
            <w:tcW w:w="996" w:type="dxa"/>
            <w:tcBorders>
              <w:bottom w:val="single" w:sz="4" w:space="0" w:color="666666"/>
            </w:tcBorders>
            <w:hideMark/>
          </w:tcPr>
          <w:p w14:paraId="3E61CB06"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Spending %</w:t>
            </w:r>
          </w:p>
        </w:tc>
        <w:tc>
          <w:tcPr>
            <w:tcW w:w="810" w:type="dxa"/>
            <w:tcBorders>
              <w:bottom w:val="single" w:sz="4" w:space="0" w:color="666666"/>
            </w:tcBorders>
            <w:hideMark/>
          </w:tcPr>
          <w:p w14:paraId="48B689F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 target</w:t>
            </w:r>
          </w:p>
        </w:tc>
      </w:tr>
      <w:tr w:rsidR="005F46A7" w:rsidRPr="005F46A7" w14:paraId="39796618" w14:textId="77777777" w:rsidTr="00227EE0">
        <w:trPr>
          <w:trHeight w:val="239"/>
        </w:trPr>
        <w:tc>
          <w:tcPr>
            <w:tcW w:w="2258" w:type="dxa"/>
            <w:tcBorders>
              <w:right w:val="single" w:sz="4" w:space="0" w:color="666666"/>
            </w:tcBorders>
            <w:hideMark/>
          </w:tcPr>
          <w:p w14:paraId="6AC85CD6"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Administration</w:t>
            </w:r>
          </w:p>
        </w:tc>
        <w:tc>
          <w:tcPr>
            <w:tcW w:w="969" w:type="dxa"/>
            <w:tcBorders>
              <w:top w:val="single" w:sz="4" w:space="0" w:color="666666"/>
              <w:left w:val="single" w:sz="4" w:space="0" w:color="666666"/>
              <w:bottom w:val="single" w:sz="4" w:space="0" w:color="666666"/>
              <w:right w:val="single" w:sz="4" w:space="0" w:color="666666"/>
            </w:tcBorders>
          </w:tcPr>
          <w:p w14:paraId="239E5C4E"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230 736</w:t>
            </w:r>
          </w:p>
        </w:tc>
        <w:tc>
          <w:tcPr>
            <w:tcW w:w="874" w:type="dxa"/>
            <w:tcBorders>
              <w:top w:val="single" w:sz="4" w:space="0" w:color="666666"/>
              <w:left w:val="single" w:sz="4" w:space="0" w:color="666666"/>
              <w:bottom w:val="single" w:sz="4" w:space="0" w:color="666666"/>
              <w:right w:val="single" w:sz="4" w:space="0" w:color="666666"/>
            </w:tcBorders>
          </w:tcPr>
          <w:p w14:paraId="0D47D8CE"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254 051</w:t>
            </w:r>
          </w:p>
        </w:tc>
        <w:tc>
          <w:tcPr>
            <w:tcW w:w="1276" w:type="dxa"/>
            <w:tcBorders>
              <w:top w:val="single" w:sz="4" w:space="0" w:color="666666"/>
              <w:left w:val="single" w:sz="4" w:space="0" w:color="666666"/>
              <w:bottom w:val="single" w:sz="4" w:space="0" w:color="666666"/>
              <w:right w:val="single" w:sz="4" w:space="0" w:color="666666"/>
            </w:tcBorders>
            <w:hideMark/>
          </w:tcPr>
          <w:p w14:paraId="185520B8"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238 399</w:t>
            </w:r>
          </w:p>
        </w:tc>
        <w:tc>
          <w:tcPr>
            <w:tcW w:w="850" w:type="dxa"/>
            <w:tcBorders>
              <w:top w:val="single" w:sz="4" w:space="0" w:color="666666"/>
              <w:left w:val="single" w:sz="4" w:space="0" w:color="666666"/>
              <w:bottom w:val="single" w:sz="4" w:space="0" w:color="666666"/>
              <w:right w:val="single" w:sz="4" w:space="0" w:color="666666"/>
            </w:tcBorders>
            <w:hideMark/>
          </w:tcPr>
          <w:p w14:paraId="14D4EA12"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15 651</w:t>
            </w:r>
          </w:p>
        </w:tc>
        <w:tc>
          <w:tcPr>
            <w:tcW w:w="993" w:type="dxa"/>
            <w:tcBorders>
              <w:top w:val="single" w:sz="4" w:space="0" w:color="666666"/>
              <w:left w:val="single" w:sz="4" w:space="0" w:color="666666"/>
              <w:bottom w:val="single" w:sz="4" w:space="0" w:color="666666"/>
              <w:right w:val="single" w:sz="4" w:space="0" w:color="666666"/>
            </w:tcBorders>
            <w:hideMark/>
          </w:tcPr>
          <w:p w14:paraId="472462FF"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6.16%</w:t>
            </w:r>
          </w:p>
        </w:tc>
        <w:tc>
          <w:tcPr>
            <w:tcW w:w="996" w:type="dxa"/>
            <w:tcBorders>
              <w:top w:val="single" w:sz="4" w:space="0" w:color="666666"/>
              <w:left w:val="single" w:sz="4" w:space="0" w:color="666666"/>
              <w:bottom w:val="single" w:sz="4" w:space="0" w:color="666666"/>
              <w:right w:val="single" w:sz="4" w:space="0" w:color="666666"/>
            </w:tcBorders>
            <w:hideMark/>
          </w:tcPr>
          <w:p w14:paraId="59F69BCA"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93.84%</w:t>
            </w:r>
          </w:p>
        </w:tc>
        <w:tc>
          <w:tcPr>
            <w:tcW w:w="810" w:type="dxa"/>
            <w:tcBorders>
              <w:top w:val="single" w:sz="4" w:space="0" w:color="666666"/>
              <w:left w:val="single" w:sz="4" w:space="0" w:color="666666"/>
              <w:bottom w:val="single" w:sz="4" w:space="0" w:color="666666"/>
              <w:right w:val="single" w:sz="4" w:space="0" w:color="666666"/>
            </w:tcBorders>
            <w:hideMark/>
          </w:tcPr>
          <w:p w14:paraId="64C37557"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50.00%</w:t>
            </w:r>
          </w:p>
        </w:tc>
      </w:tr>
      <w:tr w:rsidR="005F46A7" w:rsidRPr="005F46A7" w14:paraId="37BBEFC3" w14:textId="77777777" w:rsidTr="00227EE0">
        <w:trPr>
          <w:trHeight w:val="215"/>
        </w:trPr>
        <w:tc>
          <w:tcPr>
            <w:tcW w:w="2258" w:type="dxa"/>
            <w:tcBorders>
              <w:right w:val="single" w:sz="4" w:space="0" w:color="666666"/>
            </w:tcBorders>
            <w:hideMark/>
          </w:tcPr>
          <w:p w14:paraId="014E783F"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IEDS</w:t>
            </w:r>
          </w:p>
        </w:tc>
        <w:tc>
          <w:tcPr>
            <w:tcW w:w="969" w:type="dxa"/>
            <w:tcBorders>
              <w:top w:val="single" w:sz="4" w:space="0" w:color="666666"/>
              <w:left w:val="single" w:sz="4" w:space="0" w:color="666666"/>
              <w:bottom w:val="single" w:sz="4" w:space="0" w:color="666666"/>
              <w:right w:val="single" w:sz="4" w:space="0" w:color="666666"/>
            </w:tcBorders>
          </w:tcPr>
          <w:p w14:paraId="3A67ADFA"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309 403</w:t>
            </w:r>
          </w:p>
        </w:tc>
        <w:tc>
          <w:tcPr>
            <w:tcW w:w="874" w:type="dxa"/>
            <w:tcBorders>
              <w:top w:val="single" w:sz="4" w:space="0" w:color="666666"/>
              <w:left w:val="single" w:sz="4" w:space="0" w:color="666666"/>
              <w:bottom w:val="single" w:sz="4" w:space="0" w:color="666666"/>
              <w:right w:val="single" w:sz="4" w:space="0" w:color="666666"/>
            </w:tcBorders>
          </w:tcPr>
          <w:p w14:paraId="368A264A"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223 876</w:t>
            </w:r>
          </w:p>
        </w:tc>
        <w:tc>
          <w:tcPr>
            <w:tcW w:w="1276" w:type="dxa"/>
            <w:tcBorders>
              <w:top w:val="single" w:sz="4" w:space="0" w:color="666666"/>
              <w:left w:val="single" w:sz="4" w:space="0" w:color="666666"/>
              <w:bottom w:val="single" w:sz="4" w:space="0" w:color="666666"/>
              <w:right w:val="single" w:sz="4" w:space="0" w:color="666666"/>
            </w:tcBorders>
            <w:hideMark/>
          </w:tcPr>
          <w:p w14:paraId="6CEBBB59"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223 876</w:t>
            </w:r>
          </w:p>
        </w:tc>
        <w:tc>
          <w:tcPr>
            <w:tcW w:w="850" w:type="dxa"/>
            <w:tcBorders>
              <w:top w:val="single" w:sz="4" w:space="0" w:color="666666"/>
              <w:left w:val="single" w:sz="4" w:space="0" w:color="666666"/>
              <w:bottom w:val="single" w:sz="4" w:space="0" w:color="666666"/>
              <w:right w:val="single" w:sz="4" w:space="0" w:color="666666"/>
            </w:tcBorders>
            <w:hideMark/>
          </w:tcPr>
          <w:p w14:paraId="2A7F36B3"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w:t>
            </w:r>
          </w:p>
        </w:tc>
        <w:tc>
          <w:tcPr>
            <w:tcW w:w="993" w:type="dxa"/>
            <w:tcBorders>
              <w:top w:val="single" w:sz="4" w:space="0" w:color="666666"/>
              <w:left w:val="single" w:sz="4" w:space="0" w:color="666666"/>
              <w:bottom w:val="single" w:sz="4" w:space="0" w:color="666666"/>
              <w:right w:val="single" w:sz="4" w:space="0" w:color="666666"/>
            </w:tcBorders>
            <w:hideMark/>
          </w:tcPr>
          <w:p w14:paraId="6D62441F"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0,00%</w:t>
            </w:r>
          </w:p>
        </w:tc>
        <w:tc>
          <w:tcPr>
            <w:tcW w:w="996" w:type="dxa"/>
            <w:tcBorders>
              <w:top w:val="single" w:sz="4" w:space="0" w:color="666666"/>
              <w:left w:val="single" w:sz="4" w:space="0" w:color="666666"/>
              <w:bottom w:val="single" w:sz="4" w:space="0" w:color="666666"/>
              <w:right w:val="single" w:sz="4" w:space="0" w:color="666666"/>
            </w:tcBorders>
            <w:hideMark/>
          </w:tcPr>
          <w:p w14:paraId="6DDC43F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100,00%</w:t>
            </w:r>
          </w:p>
        </w:tc>
        <w:tc>
          <w:tcPr>
            <w:tcW w:w="810" w:type="dxa"/>
            <w:tcBorders>
              <w:top w:val="single" w:sz="4" w:space="0" w:color="666666"/>
              <w:left w:val="single" w:sz="4" w:space="0" w:color="666666"/>
              <w:bottom w:val="single" w:sz="4" w:space="0" w:color="666666"/>
              <w:right w:val="single" w:sz="4" w:space="0" w:color="666666"/>
            </w:tcBorders>
            <w:hideMark/>
          </w:tcPr>
          <w:p w14:paraId="3628010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50.00%</w:t>
            </w:r>
          </w:p>
        </w:tc>
      </w:tr>
      <w:tr w:rsidR="005F46A7" w:rsidRPr="005F46A7" w14:paraId="1B9408F9" w14:textId="77777777" w:rsidTr="00227EE0">
        <w:tc>
          <w:tcPr>
            <w:tcW w:w="2258" w:type="dxa"/>
            <w:tcBorders>
              <w:right w:val="single" w:sz="4" w:space="0" w:color="666666"/>
            </w:tcBorders>
            <w:hideMark/>
          </w:tcPr>
          <w:p w14:paraId="3FE9E89A"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lastRenderedPageBreak/>
              <w:t>Trade and Sector Development</w:t>
            </w:r>
          </w:p>
        </w:tc>
        <w:tc>
          <w:tcPr>
            <w:tcW w:w="969" w:type="dxa"/>
            <w:tcBorders>
              <w:top w:val="single" w:sz="4" w:space="0" w:color="666666"/>
              <w:left w:val="single" w:sz="4" w:space="0" w:color="666666"/>
              <w:bottom w:val="single" w:sz="4" w:space="0" w:color="666666"/>
              <w:right w:val="single" w:sz="4" w:space="0" w:color="666666"/>
            </w:tcBorders>
          </w:tcPr>
          <w:p w14:paraId="0B8D30D8"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822 946</w:t>
            </w:r>
          </w:p>
        </w:tc>
        <w:tc>
          <w:tcPr>
            <w:tcW w:w="874" w:type="dxa"/>
            <w:tcBorders>
              <w:top w:val="single" w:sz="4" w:space="0" w:color="666666"/>
              <w:left w:val="single" w:sz="4" w:space="0" w:color="666666"/>
              <w:bottom w:val="single" w:sz="4" w:space="0" w:color="666666"/>
              <w:right w:val="single" w:sz="4" w:space="0" w:color="666666"/>
            </w:tcBorders>
          </w:tcPr>
          <w:p w14:paraId="42977A3A"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798 613</w:t>
            </w:r>
          </w:p>
        </w:tc>
        <w:tc>
          <w:tcPr>
            <w:tcW w:w="1276" w:type="dxa"/>
            <w:tcBorders>
              <w:top w:val="single" w:sz="4" w:space="0" w:color="666666"/>
              <w:left w:val="single" w:sz="4" w:space="0" w:color="666666"/>
              <w:bottom w:val="single" w:sz="4" w:space="0" w:color="666666"/>
              <w:right w:val="single" w:sz="4" w:space="0" w:color="666666"/>
            </w:tcBorders>
            <w:hideMark/>
          </w:tcPr>
          <w:p w14:paraId="4838DFE8"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798 613</w:t>
            </w:r>
          </w:p>
        </w:tc>
        <w:tc>
          <w:tcPr>
            <w:tcW w:w="850" w:type="dxa"/>
            <w:tcBorders>
              <w:top w:val="single" w:sz="4" w:space="0" w:color="666666"/>
              <w:left w:val="single" w:sz="4" w:space="0" w:color="666666"/>
              <w:bottom w:val="single" w:sz="4" w:space="0" w:color="666666"/>
              <w:right w:val="single" w:sz="4" w:space="0" w:color="666666"/>
            </w:tcBorders>
            <w:hideMark/>
          </w:tcPr>
          <w:p w14:paraId="48F2A32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w:t>
            </w:r>
          </w:p>
        </w:tc>
        <w:tc>
          <w:tcPr>
            <w:tcW w:w="993" w:type="dxa"/>
            <w:tcBorders>
              <w:top w:val="single" w:sz="4" w:space="0" w:color="666666"/>
              <w:left w:val="single" w:sz="4" w:space="0" w:color="666666"/>
              <w:bottom w:val="single" w:sz="4" w:space="0" w:color="666666"/>
              <w:right w:val="single" w:sz="4" w:space="0" w:color="666666"/>
            </w:tcBorders>
            <w:hideMark/>
          </w:tcPr>
          <w:p w14:paraId="1F699072"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0,00%</w:t>
            </w:r>
          </w:p>
        </w:tc>
        <w:tc>
          <w:tcPr>
            <w:tcW w:w="996" w:type="dxa"/>
            <w:tcBorders>
              <w:top w:val="single" w:sz="4" w:space="0" w:color="666666"/>
              <w:left w:val="single" w:sz="4" w:space="0" w:color="666666"/>
              <w:bottom w:val="single" w:sz="4" w:space="0" w:color="666666"/>
              <w:right w:val="single" w:sz="4" w:space="0" w:color="666666"/>
            </w:tcBorders>
            <w:hideMark/>
          </w:tcPr>
          <w:p w14:paraId="2FD71C43"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100,00%</w:t>
            </w:r>
          </w:p>
        </w:tc>
        <w:tc>
          <w:tcPr>
            <w:tcW w:w="810" w:type="dxa"/>
            <w:tcBorders>
              <w:top w:val="single" w:sz="4" w:space="0" w:color="666666"/>
              <w:left w:val="single" w:sz="4" w:space="0" w:color="666666"/>
              <w:bottom w:val="single" w:sz="4" w:space="0" w:color="666666"/>
              <w:right w:val="single" w:sz="4" w:space="0" w:color="666666"/>
            </w:tcBorders>
            <w:hideMark/>
          </w:tcPr>
          <w:p w14:paraId="6A640EAE"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37.50%</w:t>
            </w:r>
          </w:p>
        </w:tc>
      </w:tr>
      <w:tr w:rsidR="005F46A7" w:rsidRPr="005F46A7" w14:paraId="6856A394" w14:textId="77777777" w:rsidTr="00227EE0">
        <w:trPr>
          <w:trHeight w:val="323"/>
        </w:trPr>
        <w:tc>
          <w:tcPr>
            <w:tcW w:w="2258" w:type="dxa"/>
            <w:tcBorders>
              <w:right w:val="single" w:sz="4" w:space="0" w:color="666666"/>
            </w:tcBorders>
            <w:hideMark/>
          </w:tcPr>
          <w:p w14:paraId="1928F12E"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Business Regulation &amp; Governance</w:t>
            </w:r>
          </w:p>
        </w:tc>
        <w:tc>
          <w:tcPr>
            <w:tcW w:w="969" w:type="dxa"/>
            <w:tcBorders>
              <w:top w:val="single" w:sz="4" w:space="0" w:color="666666"/>
              <w:left w:val="single" w:sz="4" w:space="0" w:color="666666"/>
              <w:bottom w:val="single" w:sz="4" w:space="0" w:color="666666"/>
              <w:right w:val="single" w:sz="4" w:space="0" w:color="666666"/>
            </w:tcBorders>
          </w:tcPr>
          <w:p w14:paraId="52B93871"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92 815</w:t>
            </w:r>
          </w:p>
        </w:tc>
        <w:tc>
          <w:tcPr>
            <w:tcW w:w="874" w:type="dxa"/>
            <w:tcBorders>
              <w:top w:val="single" w:sz="4" w:space="0" w:color="666666"/>
              <w:left w:val="single" w:sz="4" w:space="0" w:color="666666"/>
              <w:bottom w:val="single" w:sz="4" w:space="0" w:color="666666"/>
              <w:right w:val="single" w:sz="4" w:space="0" w:color="666666"/>
            </w:tcBorders>
          </w:tcPr>
          <w:p w14:paraId="26B732E0"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146 797</w:t>
            </w:r>
          </w:p>
        </w:tc>
        <w:tc>
          <w:tcPr>
            <w:tcW w:w="1276" w:type="dxa"/>
            <w:tcBorders>
              <w:top w:val="single" w:sz="4" w:space="0" w:color="666666"/>
              <w:left w:val="single" w:sz="4" w:space="0" w:color="666666"/>
              <w:bottom w:val="single" w:sz="4" w:space="0" w:color="666666"/>
              <w:right w:val="single" w:sz="4" w:space="0" w:color="666666"/>
            </w:tcBorders>
            <w:hideMark/>
          </w:tcPr>
          <w:p w14:paraId="5D277D76"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143 344</w:t>
            </w:r>
          </w:p>
        </w:tc>
        <w:tc>
          <w:tcPr>
            <w:tcW w:w="850" w:type="dxa"/>
            <w:tcBorders>
              <w:top w:val="single" w:sz="4" w:space="0" w:color="666666"/>
              <w:left w:val="single" w:sz="4" w:space="0" w:color="666666"/>
              <w:bottom w:val="single" w:sz="4" w:space="0" w:color="666666"/>
              <w:right w:val="single" w:sz="4" w:space="0" w:color="666666"/>
            </w:tcBorders>
            <w:hideMark/>
          </w:tcPr>
          <w:p w14:paraId="4F04F9A6"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3 453</w:t>
            </w:r>
          </w:p>
        </w:tc>
        <w:tc>
          <w:tcPr>
            <w:tcW w:w="993" w:type="dxa"/>
            <w:tcBorders>
              <w:top w:val="single" w:sz="4" w:space="0" w:color="666666"/>
              <w:left w:val="single" w:sz="4" w:space="0" w:color="666666"/>
              <w:bottom w:val="single" w:sz="4" w:space="0" w:color="666666"/>
              <w:right w:val="single" w:sz="4" w:space="0" w:color="666666"/>
            </w:tcBorders>
            <w:hideMark/>
          </w:tcPr>
          <w:p w14:paraId="0CEA30B8"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2.35%</w:t>
            </w:r>
          </w:p>
        </w:tc>
        <w:tc>
          <w:tcPr>
            <w:tcW w:w="996" w:type="dxa"/>
            <w:tcBorders>
              <w:top w:val="single" w:sz="4" w:space="0" w:color="666666"/>
              <w:left w:val="single" w:sz="4" w:space="0" w:color="666666"/>
              <w:bottom w:val="single" w:sz="4" w:space="0" w:color="666666"/>
              <w:right w:val="single" w:sz="4" w:space="0" w:color="666666"/>
            </w:tcBorders>
            <w:hideMark/>
          </w:tcPr>
          <w:p w14:paraId="0F5BCD67"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97.65%</w:t>
            </w:r>
          </w:p>
        </w:tc>
        <w:tc>
          <w:tcPr>
            <w:tcW w:w="810" w:type="dxa"/>
            <w:tcBorders>
              <w:top w:val="single" w:sz="4" w:space="0" w:color="666666"/>
              <w:left w:val="single" w:sz="4" w:space="0" w:color="666666"/>
              <w:bottom w:val="single" w:sz="4" w:space="0" w:color="666666"/>
              <w:right w:val="single" w:sz="4" w:space="0" w:color="666666"/>
            </w:tcBorders>
            <w:hideMark/>
          </w:tcPr>
          <w:p w14:paraId="4FE391A1"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50.00%</w:t>
            </w:r>
          </w:p>
        </w:tc>
      </w:tr>
      <w:tr w:rsidR="005F46A7" w:rsidRPr="005F46A7" w14:paraId="7675F8EB" w14:textId="77777777" w:rsidTr="00227EE0">
        <w:tc>
          <w:tcPr>
            <w:tcW w:w="2258" w:type="dxa"/>
            <w:tcBorders>
              <w:right w:val="single" w:sz="4" w:space="0" w:color="666666"/>
            </w:tcBorders>
            <w:hideMark/>
          </w:tcPr>
          <w:p w14:paraId="5ECE59A7"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Economic Planning</w:t>
            </w:r>
          </w:p>
        </w:tc>
        <w:tc>
          <w:tcPr>
            <w:tcW w:w="969" w:type="dxa"/>
            <w:tcBorders>
              <w:top w:val="single" w:sz="4" w:space="0" w:color="666666"/>
              <w:left w:val="single" w:sz="4" w:space="0" w:color="666666"/>
              <w:bottom w:val="single" w:sz="4" w:space="0" w:color="666666"/>
              <w:right w:val="single" w:sz="4" w:space="0" w:color="666666"/>
            </w:tcBorders>
          </w:tcPr>
          <w:p w14:paraId="2D52434C"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327 010</w:t>
            </w:r>
          </w:p>
        </w:tc>
        <w:tc>
          <w:tcPr>
            <w:tcW w:w="874" w:type="dxa"/>
            <w:tcBorders>
              <w:top w:val="single" w:sz="4" w:space="0" w:color="666666"/>
              <w:left w:val="single" w:sz="4" w:space="0" w:color="666666"/>
              <w:bottom w:val="single" w:sz="4" w:space="0" w:color="666666"/>
              <w:right w:val="single" w:sz="4" w:space="0" w:color="666666"/>
            </w:tcBorders>
          </w:tcPr>
          <w:p w14:paraId="47EC761A"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373 493</w:t>
            </w:r>
          </w:p>
        </w:tc>
        <w:tc>
          <w:tcPr>
            <w:tcW w:w="1276" w:type="dxa"/>
            <w:tcBorders>
              <w:top w:val="single" w:sz="4" w:space="0" w:color="666666"/>
              <w:left w:val="single" w:sz="4" w:space="0" w:color="666666"/>
              <w:bottom w:val="single" w:sz="4" w:space="0" w:color="666666"/>
              <w:right w:val="single" w:sz="4" w:space="0" w:color="666666"/>
            </w:tcBorders>
            <w:hideMark/>
          </w:tcPr>
          <w:p w14:paraId="557BA5D3"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346 381</w:t>
            </w:r>
          </w:p>
        </w:tc>
        <w:tc>
          <w:tcPr>
            <w:tcW w:w="850" w:type="dxa"/>
            <w:tcBorders>
              <w:top w:val="single" w:sz="4" w:space="0" w:color="666666"/>
              <w:left w:val="single" w:sz="4" w:space="0" w:color="666666"/>
              <w:bottom w:val="single" w:sz="4" w:space="0" w:color="666666"/>
              <w:right w:val="single" w:sz="4" w:space="0" w:color="666666"/>
            </w:tcBorders>
            <w:hideMark/>
          </w:tcPr>
          <w:p w14:paraId="03957C74"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27 112</w:t>
            </w:r>
          </w:p>
        </w:tc>
        <w:tc>
          <w:tcPr>
            <w:tcW w:w="993" w:type="dxa"/>
            <w:tcBorders>
              <w:top w:val="single" w:sz="4" w:space="0" w:color="666666"/>
              <w:left w:val="single" w:sz="4" w:space="0" w:color="666666"/>
              <w:bottom w:val="single" w:sz="4" w:space="0" w:color="666666"/>
              <w:right w:val="single" w:sz="4" w:space="0" w:color="666666"/>
            </w:tcBorders>
            <w:hideMark/>
          </w:tcPr>
          <w:p w14:paraId="18D417BB"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7.26%</w:t>
            </w:r>
          </w:p>
        </w:tc>
        <w:tc>
          <w:tcPr>
            <w:tcW w:w="996" w:type="dxa"/>
            <w:tcBorders>
              <w:top w:val="single" w:sz="4" w:space="0" w:color="666666"/>
              <w:left w:val="single" w:sz="4" w:space="0" w:color="666666"/>
              <w:bottom w:val="single" w:sz="4" w:space="0" w:color="666666"/>
              <w:right w:val="single" w:sz="4" w:space="0" w:color="666666"/>
            </w:tcBorders>
            <w:hideMark/>
          </w:tcPr>
          <w:p w14:paraId="1B9F0D2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92.74%</w:t>
            </w:r>
          </w:p>
        </w:tc>
        <w:tc>
          <w:tcPr>
            <w:tcW w:w="810" w:type="dxa"/>
            <w:tcBorders>
              <w:top w:val="single" w:sz="4" w:space="0" w:color="666666"/>
              <w:left w:val="single" w:sz="4" w:space="0" w:color="666666"/>
              <w:bottom w:val="single" w:sz="4" w:space="0" w:color="666666"/>
              <w:right w:val="single" w:sz="4" w:space="0" w:color="666666"/>
            </w:tcBorders>
            <w:hideMark/>
          </w:tcPr>
          <w:p w14:paraId="3FC7FE5C"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22.22%</w:t>
            </w:r>
          </w:p>
        </w:tc>
      </w:tr>
      <w:tr w:rsidR="005F46A7" w:rsidRPr="005F46A7" w14:paraId="7CD39EAC" w14:textId="77777777" w:rsidTr="00227EE0">
        <w:tc>
          <w:tcPr>
            <w:tcW w:w="2258" w:type="dxa"/>
            <w:tcBorders>
              <w:right w:val="single" w:sz="4" w:space="0" w:color="666666"/>
            </w:tcBorders>
            <w:hideMark/>
          </w:tcPr>
          <w:p w14:paraId="26DB45FC"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Total</w:t>
            </w:r>
          </w:p>
        </w:tc>
        <w:tc>
          <w:tcPr>
            <w:tcW w:w="969" w:type="dxa"/>
            <w:tcBorders>
              <w:top w:val="single" w:sz="4" w:space="0" w:color="666666"/>
              <w:left w:val="single" w:sz="4" w:space="0" w:color="666666"/>
              <w:bottom w:val="single" w:sz="4" w:space="0" w:color="666666"/>
              <w:right w:val="single" w:sz="4" w:space="0" w:color="666666"/>
            </w:tcBorders>
          </w:tcPr>
          <w:p w14:paraId="45189CB4"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1 782 911</w:t>
            </w:r>
          </w:p>
        </w:tc>
        <w:tc>
          <w:tcPr>
            <w:tcW w:w="874" w:type="dxa"/>
            <w:tcBorders>
              <w:top w:val="single" w:sz="4" w:space="0" w:color="666666"/>
              <w:left w:val="single" w:sz="4" w:space="0" w:color="666666"/>
              <w:bottom w:val="single" w:sz="4" w:space="0" w:color="666666"/>
              <w:right w:val="single" w:sz="4" w:space="0" w:color="666666"/>
            </w:tcBorders>
          </w:tcPr>
          <w:p w14:paraId="5C407C28"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1 796 830</w:t>
            </w:r>
          </w:p>
        </w:tc>
        <w:tc>
          <w:tcPr>
            <w:tcW w:w="1276" w:type="dxa"/>
            <w:tcBorders>
              <w:top w:val="single" w:sz="4" w:space="0" w:color="666666"/>
              <w:left w:val="single" w:sz="4" w:space="0" w:color="666666"/>
              <w:bottom w:val="single" w:sz="4" w:space="0" w:color="666666"/>
              <w:right w:val="single" w:sz="4" w:space="0" w:color="666666"/>
            </w:tcBorders>
            <w:hideMark/>
          </w:tcPr>
          <w:p w14:paraId="30E7F169"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1 750 612</w:t>
            </w:r>
          </w:p>
        </w:tc>
        <w:tc>
          <w:tcPr>
            <w:tcW w:w="850" w:type="dxa"/>
            <w:tcBorders>
              <w:top w:val="single" w:sz="4" w:space="0" w:color="666666"/>
              <w:left w:val="single" w:sz="4" w:space="0" w:color="666666"/>
              <w:bottom w:val="single" w:sz="4" w:space="0" w:color="666666"/>
              <w:right w:val="single" w:sz="4" w:space="0" w:color="666666"/>
            </w:tcBorders>
            <w:hideMark/>
          </w:tcPr>
          <w:p w14:paraId="4D250BAE" w14:textId="77777777" w:rsidR="005F46A7" w:rsidRPr="005F46A7" w:rsidRDefault="005F46A7" w:rsidP="005F46A7">
            <w:pPr>
              <w:spacing w:after="200"/>
              <w:rPr>
                <w:rFonts w:ascii="Arial Narrow" w:eastAsia="Calibri" w:hAnsi="Arial Narrow" w:cs="Times New Roman"/>
                <w:b/>
                <w:sz w:val="18"/>
                <w:szCs w:val="18"/>
                <w:lang w:val="en-GB"/>
              </w:rPr>
            </w:pPr>
            <w:bookmarkStart w:id="42" w:name="_Hlk151372185"/>
            <w:r w:rsidRPr="005F46A7">
              <w:rPr>
                <w:rFonts w:ascii="Arial Narrow" w:eastAsia="Calibri" w:hAnsi="Arial Narrow" w:cs="Times New Roman"/>
                <w:b/>
                <w:sz w:val="18"/>
                <w:szCs w:val="18"/>
                <w:lang w:val="en-GB"/>
              </w:rPr>
              <w:t>46 218</w:t>
            </w:r>
            <w:bookmarkEnd w:id="42"/>
          </w:p>
        </w:tc>
        <w:tc>
          <w:tcPr>
            <w:tcW w:w="993" w:type="dxa"/>
            <w:tcBorders>
              <w:top w:val="single" w:sz="4" w:space="0" w:color="666666"/>
              <w:left w:val="single" w:sz="4" w:space="0" w:color="666666"/>
              <w:bottom w:val="single" w:sz="4" w:space="0" w:color="666666"/>
              <w:right w:val="single" w:sz="4" w:space="0" w:color="666666"/>
            </w:tcBorders>
            <w:hideMark/>
          </w:tcPr>
          <w:p w14:paraId="213DF771"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2.57%</w:t>
            </w:r>
          </w:p>
        </w:tc>
        <w:tc>
          <w:tcPr>
            <w:tcW w:w="996" w:type="dxa"/>
            <w:tcBorders>
              <w:top w:val="single" w:sz="4" w:space="0" w:color="666666"/>
              <w:left w:val="single" w:sz="4" w:space="0" w:color="666666"/>
              <w:bottom w:val="single" w:sz="4" w:space="0" w:color="666666"/>
              <w:right w:val="single" w:sz="4" w:space="0" w:color="666666"/>
            </w:tcBorders>
            <w:hideMark/>
          </w:tcPr>
          <w:p w14:paraId="614A6CBC"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97.43%</w:t>
            </w:r>
          </w:p>
        </w:tc>
        <w:tc>
          <w:tcPr>
            <w:tcW w:w="810" w:type="dxa"/>
            <w:tcBorders>
              <w:top w:val="single" w:sz="4" w:space="0" w:color="666666"/>
              <w:left w:val="single" w:sz="4" w:space="0" w:color="666666"/>
              <w:bottom w:val="single" w:sz="4" w:space="0" w:color="666666"/>
              <w:right w:val="single" w:sz="4" w:space="0" w:color="666666"/>
            </w:tcBorders>
            <w:hideMark/>
          </w:tcPr>
          <w:p w14:paraId="7F3A5B75" w14:textId="77777777" w:rsidR="005F46A7" w:rsidRPr="005F46A7" w:rsidRDefault="005F46A7" w:rsidP="005F46A7">
            <w:pPr>
              <w:spacing w:after="200"/>
              <w:rPr>
                <w:rFonts w:ascii="Arial Narrow" w:eastAsia="Calibri" w:hAnsi="Arial Narrow" w:cs="Times New Roman"/>
                <w:b/>
                <w:sz w:val="18"/>
                <w:szCs w:val="18"/>
                <w:lang w:val="en-GB"/>
              </w:rPr>
            </w:pPr>
            <w:r w:rsidRPr="005F46A7">
              <w:rPr>
                <w:rFonts w:ascii="Arial Narrow" w:eastAsia="Calibri" w:hAnsi="Arial Narrow" w:cs="Times New Roman"/>
                <w:b/>
                <w:sz w:val="18"/>
                <w:szCs w:val="18"/>
                <w:lang w:val="en-GB"/>
              </w:rPr>
              <w:t>41.86%</w:t>
            </w:r>
          </w:p>
        </w:tc>
      </w:tr>
    </w:tbl>
    <w:p w14:paraId="34E98E72" w14:textId="77777777" w:rsidR="005F46A7" w:rsidRPr="005F46A7" w:rsidRDefault="005F46A7" w:rsidP="005F46A7">
      <w:pPr>
        <w:spacing w:after="200"/>
        <w:rPr>
          <w:rFonts w:ascii="Arial Narrow" w:eastAsia="Calibri" w:hAnsi="Arial Narrow" w:cs="Times New Roman"/>
          <w:bCs/>
          <w:sz w:val="16"/>
          <w:szCs w:val="16"/>
          <w:lang w:val="en-GB"/>
        </w:rPr>
      </w:pPr>
      <w:r w:rsidRPr="005F46A7">
        <w:rPr>
          <w:rFonts w:ascii="Arial Narrow" w:eastAsia="Calibri" w:hAnsi="Arial Narrow" w:cs="Times New Roman"/>
          <w:bCs/>
          <w:sz w:val="16"/>
          <w:szCs w:val="16"/>
          <w:lang w:val="en-GB"/>
        </w:rPr>
        <w:t>Source: Annual report 2022/23 and GPG Estimates of provincial Expenditure 2022/23, &amp; Researcher’s Calculations</w:t>
      </w:r>
    </w:p>
    <w:p w14:paraId="13CF3405" w14:textId="56D62697" w:rsidR="001D2E47" w:rsidRPr="00324788" w:rsidRDefault="005F46A7" w:rsidP="00AC54C9">
      <w:pPr>
        <w:spacing w:after="200" w:line="276" w:lineRule="auto"/>
        <w:rPr>
          <w:rFonts w:ascii="Arial Narrow" w:eastAsia="Calibri" w:hAnsi="Arial Narrow" w:cs="Times New Roman"/>
          <w:bCs/>
          <w:lang w:val="en-US"/>
        </w:rPr>
      </w:pPr>
      <w:r w:rsidRPr="005F46A7">
        <w:rPr>
          <w:rFonts w:ascii="Arial Narrow" w:eastAsia="Calibri" w:hAnsi="Arial Narrow" w:cs="Times New Roman"/>
          <w:bCs/>
          <w:lang w:val="en-US"/>
        </w:rPr>
        <w:t xml:space="preserve">Table </w:t>
      </w:r>
      <w:r w:rsidR="00324788">
        <w:rPr>
          <w:rFonts w:ascii="Arial Narrow" w:eastAsia="Calibri" w:hAnsi="Arial Narrow" w:cs="Times New Roman"/>
          <w:bCs/>
          <w:lang w:val="en-US"/>
        </w:rPr>
        <w:t>2</w:t>
      </w:r>
      <w:r w:rsidRPr="005F46A7">
        <w:rPr>
          <w:rFonts w:ascii="Arial Narrow" w:eastAsia="Calibri" w:hAnsi="Arial Narrow" w:cs="Times New Roman"/>
          <w:bCs/>
          <w:lang w:val="en-US"/>
        </w:rPr>
        <w:t xml:space="preserve"> </w:t>
      </w:r>
      <w:bookmarkStart w:id="43" w:name="_Hlk151371726"/>
      <w:r w:rsidRPr="005F46A7">
        <w:rPr>
          <w:rFonts w:ascii="Arial Narrow" w:eastAsia="Calibri" w:hAnsi="Arial Narrow" w:cs="Times New Roman"/>
          <w:bCs/>
          <w:lang w:val="en-US"/>
        </w:rPr>
        <w:t xml:space="preserve">shows the actual spending of the </w:t>
      </w:r>
      <w:r w:rsidR="00324788">
        <w:rPr>
          <w:rFonts w:ascii="Arial Narrow" w:eastAsia="Calibri" w:hAnsi="Arial Narrow" w:cs="Times New Roman"/>
          <w:bCs/>
          <w:lang w:val="en-US"/>
        </w:rPr>
        <w:t xml:space="preserve">Department </w:t>
      </w:r>
      <w:r w:rsidRPr="005F46A7">
        <w:rPr>
          <w:rFonts w:ascii="Arial Narrow" w:eastAsia="Calibri" w:hAnsi="Arial Narrow" w:cs="Times New Roman"/>
          <w:bCs/>
          <w:lang w:val="en-US"/>
        </w:rPr>
        <w:t>against the budget per programme.</w:t>
      </w:r>
      <w:r w:rsidR="00324788">
        <w:rPr>
          <w:rFonts w:ascii="Arial Narrow" w:eastAsia="Calibri" w:hAnsi="Arial Narrow" w:cs="Times New Roman"/>
          <w:bCs/>
          <w:lang w:val="en-US"/>
        </w:rPr>
        <w:t xml:space="preserve"> The Committee noted that a </w:t>
      </w:r>
      <w:r w:rsidRPr="005F46A7">
        <w:rPr>
          <w:rFonts w:ascii="Arial Narrow" w:eastAsia="Calibri" w:hAnsi="Arial Narrow" w:cs="Times New Roman"/>
          <w:bCs/>
          <w:lang w:val="en-US"/>
        </w:rPr>
        <w:t>total budget amount</w:t>
      </w:r>
      <w:r w:rsidR="00324788">
        <w:rPr>
          <w:rFonts w:ascii="Arial Narrow" w:eastAsia="Calibri" w:hAnsi="Arial Narrow" w:cs="Times New Roman"/>
          <w:bCs/>
          <w:lang w:val="en-US"/>
        </w:rPr>
        <w:t>ing to</w:t>
      </w:r>
      <w:r w:rsidRPr="005F46A7">
        <w:rPr>
          <w:rFonts w:ascii="Arial Narrow" w:eastAsia="Calibri" w:hAnsi="Arial Narrow" w:cs="Times New Roman"/>
          <w:bCs/>
          <w:lang w:val="en-US"/>
        </w:rPr>
        <w:t xml:space="preserve"> R1 796 830</w:t>
      </w:r>
      <w:r w:rsidR="00324788">
        <w:rPr>
          <w:rFonts w:ascii="Arial Narrow" w:eastAsia="Calibri" w:hAnsi="Arial Narrow" w:cs="Times New Roman"/>
          <w:bCs/>
          <w:lang w:val="en-US"/>
        </w:rPr>
        <w:t> </w:t>
      </w:r>
      <w:r w:rsidRPr="005F46A7">
        <w:rPr>
          <w:rFonts w:ascii="Arial Narrow" w:eastAsia="Calibri" w:hAnsi="Arial Narrow" w:cs="Times New Roman"/>
          <w:bCs/>
          <w:lang w:val="en-US"/>
        </w:rPr>
        <w:t>000</w:t>
      </w:r>
      <w:r w:rsidR="00324788">
        <w:rPr>
          <w:rFonts w:ascii="Arial Narrow" w:eastAsia="Calibri" w:hAnsi="Arial Narrow" w:cs="Times New Roman"/>
          <w:bCs/>
          <w:lang w:val="en-US"/>
        </w:rPr>
        <w:t xml:space="preserve"> (R 1 796.3bn) and an </w:t>
      </w:r>
      <w:r w:rsidRPr="005F46A7">
        <w:rPr>
          <w:rFonts w:ascii="Arial Narrow" w:eastAsia="Calibri" w:hAnsi="Arial Narrow" w:cs="Times New Roman"/>
          <w:bCs/>
          <w:lang w:val="en-US"/>
        </w:rPr>
        <w:t>amount of R1 750 612</w:t>
      </w:r>
      <w:r w:rsidR="00324788">
        <w:rPr>
          <w:rFonts w:ascii="Arial Narrow" w:eastAsia="Calibri" w:hAnsi="Arial Narrow" w:cs="Times New Roman"/>
          <w:bCs/>
          <w:lang w:val="en-US"/>
        </w:rPr>
        <w:t> </w:t>
      </w:r>
      <w:r w:rsidRPr="005F46A7">
        <w:rPr>
          <w:rFonts w:ascii="Arial Narrow" w:eastAsia="Calibri" w:hAnsi="Arial Narrow" w:cs="Times New Roman"/>
          <w:bCs/>
          <w:lang w:val="en-US"/>
        </w:rPr>
        <w:t>000</w:t>
      </w:r>
      <w:r w:rsidR="00324788">
        <w:rPr>
          <w:rFonts w:ascii="Arial Narrow" w:eastAsia="Calibri" w:hAnsi="Arial Narrow" w:cs="Times New Roman"/>
          <w:bCs/>
          <w:lang w:val="en-US"/>
        </w:rPr>
        <w:t xml:space="preserve"> (R 1 750.6bn) was spent by the Department </w:t>
      </w:r>
      <w:r w:rsidRPr="005F46A7">
        <w:rPr>
          <w:rFonts w:ascii="Arial Narrow" w:eastAsia="Calibri" w:hAnsi="Arial Narrow" w:cs="Times New Roman"/>
          <w:bCs/>
          <w:lang w:val="en-US"/>
        </w:rPr>
        <w:t xml:space="preserve">which constitutes 97.43%. This represents a </w:t>
      </w:r>
      <w:proofErr w:type="gramStart"/>
      <w:r w:rsidRPr="005F46A7">
        <w:rPr>
          <w:rFonts w:ascii="Arial Narrow" w:eastAsia="Calibri" w:hAnsi="Arial Narrow" w:cs="Times New Roman"/>
          <w:bCs/>
          <w:lang w:val="en-US"/>
        </w:rPr>
        <w:t>fairly good</w:t>
      </w:r>
      <w:proofErr w:type="gramEnd"/>
      <w:r w:rsidRPr="005F46A7">
        <w:rPr>
          <w:rFonts w:ascii="Arial Narrow" w:eastAsia="Calibri" w:hAnsi="Arial Narrow" w:cs="Times New Roman"/>
          <w:bCs/>
          <w:lang w:val="en-US"/>
        </w:rPr>
        <w:t xml:space="preserve"> spending, with the variance between the budget and actual expenditure</w:t>
      </w:r>
      <w:r w:rsidR="00324788">
        <w:rPr>
          <w:rFonts w:ascii="Arial Narrow" w:eastAsia="Calibri" w:hAnsi="Arial Narrow" w:cs="Times New Roman"/>
          <w:bCs/>
          <w:lang w:val="en-US"/>
        </w:rPr>
        <w:t xml:space="preserve"> is</w:t>
      </w:r>
      <w:r w:rsidRPr="005F46A7">
        <w:rPr>
          <w:rFonts w:ascii="Arial Narrow" w:eastAsia="Calibri" w:hAnsi="Arial Narrow" w:cs="Times New Roman"/>
          <w:bCs/>
          <w:lang w:val="en-US"/>
        </w:rPr>
        <w:t xml:space="preserve"> within the 3% threshold at 2.57%</w:t>
      </w:r>
      <w:r w:rsidR="00324788">
        <w:rPr>
          <w:rFonts w:ascii="Arial Narrow" w:eastAsia="Calibri" w:hAnsi="Arial Narrow" w:cs="Times New Roman"/>
          <w:bCs/>
          <w:lang w:val="en-US"/>
        </w:rPr>
        <w:t xml:space="preserve">. The underspending in this regard can be attributed to two </w:t>
      </w:r>
      <w:r w:rsidRPr="005F46A7">
        <w:rPr>
          <w:rFonts w:ascii="Arial Narrow" w:eastAsia="Calibri" w:hAnsi="Arial Narrow" w:cs="Times New Roman"/>
          <w:bCs/>
          <w:lang w:val="en-US"/>
        </w:rPr>
        <w:t>programme</w:t>
      </w:r>
      <w:r w:rsidR="00324788">
        <w:rPr>
          <w:rFonts w:ascii="Arial Narrow" w:eastAsia="Calibri" w:hAnsi="Arial Narrow" w:cs="Times New Roman"/>
          <w:bCs/>
          <w:lang w:val="en-US"/>
        </w:rPr>
        <w:t xml:space="preserve">s namely </w:t>
      </w:r>
      <w:r w:rsidRPr="005F46A7">
        <w:rPr>
          <w:rFonts w:ascii="Arial Narrow" w:eastAsia="Calibri" w:hAnsi="Arial Narrow" w:cs="Times New Roman"/>
          <w:bCs/>
          <w:lang w:val="en-US"/>
        </w:rPr>
        <w:t xml:space="preserve">Administration </w:t>
      </w:r>
      <w:r w:rsidR="00324788">
        <w:rPr>
          <w:rFonts w:ascii="Arial Narrow" w:eastAsia="Calibri" w:hAnsi="Arial Narrow" w:cs="Times New Roman"/>
          <w:bCs/>
          <w:lang w:val="en-US"/>
        </w:rPr>
        <w:t>which spent</w:t>
      </w:r>
      <w:r w:rsidRPr="005F46A7">
        <w:rPr>
          <w:rFonts w:ascii="Arial Narrow" w:eastAsia="Calibri" w:hAnsi="Arial Narrow" w:cs="Times New Roman"/>
          <w:bCs/>
          <w:lang w:val="en-US"/>
        </w:rPr>
        <w:t xml:space="preserve"> 93.84% and Economic Planning </w:t>
      </w:r>
      <w:r w:rsidR="00324788">
        <w:rPr>
          <w:rFonts w:ascii="Arial Narrow" w:eastAsia="Calibri" w:hAnsi="Arial Narrow" w:cs="Times New Roman"/>
          <w:bCs/>
          <w:lang w:val="en-US"/>
        </w:rPr>
        <w:t>which spent</w:t>
      </w:r>
      <w:r w:rsidRPr="005F46A7">
        <w:rPr>
          <w:rFonts w:ascii="Arial Narrow" w:eastAsia="Calibri" w:hAnsi="Arial Narrow" w:cs="Times New Roman"/>
          <w:bCs/>
          <w:lang w:val="en-US"/>
        </w:rPr>
        <w:t xml:space="preserve"> 92.74%</w:t>
      </w:r>
      <w:r w:rsidR="00324788">
        <w:rPr>
          <w:rFonts w:ascii="Arial Narrow" w:eastAsia="Calibri" w:hAnsi="Arial Narrow" w:cs="Times New Roman"/>
          <w:bCs/>
          <w:lang w:val="en-US"/>
        </w:rPr>
        <w:t xml:space="preserve"> of their allocation</w:t>
      </w:r>
      <w:r w:rsidRPr="005F46A7">
        <w:rPr>
          <w:rFonts w:ascii="Arial Narrow" w:eastAsia="Calibri" w:hAnsi="Arial Narrow" w:cs="Times New Roman"/>
          <w:bCs/>
          <w:lang w:val="en-US"/>
        </w:rPr>
        <w:t xml:space="preserve">. </w:t>
      </w:r>
      <w:bookmarkEnd w:id="43"/>
    </w:p>
    <w:p w14:paraId="6E09590A" w14:textId="77777777" w:rsidR="004B7663" w:rsidRPr="0079000E" w:rsidRDefault="004B7663"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44" w:name="_Toc66876377"/>
      <w:r w:rsidRPr="0079000E">
        <w:rPr>
          <w:rFonts w:ascii="Arial Narrow" w:hAnsi="Arial Narrow"/>
          <w:color w:val="auto"/>
          <w:sz w:val="22"/>
          <w:szCs w:val="22"/>
        </w:rPr>
        <w:t>OVERSIGHT</w:t>
      </w:r>
      <w:r w:rsidR="00C35BDB" w:rsidRPr="0079000E">
        <w:rPr>
          <w:rFonts w:ascii="Arial Narrow" w:hAnsi="Arial Narrow"/>
          <w:color w:val="auto"/>
          <w:sz w:val="22"/>
          <w:szCs w:val="22"/>
        </w:rPr>
        <w:t xml:space="preserve"> ON PUBLIC INVOLVEMENT</w:t>
      </w:r>
      <w:bookmarkEnd w:id="44"/>
    </w:p>
    <w:p w14:paraId="77A9CBD7" w14:textId="77777777" w:rsidR="004B7663" w:rsidRPr="0079000E" w:rsidRDefault="004B7663" w:rsidP="00C93456">
      <w:pPr>
        <w:spacing w:line="276" w:lineRule="auto"/>
        <w:ind w:left="142"/>
        <w:rPr>
          <w:rFonts w:ascii="Arial Narrow" w:hAnsi="Arial Narrow" w:cs="Arial Narrow"/>
          <w:b/>
          <w:bCs/>
        </w:rPr>
      </w:pPr>
    </w:p>
    <w:p w14:paraId="1F940788" w14:textId="091180C8" w:rsidR="00053E4A" w:rsidRDefault="00155D97" w:rsidP="00C93456">
      <w:pPr>
        <w:spacing w:line="276" w:lineRule="auto"/>
        <w:rPr>
          <w:rFonts w:ascii="Arial Narrow" w:hAnsi="Arial Narrow" w:cs="Arial Narrow"/>
          <w:bCs/>
        </w:rPr>
      </w:pPr>
      <w:r w:rsidRPr="00820341">
        <w:rPr>
          <w:rFonts w:ascii="Arial Narrow" w:hAnsi="Arial Narrow" w:cs="Arial Narrow"/>
          <w:bCs/>
        </w:rPr>
        <w:t>As required by the Standing Rules of the GPL, organizations/stakeholders were invited to the Portfolio Committee meetings wherein the Committee was considering and reporting on the Annual Performance Report of the Department of Eco</w:t>
      </w:r>
      <w:r w:rsidR="00F8711B">
        <w:rPr>
          <w:rFonts w:ascii="Arial Narrow" w:hAnsi="Arial Narrow" w:cs="Arial Narrow"/>
          <w:bCs/>
        </w:rPr>
        <w:t xml:space="preserve">nomic Development </w:t>
      </w:r>
      <w:r w:rsidR="00BC59AC" w:rsidRPr="00820341">
        <w:rPr>
          <w:rFonts w:ascii="Arial Narrow" w:hAnsi="Arial Narrow" w:cs="Arial Narrow"/>
          <w:bCs/>
        </w:rPr>
        <w:t>for the</w:t>
      </w:r>
      <w:r w:rsidR="00461B22" w:rsidRPr="00820341">
        <w:rPr>
          <w:rFonts w:ascii="Arial Narrow" w:hAnsi="Arial Narrow" w:cs="Arial Narrow"/>
          <w:bCs/>
        </w:rPr>
        <w:t xml:space="preserve"> 20</w:t>
      </w:r>
      <w:r w:rsidR="00334C79">
        <w:rPr>
          <w:rFonts w:ascii="Arial Narrow" w:hAnsi="Arial Narrow" w:cs="Arial Narrow"/>
          <w:bCs/>
        </w:rPr>
        <w:t>20</w:t>
      </w:r>
      <w:r w:rsidR="00461B22" w:rsidRPr="00820341">
        <w:rPr>
          <w:rFonts w:ascii="Arial Narrow" w:hAnsi="Arial Narrow" w:cs="Arial Narrow"/>
          <w:bCs/>
        </w:rPr>
        <w:t>/</w:t>
      </w:r>
      <w:r w:rsidR="00053E4A">
        <w:rPr>
          <w:rFonts w:ascii="Arial Narrow" w:hAnsi="Arial Narrow" w:cs="Arial Narrow"/>
          <w:bCs/>
        </w:rPr>
        <w:t>2</w:t>
      </w:r>
      <w:r w:rsidR="00334C79">
        <w:rPr>
          <w:rFonts w:ascii="Arial Narrow" w:hAnsi="Arial Narrow" w:cs="Arial Narrow"/>
          <w:bCs/>
        </w:rPr>
        <w:t>1</w:t>
      </w:r>
      <w:r w:rsidRPr="00820341">
        <w:rPr>
          <w:rFonts w:ascii="Arial Narrow" w:hAnsi="Arial Narrow" w:cs="Arial Narrow"/>
          <w:bCs/>
        </w:rPr>
        <w:t xml:space="preserve"> FY. Through the Committee invite letter</w:t>
      </w:r>
      <w:r w:rsidR="00CC5536">
        <w:rPr>
          <w:rFonts w:ascii="Arial Narrow" w:hAnsi="Arial Narrow" w:cs="Arial Narrow"/>
          <w:bCs/>
        </w:rPr>
        <w:t xml:space="preserve">s, </w:t>
      </w:r>
      <w:r w:rsidRPr="00820341">
        <w:rPr>
          <w:rFonts w:ascii="Arial Narrow" w:hAnsi="Arial Narrow" w:cs="Arial Narrow"/>
          <w:bCs/>
        </w:rPr>
        <w:t>stakeholders were encouraged to make written submissions on issues related to the Department of Economic Development and its entitie</w:t>
      </w:r>
      <w:r w:rsidR="00BC59AC" w:rsidRPr="00820341">
        <w:rPr>
          <w:rFonts w:ascii="Arial Narrow" w:hAnsi="Arial Narrow" w:cs="Arial Narrow"/>
          <w:bCs/>
        </w:rPr>
        <w:t>s</w:t>
      </w:r>
      <w:r w:rsidR="00CC5536">
        <w:rPr>
          <w:rFonts w:ascii="Arial Narrow" w:hAnsi="Arial Narrow" w:cs="Arial Narrow"/>
          <w:bCs/>
        </w:rPr>
        <w:t>.</w:t>
      </w:r>
      <w:r w:rsidR="00324788">
        <w:rPr>
          <w:rFonts w:ascii="Arial Narrow" w:hAnsi="Arial Narrow" w:cs="Arial Narrow"/>
          <w:bCs/>
        </w:rPr>
        <w:t xml:space="preserve"> Many of the stakeholders, highlighted for the visibility of the GEP and the work undertaken by this entity in support of SMME’s within the Province. Furthermore</w:t>
      </w:r>
      <w:r w:rsidR="00AC54C9">
        <w:rPr>
          <w:rFonts w:ascii="Arial Narrow" w:hAnsi="Arial Narrow" w:cs="Arial Narrow"/>
          <w:bCs/>
        </w:rPr>
        <w:t>,</w:t>
      </w:r>
      <w:r w:rsidR="00324788">
        <w:rPr>
          <w:rFonts w:ascii="Arial Narrow" w:hAnsi="Arial Narrow" w:cs="Arial Narrow"/>
          <w:bCs/>
        </w:rPr>
        <w:t xml:space="preserve"> the linkage between the </w:t>
      </w:r>
      <w:r w:rsidR="00AC54C9">
        <w:rPr>
          <w:rFonts w:ascii="Arial Narrow" w:hAnsi="Arial Narrow" w:cs="Arial Narrow"/>
          <w:bCs/>
        </w:rPr>
        <w:t xml:space="preserve">Township Economic Development Act (TEDA) and its utilization to emancipate previously disadvantaged people in particular the youth of the </w:t>
      </w:r>
      <w:proofErr w:type="gramStart"/>
      <w:r w:rsidR="00AC54C9">
        <w:rPr>
          <w:rFonts w:ascii="Arial Narrow" w:hAnsi="Arial Narrow" w:cs="Arial Narrow"/>
          <w:bCs/>
        </w:rPr>
        <w:t>Province</w:t>
      </w:r>
      <w:proofErr w:type="gramEnd"/>
      <w:r w:rsidR="00AC54C9">
        <w:rPr>
          <w:rFonts w:ascii="Arial Narrow" w:hAnsi="Arial Narrow" w:cs="Arial Narrow"/>
          <w:bCs/>
        </w:rPr>
        <w:t xml:space="preserve">, wherein more job opportunities are created through the act. </w:t>
      </w:r>
    </w:p>
    <w:p w14:paraId="74F9E3F6" w14:textId="77777777" w:rsidR="00F81631" w:rsidRPr="0079000E" w:rsidRDefault="00C35BDB"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45" w:name="_Toc66876378"/>
      <w:r w:rsidRPr="0079000E">
        <w:rPr>
          <w:rFonts w:ascii="Arial Narrow" w:hAnsi="Arial Narrow"/>
          <w:color w:val="auto"/>
          <w:sz w:val="22"/>
          <w:szCs w:val="22"/>
        </w:rPr>
        <w:t xml:space="preserve">OVERSIGHT ON </w:t>
      </w:r>
      <w:r w:rsidR="00FF44F0" w:rsidRPr="0079000E">
        <w:rPr>
          <w:rFonts w:ascii="Arial Narrow" w:hAnsi="Arial Narrow"/>
          <w:color w:val="auto"/>
          <w:sz w:val="22"/>
          <w:szCs w:val="22"/>
        </w:rPr>
        <w:t>RESOLUTION MANAGEMENT</w:t>
      </w:r>
      <w:bookmarkEnd w:id="45"/>
    </w:p>
    <w:p w14:paraId="128AF160" w14:textId="77777777" w:rsidR="00D16AAF" w:rsidRPr="0079000E" w:rsidRDefault="00D16AAF" w:rsidP="006E2134">
      <w:pPr>
        <w:spacing w:line="276" w:lineRule="auto"/>
        <w:rPr>
          <w:rFonts w:ascii="Arial Narrow" w:hAnsi="Arial Narrow" w:cs="Arial Narrow"/>
          <w:bCs/>
        </w:rPr>
      </w:pPr>
    </w:p>
    <w:p w14:paraId="775AB1A9" w14:textId="77777777" w:rsidR="00F81631" w:rsidRPr="00716058" w:rsidRDefault="00F81631" w:rsidP="00C93456">
      <w:pPr>
        <w:spacing w:line="276" w:lineRule="auto"/>
        <w:ind w:left="142"/>
        <w:rPr>
          <w:rFonts w:ascii="Arial Narrow" w:hAnsi="Arial Narrow" w:cs="Arial Narrow"/>
          <w:bCs/>
        </w:rPr>
      </w:pPr>
      <w:r w:rsidRPr="00716058">
        <w:rPr>
          <w:rFonts w:ascii="Arial Narrow" w:hAnsi="Arial Narrow" w:cs="Arial Narrow"/>
          <w:bCs/>
        </w:rPr>
        <w:t>Information on the Department’s implementation of House Resolutions for the period under review</w:t>
      </w:r>
    </w:p>
    <w:tbl>
      <w:tblPr>
        <w:tblStyle w:val="TableGrid"/>
        <w:tblW w:w="0" w:type="auto"/>
        <w:tblInd w:w="142" w:type="dxa"/>
        <w:tblLook w:val="04A0" w:firstRow="1" w:lastRow="0" w:firstColumn="1" w:lastColumn="0" w:noHBand="0" w:noVBand="1"/>
      </w:tblPr>
      <w:tblGrid>
        <w:gridCol w:w="8874"/>
      </w:tblGrid>
      <w:tr w:rsidR="005257EC" w:rsidRPr="00716058" w14:paraId="5F4741BA" w14:textId="77777777" w:rsidTr="00716058">
        <w:trPr>
          <w:tblHeader/>
        </w:trPr>
        <w:tc>
          <w:tcPr>
            <w:tcW w:w="8874" w:type="dxa"/>
            <w:shd w:val="clear" w:color="auto" w:fill="F2F2F2" w:themeFill="background1" w:themeFillShade="F2"/>
          </w:tcPr>
          <w:p w14:paraId="6D5E8CAA" w14:textId="77777777" w:rsidR="005257EC" w:rsidRPr="00542F46" w:rsidRDefault="005257EC" w:rsidP="00C93456">
            <w:pPr>
              <w:spacing w:line="276" w:lineRule="auto"/>
              <w:rPr>
                <w:rFonts w:ascii="Arial Narrow" w:hAnsi="Arial Narrow" w:cs="Arial Narrow"/>
                <w:b/>
                <w:bCs/>
              </w:rPr>
            </w:pPr>
            <w:r w:rsidRPr="00542F46">
              <w:rPr>
                <w:rFonts w:ascii="Arial Narrow" w:hAnsi="Arial Narrow" w:cs="Arial Narrow"/>
                <w:b/>
                <w:bCs/>
              </w:rPr>
              <w:t>RESOLUTIONS MANAGEMENT</w:t>
            </w:r>
          </w:p>
        </w:tc>
      </w:tr>
      <w:tr w:rsidR="002A6F7E" w:rsidRPr="00716058" w14:paraId="7196DA69" w14:textId="77777777" w:rsidTr="00716058">
        <w:tc>
          <w:tcPr>
            <w:tcW w:w="8874" w:type="dxa"/>
            <w:shd w:val="clear" w:color="auto" w:fill="auto"/>
          </w:tcPr>
          <w:p w14:paraId="4BB17308" w14:textId="77777777" w:rsidR="002A6F7E" w:rsidRPr="00542F46" w:rsidRDefault="002A6F7E" w:rsidP="00C93456">
            <w:pPr>
              <w:spacing w:line="276" w:lineRule="auto"/>
              <w:rPr>
                <w:rFonts w:ascii="Arial Narrow" w:hAnsi="Arial Narrow" w:cs="Arial Narrow"/>
                <w:b/>
                <w:bCs/>
              </w:rPr>
            </w:pPr>
            <w:r w:rsidRPr="00542F46">
              <w:rPr>
                <w:rFonts w:ascii="Arial Narrow" w:hAnsi="Arial Narrow" w:cs="Arial Narrow"/>
                <w:b/>
                <w:bCs/>
              </w:rPr>
              <w:t>RESOLUTIONS PASSED DURING ALL 4 QUARTERS LEADING UP TO THIS ANNUAL REPORT</w:t>
            </w:r>
          </w:p>
        </w:tc>
      </w:tr>
      <w:tr w:rsidR="00AD6FC2" w:rsidRPr="00716058" w14:paraId="6C90A12E" w14:textId="77777777" w:rsidTr="00716058">
        <w:tc>
          <w:tcPr>
            <w:tcW w:w="8874" w:type="dxa"/>
            <w:shd w:val="clear" w:color="auto" w:fill="auto"/>
          </w:tcPr>
          <w:p w14:paraId="4345EC8C" w14:textId="77777777" w:rsidR="00AD6FC2" w:rsidRPr="00542F46" w:rsidRDefault="00C96CBD" w:rsidP="00C93456">
            <w:pPr>
              <w:spacing w:line="276" w:lineRule="auto"/>
              <w:rPr>
                <w:rFonts w:ascii="Arial Narrow" w:hAnsi="Arial Narrow" w:cs="Arial Narrow"/>
                <w:bCs/>
              </w:rPr>
            </w:pPr>
            <w:r w:rsidRPr="00542F46">
              <w:rPr>
                <w:rFonts w:ascii="Arial Narrow" w:hAnsi="Arial Narrow" w:cs="Arial Narrow"/>
                <w:b/>
                <w:bCs/>
              </w:rPr>
              <w:t>Total n</w:t>
            </w:r>
            <w:r w:rsidR="00AD6FC2" w:rsidRPr="00542F46">
              <w:rPr>
                <w:rFonts w:ascii="Arial Narrow" w:hAnsi="Arial Narrow" w:cs="Arial Narrow"/>
                <w:b/>
                <w:bCs/>
              </w:rPr>
              <w:t>umber of Resolutions passed during the Previous Quarters</w:t>
            </w:r>
          </w:p>
        </w:tc>
      </w:tr>
      <w:tr w:rsidR="00AD6FC2" w:rsidRPr="00716058" w14:paraId="073A5084" w14:textId="77777777" w:rsidTr="00716058">
        <w:tc>
          <w:tcPr>
            <w:tcW w:w="8874" w:type="dxa"/>
            <w:shd w:val="clear" w:color="auto" w:fill="auto"/>
          </w:tcPr>
          <w:p w14:paraId="03845840" w14:textId="2078C593" w:rsidR="00AD6FC2" w:rsidRPr="00542F46" w:rsidRDefault="0055117C" w:rsidP="00C93456">
            <w:pPr>
              <w:spacing w:line="276" w:lineRule="auto"/>
              <w:rPr>
                <w:rFonts w:ascii="Arial Narrow" w:hAnsi="Arial Narrow" w:cs="Arial Narrow"/>
                <w:bCs/>
              </w:rPr>
            </w:pPr>
            <w:r>
              <w:rPr>
                <w:rFonts w:ascii="Arial Narrow" w:hAnsi="Arial Narrow" w:cs="Arial Narrow"/>
                <w:bCs/>
              </w:rPr>
              <w:t>8</w:t>
            </w:r>
          </w:p>
        </w:tc>
      </w:tr>
      <w:tr w:rsidR="00AD6FC2" w:rsidRPr="00716058" w14:paraId="33385ECC" w14:textId="77777777" w:rsidTr="00716058">
        <w:tc>
          <w:tcPr>
            <w:tcW w:w="8874" w:type="dxa"/>
            <w:shd w:val="clear" w:color="auto" w:fill="auto"/>
          </w:tcPr>
          <w:p w14:paraId="632F9372" w14:textId="77777777" w:rsidR="00AD6FC2" w:rsidRPr="00542F46" w:rsidRDefault="00AD6FC2" w:rsidP="00C93456">
            <w:pPr>
              <w:spacing w:line="276" w:lineRule="auto"/>
              <w:rPr>
                <w:rFonts w:ascii="Arial Narrow" w:hAnsi="Arial Narrow"/>
              </w:rPr>
            </w:pPr>
            <w:r w:rsidRPr="00542F46">
              <w:rPr>
                <w:rFonts w:ascii="Arial Narrow" w:hAnsi="Arial Narrow"/>
                <w:b/>
              </w:rPr>
              <w:t>Nature of Resolutions</w:t>
            </w:r>
          </w:p>
        </w:tc>
      </w:tr>
      <w:tr w:rsidR="00AD6FC2" w:rsidRPr="00716058" w14:paraId="5F986A71" w14:textId="77777777" w:rsidTr="00716058">
        <w:tc>
          <w:tcPr>
            <w:tcW w:w="8874" w:type="dxa"/>
            <w:shd w:val="clear" w:color="auto" w:fill="auto"/>
          </w:tcPr>
          <w:p w14:paraId="14997E8C" w14:textId="77777777" w:rsidR="00AD6FC2" w:rsidRPr="00542F46" w:rsidRDefault="00B61118" w:rsidP="00C93456">
            <w:pPr>
              <w:spacing w:line="276" w:lineRule="auto"/>
              <w:rPr>
                <w:rFonts w:ascii="Arial Narrow" w:hAnsi="Arial Narrow"/>
              </w:rPr>
            </w:pPr>
            <w:r w:rsidRPr="00542F46">
              <w:rPr>
                <w:rFonts w:ascii="Arial Narrow" w:hAnsi="Arial Narrow"/>
              </w:rPr>
              <w:t>S</w:t>
            </w:r>
            <w:r w:rsidR="00422673" w:rsidRPr="00542F46">
              <w:rPr>
                <w:rFonts w:ascii="Arial Narrow" w:hAnsi="Arial Narrow"/>
              </w:rPr>
              <w:t>ervice Delivery and</w:t>
            </w:r>
            <w:r w:rsidR="00097BD0" w:rsidRPr="00542F46">
              <w:rPr>
                <w:rFonts w:ascii="Arial Narrow" w:hAnsi="Arial Narrow"/>
              </w:rPr>
              <w:t xml:space="preserve"> Good</w:t>
            </w:r>
            <w:r w:rsidR="00422673" w:rsidRPr="00542F46">
              <w:rPr>
                <w:rFonts w:ascii="Arial Narrow" w:hAnsi="Arial Narrow"/>
              </w:rPr>
              <w:t xml:space="preserve"> Governance R</w:t>
            </w:r>
            <w:r w:rsidRPr="00542F46">
              <w:rPr>
                <w:rFonts w:ascii="Arial Narrow" w:hAnsi="Arial Narrow"/>
              </w:rPr>
              <w:t xml:space="preserve">esolutions </w:t>
            </w:r>
          </w:p>
        </w:tc>
      </w:tr>
      <w:tr w:rsidR="00E97F5B" w:rsidRPr="00716058" w14:paraId="1046C8D5" w14:textId="77777777" w:rsidTr="00716058">
        <w:tc>
          <w:tcPr>
            <w:tcW w:w="8874" w:type="dxa"/>
            <w:shd w:val="clear" w:color="auto" w:fill="auto"/>
          </w:tcPr>
          <w:p w14:paraId="753869FB" w14:textId="77777777" w:rsidR="00E97F5B" w:rsidRPr="00542F46" w:rsidRDefault="00E97F5B" w:rsidP="00C93456">
            <w:pPr>
              <w:spacing w:line="276" w:lineRule="auto"/>
              <w:rPr>
                <w:rFonts w:ascii="Arial Narrow" w:hAnsi="Arial Narrow" w:cs="Arial Narrow"/>
                <w:b/>
                <w:bCs/>
              </w:rPr>
            </w:pPr>
            <w:r w:rsidRPr="00542F46">
              <w:rPr>
                <w:rFonts w:ascii="Arial Narrow" w:hAnsi="Arial Narrow" w:cs="Arial Narrow"/>
                <w:b/>
                <w:bCs/>
              </w:rPr>
              <w:t>RESOLUTIONS / ACTIONS NOW DUE (OR PAST DUE)</w:t>
            </w:r>
          </w:p>
        </w:tc>
      </w:tr>
      <w:tr w:rsidR="00AD6FC2" w:rsidRPr="00716058" w14:paraId="5D6DB612" w14:textId="77777777" w:rsidTr="00716058">
        <w:tc>
          <w:tcPr>
            <w:tcW w:w="8874" w:type="dxa"/>
            <w:shd w:val="clear" w:color="auto" w:fill="auto"/>
          </w:tcPr>
          <w:p w14:paraId="06935698" w14:textId="77777777" w:rsidR="00AD6FC2" w:rsidRPr="00542F46" w:rsidRDefault="00AD6FC2" w:rsidP="00C93456">
            <w:pPr>
              <w:spacing w:line="276" w:lineRule="auto"/>
              <w:rPr>
                <w:rFonts w:ascii="Arial Narrow" w:hAnsi="Arial Narrow" w:cs="Arial Narrow"/>
                <w:bCs/>
              </w:rPr>
            </w:pPr>
            <w:r w:rsidRPr="00542F46">
              <w:rPr>
                <w:rFonts w:ascii="Arial Narrow" w:hAnsi="Arial Narrow" w:cs="Arial Narrow"/>
                <w:b/>
                <w:bCs/>
              </w:rPr>
              <w:t>Number of Resolution Responses / Action now due</w:t>
            </w:r>
          </w:p>
        </w:tc>
      </w:tr>
      <w:tr w:rsidR="00AD6FC2" w:rsidRPr="00716058" w14:paraId="65838075" w14:textId="77777777" w:rsidTr="00716058">
        <w:tc>
          <w:tcPr>
            <w:tcW w:w="8874" w:type="dxa"/>
            <w:shd w:val="clear" w:color="auto" w:fill="auto"/>
          </w:tcPr>
          <w:p w14:paraId="54EEBADD" w14:textId="20302FDC" w:rsidR="00AD6FC2" w:rsidRPr="00542F46" w:rsidRDefault="00760BCA" w:rsidP="00760BCA">
            <w:pPr>
              <w:spacing w:line="276" w:lineRule="auto"/>
              <w:rPr>
                <w:rFonts w:ascii="Arial Narrow" w:hAnsi="Arial Narrow"/>
              </w:rPr>
            </w:pPr>
            <w:r w:rsidRPr="00542F46">
              <w:rPr>
                <w:rFonts w:ascii="Arial Narrow" w:hAnsi="Arial Narrow"/>
              </w:rPr>
              <w:t>All resolutions</w:t>
            </w:r>
            <w:r w:rsidR="00833F30" w:rsidRPr="00542F46">
              <w:rPr>
                <w:rFonts w:ascii="Arial Narrow" w:hAnsi="Arial Narrow"/>
              </w:rPr>
              <w:t xml:space="preserve"> emanating from the 2</w:t>
            </w:r>
            <w:r w:rsidR="00097BD0" w:rsidRPr="00542F46">
              <w:rPr>
                <w:rFonts w:ascii="Arial Narrow" w:hAnsi="Arial Narrow"/>
              </w:rPr>
              <w:t>0</w:t>
            </w:r>
            <w:r w:rsidR="0055117C">
              <w:rPr>
                <w:rFonts w:ascii="Arial Narrow" w:hAnsi="Arial Narrow"/>
              </w:rPr>
              <w:t>2</w:t>
            </w:r>
            <w:r w:rsidR="00AC54C9">
              <w:rPr>
                <w:rFonts w:ascii="Arial Narrow" w:hAnsi="Arial Narrow"/>
              </w:rPr>
              <w:t>1</w:t>
            </w:r>
            <w:r w:rsidR="00097BD0" w:rsidRPr="00542F46">
              <w:rPr>
                <w:rFonts w:ascii="Arial Narrow" w:hAnsi="Arial Narrow"/>
              </w:rPr>
              <w:t>/</w:t>
            </w:r>
            <w:r w:rsidR="002F1379">
              <w:rPr>
                <w:rFonts w:ascii="Arial Narrow" w:hAnsi="Arial Narrow"/>
              </w:rPr>
              <w:t>2</w:t>
            </w:r>
            <w:r w:rsidR="00AC54C9">
              <w:rPr>
                <w:rFonts w:ascii="Arial Narrow" w:hAnsi="Arial Narrow"/>
              </w:rPr>
              <w:t>2</w:t>
            </w:r>
            <w:r w:rsidR="002F1379">
              <w:rPr>
                <w:rFonts w:ascii="Arial Narrow" w:hAnsi="Arial Narrow"/>
              </w:rPr>
              <w:t xml:space="preserve"> </w:t>
            </w:r>
            <w:r w:rsidR="00422673" w:rsidRPr="00542F46">
              <w:rPr>
                <w:rFonts w:ascii="Arial Narrow" w:hAnsi="Arial Narrow"/>
              </w:rPr>
              <w:t>FY</w:t>
            </w:r>
            <w:r w:rsidRPr="00542F46">
              <w:rPr>
                <w:rFonts w:ascii="Arial Narrow" w:hAnsi="Arial Narrow"/>
              </w:rPr>
              <w:t xml:space="preserve"> Annual Report </w:t>
            </w:r>
            <w:r w:rsidR="00422673" w:rsidRPr="00542F46">
              <w:rPr>
                <w:rFonts w:ascii="Arial Narrow" w:hAnsi="Arial Narrow"/>
              </w:rPr>
              <w:t xml:space="preserve">were all responded to adequately. This was determined by the assessment conducted by the Committee Researchers. </w:t>
            </w:r>
          </w:p>
        </w:tc>
      </w:tr>
      <w:tr w:rsidR="00E97F5B" w:rsidRPr="00716058" w14:paraId="437A441A" w14:textId="77777777" w:rsidTr="00716058">
        <w:tc>
          <w:tcPr>
            <w:tcW w:w="8874" w:type="dxa"/>
            <w:shd w:val="clear" w:color="auto" w:fill="auto"/>
          </w:tcPr>
          <w:p w14:paraId="00E3EFFC" w14:textId="77777777" w:rsidR="00E97F5B" w:rsidRPr="00542F46" w:rsidRDefault="00E97F5B" w:rsidP="00C93456">
            <w:pPr>
              <w:spacing w:line="276" w:lineRule="auto"/>
              <w:rPr>
                <w:rFonts w:ascii="Arial Narrow" w:hAnsi="Arial Narrow" w:cs="Arial Narrow"/>
                <w:b/>
                <w:bCs/>
              </w:rPr>
            </w:pPr>
            <w:r w:rsidRPr="00542F46">
              <w:rPr>
                <w:rFonts w:ascii="Arial Narrow" w:hAnsi="Arial Narrow" w:cs="Arial Narrow"/>
                <w:b/>
                <w:bCs/>
              </w:rPr>
              <w:t>RESOLUTIONS CLOSED</w:t>
            </w:r>
          </w:p>
        </w:tc>
      </w:tr>
      <w:tr w:rsidR="00AD6FC2" w:rsidRPr="00716058" w14:paraId="6A3E77AF" w14:textId="77777777" w:rsidTr="00716058">
        <w:tc>
          <w:tcPr>
            <w:tcW w:w="8874" w:type="dxa"/>
            <w:shd w:val="clear" w:color="auto" w:fill="auto"/>
          </w:tcPr>
          <w:p w14:paraId="44938412" w14:textId="77777777" w:rsidR="00AD6FC2" w:rsidRPr="00542F46" w:rsidRDefault="00AD6FC2" w:rsidP="00C93456">
            <w:pPr>
              <w:spacing w:line="276" w:lineRule="auto"/>
              <w:rPr>
                <w:rFonts w:ascii="Arial Narrow" w:hAnsi="Arial Narrow" w:cs="Arial Narrow"/>
                <w:bCs/>
              </w:rPr>
            </w:pPr>
            <w:r w:rsidRPr="00542F46">
              <w:rPr>
                <w:rFonts w:ascii="Arial Narrow" w:hAnsi="Arial Narrow" w:cs="Arial Narrow"/>
                <w:b/>
                <w:bCs/>
              </w:rPr>
              <w:t xml:space="preserve">From those now due, how many Resolutions are now </w:t>
            </w:r>
            <w:r w:rsidR="00E62E83" w:rsidRPr="00542F46">
              <w:rPr>
                <w:rFonts w:ascii="Arial Narrow" w:hAnsi="Arial Narrow" w:cs="Arial Narrow"/>
                <w:b/>
                <w:bCs/>
              </w:rPr>
              <w:t xml:space="preserve">satisfactorily </w:t>
            </w:r>
            <w:r w:rsidRPr="00542F46">
              <w:rPr>
                <w:rFonts w:ascii="Arial Narrow" w:hAnsi="Arial Narrow" w:cs="Arial Narrow"/>
                <w:b/>
                <w:bCs/>
              </w:rPr>
              <w:t>closed</w:t>
            </w:r>
          </w:p>
        </w:tc>
      </w:tr>
      <w:tr w:rsidR="00AD6FC2" w:rsidRPr="00716058" w14:paraId="1B25FAB8" w14:textId="77777777" w:rsidTr="00716058">
        <w:tc>
          <w:tcPr>
            <w:tcW w:w="8874" w:type="dxa"/>
            <w:shd w:val="clear" w:color="auto" w:fill="auto"/>
          </w:tcPr>
          <w:p w14:paraId="798269E9" w14:textId="305A0179" w:rsidR="00AD6FC2" w:rsidRPr="00542F46" w:rsidRDefault="00422673" w:rsidP="00CC5536">
            <w:pPr>
              <w:spacing w:line="276" w:lineRule="auto"/>
              <w:rPr>
                <w:rFonts w:ascii="Arial Narrow" w:hAnsi="Arial Narrow"/>
              </w:rPr>
            </w:pPr>
            <w:r w:rsidRPr="00542F46">
              <w:rPr>
                <w:rFonts w:ascii="Arial Narrow" w:hAnsi="Arial Narrow"/>
              </w:rPr>
              <w:t xml:space="preserve">All </w:t>
            </w:r>
            <w:r w:rsidR="00703D0A" w:rsidRPr="00542F46">
              <w:rPr>
                <w:rFonts w:ascii="Arial Narrow" w:hAnsi="Arial Narrow"/>
              </w:rPr>
              <w:t xml:space="preserve">resolutions for all the </w:t>
            </w:r>
            <w:r w:rsidR="00716058" w:rsidRPr="00542F46">
              <w:rPr>
                <w:rFonts w:ascii="Arial Narrow" w:hAnsi="Arial Narrow"/>
              </w:rPr>
              <w:t>Quarters within the</w:t>
            </w:r>
            <w:r w:rsidR="002838E4" w:rsidRPr="00542F46">
              <w:rPr>
                <w:rFonts w:ascii="Arial Narrow" w:hAnsi="Arial Narrow"/>
              </w:rPr>
              <w:t xml:space="preserve"> 20</w:t>
            </w:r>
            <w:r w:rsidR="0055117C">
              <w:rPr>
                <w:rFonts w:ascii="Arial Narrow" w:hAnsi="Arial Narrow"/>
              </w:rPr>
              <w:t>21</w:t>
            </w:r>
            <w:r w:rsidR="002838E4" w:rsidRPr="00542F46">
              <w:rPr>
                <w:rFonts w:ascii="Arial Narrow" w:hAnsi="Arial Narrow"/>
              </w:rPr>
              <w:t>/</w:t>
            </w:r>
            <w:r w:rsidR="002F1379">
              <w:rPr>
                <w:rFonts w:ascii="Arial Narrow" w:hAnsi="Arial Narrow"/>
              </w:rPr>
              <w:t>2</w:t>
            </w:r>
            <w:r w:rsidR="0055117C">
              <w:rPr>
                <w:rFonts w:ascii="Arial Narrow" w:hAnsi="Arial Narrow"/>
              </w:rPr>
              <w:t>2</w:t>
            </w:r>
            <w:r w:rsidR="002F1379">
              <w:rPr>
                <w:rFonts w:ascii="Arial Narrow" w:hAnsi="Arial Narrow"/>
              </w:rPr>
              <w:t xml:space="preserve"> </w:t>
            </w:r>
            <w:r w:rsidRPr="00542F46">
              <w:rPr>
                <w:rFonts w:ascii="Arial Narrow" w:hAnsi="Arial Narrow"/>
              </w:rPr>
              <w:t>FY</w:t>
            </w:r>
            <w:r w:rsidR="00703D0A" w:rsidRPr="00542F46">
              <w:rPr>
                <w:rFonts w:ascii="Arial Narrow" w:hAnsi="Arial Narrow"/>
              </w:rPr>
              <w:t>, in particular resolutions r</w:t>
            </w:r>
            <w:r w:rsidR="0015332B" w:rsidRPr="00542F46">
              <w:rPr>
                <w:rFonts w:ascii="Arial Narrow" w:hAnsi="Arial Narrow"/>
              </w:rPr>
              <w:t>elated to the Annual Report 20</w:t>
            </w:r>
            <w:r w:rsidR="0055117C">
              <w:rPr>
                <w:rFonts w:ascii="Arial Narrow" w:hAnsi="Arial Narrow"/>
              </w:rPr>
              <w:t>21</w:t>
            </w:r>
            <w:r w:rsidR="0015332B" w:rsidRPr="00542F46">
              <w:rPr>
                <w:rFonts w:ascii="Arial Narrow" w:hAnsi="Arial Narrow"/>
              </w:rPr>
              <w:t>/</w:t>
            </w:r>
            <w:r w:rsidR="002F1379">
              <w:rPr>
                <w:rFonts w:ascii="Arial Narrow" w:hAnsi="Arial Narrow"/>
              </w:rPr>
              <w:t>2</w:t>
            </w:r>
            <w:r w:rsidR="0055117C">
              <w:rPr>
                <w:rFonts w:ascii="Arial Narrow" w:hAnsi="Arial Narrow"/>
              </w:rPr>
              <w:t>2</w:t>
            </w:r>
            <w:r w:rsidR="00703D0A" w:rsidRPr="00542F46">
              <w:rPr>
                <w:rFonts w:ascii="Arial Narrow" w:hAnsi="Arial Narrow"/>
              </w:rPr>
              <w:t xml:space="preserve"> FY</w:t>
            </w:r>
            <w:r w:rsidRPr="00542F46">
              <w:rPr>
                <w:rFonts w:ascii="Arial Narrow" w:hAnsi="Arial Narrow"/>
              </w:rPr>
              <w:t xml:space="preserve"> were deemed to</w:t>
            </w:r>
            <w:r w:rsidR="00703D0A" w:rsidRPr="00542F46">
              <w:rPr>
                <w:rFonts w:ascii="Arial Narrow" w:hAnsi="Arial Narrow"/>
              </w:rPr>
              <w:t xml:space="preserve"> be</w:t>
            </w:r>
            <w:r w:rsidRPr="00542F46">
              <w:rPr>
                <w:rFonts w:ascii="Arial Narrow" w:hAnsi="Arial Narrow"/>
              </w:rPr>
              <w:t xml:space="preserve"> satisfactorily responded </w:t>
            </w:r>
            <w:r w:rsidR="0055117C">
              <w:rPr>
                <w:rFonts w:ascii="Arial Narrow" w:hAnsi="Arial Narrow"/>
              </w:rPr>
              <w:t xml:space="preserve">to </w:t>
            </w:r>
            <w:r w:rsidR="00703D0A" w:rsidRPr="00542F46">
              <w:rPr>
                <w:rFonts w:ascii="Arial Narrow" w:hAnsi="Arial Narrow"/>
              </w:rPr>
              <w:t xml:space="preserve">by the Department </w:t>
            </w:r>
            <w:r w:rsidR="0055117C">
              <w:rPr>
                <w:rFonts w:ascii="Arial Narrow" w:hAnsi="Arial Narrow"/>
              </w:rPr>
              <w:t>however some remain opened.</w:t>
            </w:r>
            <w:r w:rsidR="00703D0A" w:rsidRPr="00542F46">
              <w:rPr>
                <w:rFonts w:ascii="Arial Narrow" w:hAnsi="Arial Narrow"/>
              </w:rPr>
              <w:t xml:space="preserve"> </w:t>
            </w:r>
          </w:p>
        </w:tc>
      </w:tr>
      <w:tr w:rsidR="00AD6FC2" w:rsidRPr="00716058" w14:paraId="56C36DF5" w14:textId="77777777" w:rsidTr="00716058">
        <w:tc>
          <w:tcPr>
            <w:tcW w:w="8874" w:type="dxa"/>
            <w:shd w:val="clear" w:color="auto" w:fill="auto"/>
          </w:tcPr>
          <w:p w14:paraId="1B102E0D" w14:textId="77777777" w:rsidR="00AD6FC2" w:rsidRPr="00542F46" w:rsidRDefault="00AD6FC2" w:rsidP="00C93456">
            <w:pPr>
              <w:spacing w:line="276" w:lineRule="auto"/>
              <w:rPr>
                <w:rFonts w:ascii="Arial Narrow" w:hAnsi="Arial Narrow"/>
              </w:rPr>
            </w:pPr>
            <w:r w:rsidRPr="00542F46">
              <w:rPr>
                <w:rFonts w:ascii="Arial Narrow" w:hAnsi="Arial Narrow" w:cs="Arial Narrow"/>
                <w:b/>
                <w:bCs/>
              </w:rPr>
              <w:lastRenderedPageBreak/>
              <w:t>REASONS</w:t>
            </w:r>
          </w:p>
        </w:tc>
      </w:tr>
      <w:tr w:rsidR="00AD6FC2" w:rsidRPr="00716058" w14:paraId="1086A002" w14:textId="77777777" w:rsidTr="00716058">
        <w:tc>
          <w:tcPr>
            <w:tcW w:w="8874" w:type="dxa"/>
            <w:shd w:val="clear" w:color="auto" w:fill="auto"/>
          </w:tcPr>
          <w:p w14:paraId="225E238D" w14:textId="77777777" w:rsidR="00AD6FC2" w:rsidRPr="00542F46" w:rsidRDefault="00AD6FC2" w:rsidP="00C93456">
            <w:pPr>
              <w:spacing w:line="276" w:lineRule="auto"/>
              <w:rPr>
                <w:rFonts w:ascii="Arial Narrow" w:hAnsi="Arial Narrow"/>
              </w:rPr>
            </w:pPr>
            <w:r w:rsidRPr="00542F46">
              <w:rPr>
                <w:rFonts w:ascii="Arial Narrow" w:hAnsi="Arial Narrow" w:cs="Arial Narrow"/>
                <w:b/>
                <w:bCs/>
              </w:rPr>
              <w:t>Reasons for Resolutions not yet closed</w:t>
            </w:r>
          </w:p>
        </w:tc>
      </w:tr>
      <w:tr w:rsidR="00AD6FC2" w:rsidRPr="00716058" w14:paraId="1AB27BCA" w14:textId="77777777" w:rsidTr="00716058">
        <w:tc>
          <w:tcPr>
            <w:tcW w:w="8874" w:type="dxa"/>
            <w:shd w:val="clear" w:color="auto" w:fill="auto"/>
          </w:tcPr>
          <w:p w14:paraId="17B520A8" w14:textId="77777777" w:rsidR="00AD6FC2" w:rsidRPr="00542F46" w:rsidRDefault="00833F30" w:rsidP="00C93456">
            <w:pPr>
              <w:spacing w:line="276" w:lineRule="auto"/>
              <w:rPr>
                <w:rFonts w:ascii="Arial Narrow" w:hAnsi="Arial Narrow" w:cs="Arial Narrow"/>
                <w:bCs/>
              </w:rPr>
            </w:pPr>
            <w:r w:rsidRPr="00542F46">
              <w:rPr>
                <w:rFonts w:ascii="Arial Narrow" w:hAnsi="Arial Narrow" w:cs="Arial Narrow"/>
                <w:bCs/>
              </w:rPr>
              <w:t xml:space="preserve">None </w:t>
            </w:r>
          </w:p>
        </w:tc>
      </w:tr>
      <w:tr w:rsidR="00AD6FC2" w:rsidRPr="00716058" w14:paraId="5C855DD5" w14:textId="77777777" w:rsidTr="00716058">
        <w:tc>
          <w:tcPr>
            <w:tcW w:w="8874" w:type="dxa"/>
            <w:shd w:val="clear" w:color="auto" w:fill="auto"/>
          </w:tcPr>
          <w:p w14:paraId="4C43B50C" w14:textId="77777777" w:rsidR="00AD6FC2" w:rsidRPr="00542F46" w:rsidRDefault="00AD6FC2" w:rsidP="00C93456">
            <w:pPr>
              <w:spacing w:line="276" w:lineRule="auto"/>
              <w:rPr>
                <w:rFonts w:ascii="Arial Narrow" w:hAnsi="Arial Narrow"/>
              </w:rPr>
            </w:pPr>
            <w:r w:rsidRPr="00542F46">
              <w:rPr>
                <w:rFonts w:ascii="Arial Narrow" w:hAnsi="Arial Narrow" w:cs="Arial Narrow"/>
                <w:b/>
                <w:bCs/>
              </w:rPr>
              <w:t>Measures taken by the Committee to ensure speedy Closure of Resolutions due but still open</w:t>
            </w:r>
          </w:p>
        </w:tc>
      </w:tr>
      <w:tr w:rsidR="00AD6FC2" w:rsidRPr="00BB762C" w14:paraId="6119EB35" w14:textId="77777777" w:rsidTr="00716058">
        <w:tc>
          <w:tcPr>
            <w:tcW w:w="8874" w:type="dxa"/>
            <w:shd w:val="clear" w:color="auto" w:fill="auto"/>
          </w:tcPr>
          <w:p w14:paraId="036D915E" w14:textId="77777777" w:rsidR="0011384E" w:rsidRPr="001159E1" w:rsidRDefault="0011384E" w:rsidP="00C93456">
            <w:pPr>
              <w:spacing w:line="276" w:lineRule="auto"/>
              <w:rPr>
                <w:rFonts w:ascii="Arial Narrow" w:hAnsi="Arial Narrow" w:cs="Arial Narrow"/>
                <w:bCs/>
                <w:i/>
                <w:highlight w:val="yellow"/>
              </w:rPr>
            </w:pPr>
          </w:p>
          <w:p w14:paraId="1D6E8696" w14:textId="77777777" w:rsidR="0011384E" w:rsidRPr="001159E1" w:rsidRDefault="0011384E" w:rsidP="00C93456">
            <w:pPr>
              <w:spacing w:line="276" w:lineRule="auto"/>
              <w:rPr>
                <w:rFonts w:ascii="Arial Narrow" w:hAnsi="Arial Narrow" w:cs="Arial Narrow"/>
                <w:bCs/>
                <w:i/>
                <w:highlight w:val="yellow"/>
              </w:rPr>
            </w:pPr>
          </w:p>
          <w:p w14:paraId="4B795F66" w14:textId="77777777" w:rsidR="0011384E" w:rsidRDefault="0011384E" w:rsidP="00C93456">
            <w:pPr>
              <w:spacing w:line="276" w:lineRule="auto"/>
              <w:rPr>
                <w:rFonts w:ascii="Arial Narrow" w:hAnsi="Arial Narrow" w:cs="Arial Narrow"/>
                <w:bCs/>
                <w:i/>
                <w:highlight w:val="yellow"/>
              </w:rPr>
            </w:pPr>
          </w:p>
          <w:p w14:paraId="342DEE40" w14:textId="77777777" w:rsidR="006E2134" w:rsidRPr="001159E1" w:rsidRDefault="006E2134" w:rsidP="00C93456">
            <w:pPr>
              <w:spacing w:line="276" w:lineRule="auto"/>
              <w:rPr>
                <w:rFonts w:ascii="Arial Narrow" w:hAnsi="Arial Narrow" w:cs="Arial Narrow"/>
                <w:bCs/>
                <w:i/>
                <w:highlight w:val="yellow"/>
              </w:rPr>
            </w:pPr>
          </w:p>
        </w:tc>
      </w:tr>
    </w:tbl>
    <w:p w14:paraId="3A6147EA" w14:textId="77777777" w:rsidR="00F81631" w:rsidRDefault="00C35BDB"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46" w:name="_Toc66876379"/>
      <w:r w:rsidRPr="0079000E">
        <w:rPr>
          <w:rFonts w:ascii="Arial Narrow" w:hAnsi="Arial Narrow"/>
          <w:color w:val="auto"/>
          <w:sz w:val="22"/>
          <w:szCs w:val="22"/>
        </w:rPr>
        <w:t xml:space="preserve">OVERSIGHT ON </w:t>
      </w:r>
      <w:r w:rsidR="00FF44F0" w:rsidRPr="0079000E">
        <w:rPr>
          <w:rFonts w:ascii="Arial Narrow" w:hAnsi="Arial Narrow"/>
          <w:color w:val="auto"/>
          <w:sz w:val="22"/>
          <w:szCs w:val="22"/>
        </w:rPr>
        <w:t>PERFORMANCE VERIFICATION</w:t>
      </w:r>
      <w:bookmarkEnd w:id="46"/>
    </w:p>
    <w:p w14:paraId="1E56F498" w14:textId="08F21B54" w:rsidR="00062513" w:rsidRDefault="00062513" w:rsidP="00490933">
      <w:pPr>
        <w:spacing w:line="276" w:lineRule="auto"/>
        <w:rPr>
          <w:rFonts w:ascii="Arial Narrow" w:hAnsi="Arial Narrow"/>
          <w:lang w:val="en-GB"/>
        </w:rPr>
      </w:pPr>
    </w:p>
    <w:p w14:paraId="08452A88" w14:textId="77777777" w:rsidR="00AC54C9" w:rsidRDefault="00AC54C9" w:rsidP="00490933">
      <w:pPr>
        <w:spacing w:line="276" w:lineRule="auto"/>
        <w:rPr>
          <w:rFonts w:ascii="Arial Narrow" w:hAnsi="Arial Narrow"/>
          <w:lang w:val="en-GB"/>
        </w:rPr>
      </w:pPr>
      <w:r>
        <w:rPr>
          <w:rFonts w:ascii="Arial Narrow" w:hAnsi="Arial Narrow"/>
          <w:lang w:val="en-GB"/>
        </w:rPr>
        <w:t>P</w:t>
      </w:r>
      <w:r w:rsidRPr="00AC54C9">
        <w:rPr>
          <w:rFonts w:ascii="Arial Narrow" w:hAnsi="Arial Narrow"/>
          <w:lang w:val="en-GB"/>
        </w:rPr>
        <w:t xml:space="preserve">erformance verification and fieldwork research are conducted to ascertain and verify what has been reported by the Department. This is done through constant communication and engagement with the </w:t>
      </w:r>
      <w:r>
        <w:rPr>
          <w:rFonts w:ascii="Arial Narrow" w:hAnsi="Arial Narrow"/>
          <w:lang w:val="en-GB"/>
        </w:rPr>
        <w:t>Department</w:t>
      </w:r>
      <w:r w:rsidRPr="00AC54C9">
        <w:rPr>
          <w:rFonts w:ascii="Arial Narrow" w:hAnsi="Arial Narrow"/>
          <w:lang w:val="en-GB"/>
        </w:rPr>
        <w:t xml:space="preserve">. Amongst others, there is continuous fieldwork conducted to some of the SMMEs and Cooperatives supported. The TER projects such as township industrial hubs and parks, eKasi labs and incubation centres are regularly monitored. The researchers conducted fieldwork at the ORITIA JMP precinct construction; phase 3 Bio-park construction at The Innovation Hub; delayed construction of a Visitor Centre at the Constitutional Hill. </w:t>
      </w:r>
    </w:p>
    <w:p w14:paraId="44F65CB4" w14:textId="77777777" w:rsidR="00AC54C9" w:rsidRDefault="00AC54C9" w:rsidP="00490933">
      <w:pPr>
        <w:spacing w:line="276" w:lineRule="auto"/>
        <w:rPr>
          <w:rFonts w:ascii="Arial Narrow" w:hAnsi="Arial Narrow"/>
          <w:lang w:val="en-GB"/>
        </w:rPr>
      </w:pPr>
    </w:p>
    <w:p w14:paraId="3020C3BE" w14:textId="5AB2223B" w:rsidR="00AC54C9" w:rsidRDefault="00AC54C9" w:rsidP="00490933">
      <w:pPr>
        <w:spacing w:line="276" w:lineRule="auto"/>
        <w:rPr>
          <w:rFonts w:ascii="Arial Narrow" w:hAnsi="Arial Narrow"/>
          <w:lang w:val="en-GB"/>
        </w:rPr>
      </w:pPr>
      <w:r w:rsidRPr="00AC54C9">
        <w:rPr>
          <w:rFonts w:ascii="Arial Narrow" w:hAnsi="Arial Narrow"/>
          <w:lang w:val="en-GB"/>
        </w:rPr>
        <w:t>Oversight verification was done at the 10 eKasi labs. The Winterveldt Industrial hub was visited, which still face</w:t>
      </w:r>
      <w:r>
        <w:rPr>
          <w:rFonts w:ascii="Arial Narrow" w:hAnsi="Arial Narrow"/>
          <w:lang w:val="en-GB"/>
        </w:rPr>
        <w:t>s</w:t>
      </w:r>
      <w:r w:rsidRPr="00AC54C9">
        <w:rPr>
          <w:rFonts w:ascii="Arial Narrow" w:hAnsi="Arial Narrow"/>
          <w:lang w:val="en-GB"/>
        </w:rPr>
        <w:t xml:space="preserve"> challenges in terms of getting government fleet</w:t>
      </w:r>
      <w:r>
        <w:rPr>
          <w:rFonts w:ascii="Arial Narrow" w:hAnsi="Arial Narrow"/>
          <w:lang w:val="en-GB"/>
        </w:rPr>
        <w:t xml:space="preserve"> to be repaired at that hub</w:t>
      </w:r>
      <w:r w:rsidRPr="00AC54C9">
        <w:rPr>
          <w:rFonts w:ascii="Arial Narrow" w:hAnsi="Arial Narrow"/>
          <w:lang w:val="en-GB"/>
        </w:rPr>
        <w:t>.</w:t>
      </w:r>
      <w:r>
        <w:rPr>
          <w:rFonts w:ascii="Arial Narrow" w:hAnsi="Arial Narrow"/>
          <w:lang w:val="en-GB"/>
        </w:rPr>
        <w:t xml:space="preserve"> The</w:t>
      </w:r>
      <w:r w:rsidRPr="00AC54C9">
        <w:rPr>
          <w:rFonts w:ascii="Arial Narrow" w:hAnsi="Arial Narrow"/>
          <w:lang w:val="en-GB"/>
        </w:rPr>
        <w:t xml:space="preserve"> </w:t>
      </w:r>
      <w:proofErr w:type="spellStart"/>
      <w:r w:rsidRPr="00AC54C9">
        <w:rPr>
          <w:rFonts w:ascii="Arial Narrow" w:hAnsi="Arial Narrow"/>
          <w:lang w:val="en-GB"/>
        </w:rPr>
        <w:t>Mabopane</w:t>
      </w:r>
      <w:proofErr w:type="spellEnd"/>
      <w:r w:rsidRPr="00AC54C9">
        <w:rPr>
          <w:rFonts w:ascii="Arial Narrow" w:hAnsi="Arial Narrow"/>
          <w:lang w:val="en-GB"/>
        </w:rPr>
        <w:t xml:space="preserve"> and </w:t>
      </w:r>
      <w:proofErr w:type="spellStart"/>
      <w:r w:rsidRPr="00AC54C9">
        <w:rPr>
          <w:rFonts w:ascii="Arial Narrow" w:hAnsi="Arial Narrow"/>
          <w:lang w:val="en-GB"/>
        </w:rPr>
        <w:t>Garakuwa</w:t>
      </w:r>
      <w:proofErr w:type="spellEnd"/>
      <w:r w:rsidRPr="00AC54C9">
        <w:rPr>
          <w:rFonts w:ascii="Arial Narrow" w:hAnsi="Arial Narrow"/>
          <w:lang w:val="en-GB"/>
        </w:rPr>
        <w:t xml:space="preserve"> </w:t>
      </w:r>
      <w:proofErr w:type="spellStart"/>
      <w:r w:rsidRPr="00AC54C9">
        <w:rPr>
          <w:rFonts w:ascii="Arial Narrow" w:hAnsi="Arial Narrow"/>
          <w:lang w:val="en-GB"/>
        </w:rPr>
        <w:t>eKasi</w:t>
      </w:r>
      <w:proofErr w:type="spellEnd"/>
      <w:r w:rsidRPr="00AC54C9">
        <w:rPr>
          <w:rFonts w:ascii="Arial Narrow" w:hAnsi="Arial Narrow"/>
          <w:lang w:val="en-GB"/>
        </w:rPr>
        <w:t xml:space="preserve"> labs still show signs of inactivity. This has become prevalent to most eKasi labs. In the 2023/24, the Chamdor industrial park was visited, and it is operational, however, faced with challenges such as accreditation, and leaking doors and roof. The Garankuwa Hotel school is faced with varied challenges. The visits also include two retail Distribution Centres in </w:t>
      </w:r>
      <w:proofErr w:type="spellStart"/>
      <w:r w:rsidRPr="00AC54C9">
        <w:rPr>
          <w:rFonts w:ascii="Arial Narrow" w:hAnsi="Arial Narrow"/>
          <w:lang w:val="en-GB"/>
        </w:rPr>
        <w:t>Thokoza</w:t>
      </w:r>
      <w:proofErr w:type="spellEnd"/>
      <w:r w:rsidRPr="00AC54C9">
        <w:rPr>
          <w:rFonts w:ascii="Arial Narrow" w:hAnsi="Arial Narrow"/>
          <w:lang w:val="en-GB"/>
        </w:rPr>
        <w:t xml:space="preserve"> and </w:t>
      </w:r>
      <w:proofErr w:type="spellStart"/>
      <w:r w:rsidRPr="00AC54C9">
        <w:rPr>
          <w:rFonts w:ascii="Arial Narrow" w:hAnsi="Arial Narrow"/>
          <w:lang w:val="en-GB"/>
        </w:rPr>
        <w:t>Mamemlodi</w:t>
      </w:r>
      <w:proofErr w:type="spellEnd"/>
      <w:r w:rsidRPr="00AC54C9">
        <w:rPr>
          <w:rFonts w:ascii="Arial Narrow" w:hAnsi="Arial Narrow"/>
          <w:lang w:val="en-GB"/>
        </w:rPr>
        <w:t>, benefiting local spaza shops. Further visits were done to infrastructure projects, and progress is noted, yet there are still delays, mainly at the Visitor centre at the Constitutional Hill.</w:t>
      </w:r>
    </w:p>
    <w:p w14:paraId="0A9B91DF" w14:textId="77777777" w:rsidR="00A260C4" w:rsidRDefault="00A260C4" w:rsidP="00490933">
      <w:pPr>
        <w:spacing w:line="276" w:lineRule="auto"/>
        <w:rPr>
          <w:rFonts w:ascii="Arial Narrow" w:hAnsi="Arial Narrow"/>
          <w:lang w:val="en-GB"/>
        </w:rPr>
      </w:pPr>
    </w:p>
    <w:p w14:paraId="0B6FC10F" w14:textId="77777777" w:rsidR="00903C02" w:rsidRPr="00820341" w:rsidRDefault="00903C02" w:rsidP="00C93456">
      <w:pPr>
        <w:spacing w:line="276" w:lineRule="auto"/>
        <w:rPr>
          <w:rFonts w:ascii="Arial Narrow" w:hAnsi="Arial Narrow" w:cs="Arial Narrow"/>
          <w:b/>
          <w:bCs/>
        </w:rPr>
      </w:pPr>
      <w:r w:rsidRPr="00820341">
        <w:rPr>
          <w:rFonts w:ascii="Arial Narrow" w:hAnsi="Arial Narrow" w:cs="Arial Narrow"/>
          <w:b/>
          <w:bCs/>
        </w:rPr>
        <w:t>Audit findings by the Auditor General</w:t>
      </w:r>
    </w:p>
    <w:p w14:paraId="1F10E64C" w14:textId="49CF5F19" w:rsidR="00062513" w:rsidRPr="004F146B" w:rsidRDefault="00062513" w:rsidP="00204ADF">
      <w:pPr>
        <w:spacing w:line="276" w:lineRule="auto"/>
        <w:rPr>
          <w:rFonts w:ascii="Arial Narrow" w:hAnsi="Arial Narrow" w:cs="Arial Narrow"/>
          <w:b/>
        </w:rPr>
      </w:pPr>
    </w:p>
    <w:p w14:paraId="33801C39" w14:textId="5A6B74CA" w:rsidR="00436F16" w:rsidRPr="00491445" w:rsidRDefault="004F146B" w:rsidP="00204ADF">
      <w:pPr>
        <w:spacing w:line="276" w:lineRule="auto"/>
        <w:rPr>
          <w:rFonts w:ascii="Arial Narrow" w:hAnsi="Arial Narrow" w:cs="Arial Narrow"/>
          <w:b/>
        </w:rPr>
      </w:pPr>
      <w:r w:rsidRPr="00491445">
        <w:rPr>
          <w:rFonts w:ascii="Arial Narrow" w:hAnsi="Arial Narrow" w:cs="Arial Narrow"/>
          <w:b/>
        </w:rPr>
        <w:t xml:space="preserve">Audit findings on </w:t>
      </w:r>
      <w:r w:rsidR="00436F16" w:rsidRPr="00491445">
        <w:rPr>
          <w:rFonts w:ascii="Arial Narrow" w:hAnsi="Arial Narrow" w:cs="Arial Narrow"/>
          <w:b/>
        </w:rPr>
        <w:t xml:space="preserve">the Department: </w:t>
      </w:r>
    </w:p>
    <w:p w14:paraId="01B6E75A" w14:textId="7B15DC51" w:rsidR="00062513" w:rsidRDefault="00062513" w:rsidP="00204ADF">
      <w:pPr>
        <w:spacing w:line="276" w:lineRule="auto"/>
        <w:rPr>
          <w:rFonts w:ascii="Arial Narrow" w:hAnsi="Arial Narrow" w:cs="Arial Narrow"/>
          <w:bCs/>
          <w:highlight w:val="yellow"/>
        </w:rPr>
      </w:pPr>
    </w:p>
    <w:p w14:paraId="0EB4D1A2" w14:textId="77777777" w:rsidR="00F26BFD" w:rsidRDefault="00F26BFD" w:rsidP="00204ADF">
      <w:pPr>
        <w:spacing w:line="276" w:lineRule="auto"/>
        <w:rPr>
          <w:rFonts w:ascii="Arial Narrow" w:hAnsi="Arial Narrow" w:cs="Arial Narrow"/>
          <w:bCs/>
        </w:rPr>
      </w:pPr>
      <w:r w:rsidRPr="00F26BFD">
        <w:rPr>
          <w:rFonts w:ascii="Arial Narrow" w:hAnsi="Arial Narrow" w:cs="Arial Narrow"/>
          <w:bCs/>
        </w:rPr>
        <w:t xml:space="preserve">According to the Auditor-General (AG)’s opinion, “the financial statements present fairly, in all material aspects, the financial position of the </w:t>
      </w:r>
      <w:r>
        <w:rPr>
          <w:rFonts w:ascii="Arial Narrow" w:hAnsi="Arial Narrow" w:cs="Arial Narrow"/>
          <w:bCs/>
        </w:rPr>
        <w:t>Department</w:t>
      </w:r>
      <w:r w:rsidRPr="00F26BFD">
        <w:rPr>
          <w:rFonts w:ascii="Arial Narrow" w:hAnsi="Arial Narrow" w:cs="Arial Narrow"/>
          <w:bCs/>
        </w:rPr>
        <w:t xml:space="preserve"> and </w:t>
      </w:r>
      <w:r>
        <w:rPr>
          <w:rFonts w:ascii="Arial Narrow" w:hAnsi="Arial Narrow" w:cs="Arial Narrow"/>
          <w:bCs/>
        </w:rPr>
        <w:t>the Gauteng Liquor Board (</w:t>
      </w:r>
      <w:r w:rsidRPr="00F26BFD">
        <w:rPr>
          <w:rFonts w:ascii="Arial Narrow" w:hAnsi="Arial Narrow" w:cs="Arial Narrow"/>
          <w:bCs/>
        </w:rPr>
        <w:t>GLB</w:t>
      </w:r>
      <w:r>
        <w:rPr>
          <w:rFonts w:ascii="Arial Narrow" w:hAnsi="Arial Narrow" w:cs="Arial Narrow"/>
          <w:bCs/>
        </w:rPr>
        <w:t>)</w:t>
      </w:r>
      <w:r w:rsidRPr="00F26BFD">
        <w:rPr>
          <w:rFonts w:ascii="Arial Narrow" w:hAnsi="Arial Narrow" w:cs="Arial Narrow"/>
          <w:bCs/>
        </w:rPr>
        <w:t xml:space="preserve"> as at 31 March 2023, and their financial performance and cash flows for the year then ended in accordance with the Modified Cash Standards (MCS) prescribed by the National Treasury and the requirements of the PFMA 1 of 1999 and  the Division of Revenue Act 9 of 2021 (Dora)”.</w:t>
      </w:r>
    </w:p>
    <w:p w14:paraId="6E3426D3" w14:textId="77777777" w:rsidR="00F26BFD" w:rsidRDefault="00F26BFD" w:rsidP="00204ADF">
      <w:pPr>
        <w:spacing w:line="276" w:lineRule="auto"/>
        <w:rPr>
          <w:rFonts w:ascii="Arial Narrow" w:hAnsi="Arial Narrow" w:cs="Arial Narrow"/>
          <w:bCs/>
        </w:rPr>
      </w:pPr>
    </w:p>
    <w:p w14:paraId="3217EFEB" w14:textId="77777777" w:rsidR="00F26BFD" w:rsidRDefault="00F26BFD" w:rsidP="00204ADF">
      <w:pPr>
        <w:spacing w:line="276" w:lineRule="auto"/>
        <w:rPr>
          <w:rFonts w:ascii="Arial Narrow" w:hAnsi="Arial Narrow" w:cs="Arial Narrow"/>
          <w:bCs/>
        </w:rPr>
      </w:pPr>
      <w:proofErr w:type="gramStart"/>
      <w:r w:rsidRPr="00F26BFD">
        <w:rPr>
          <w:rFonts w:ascii="Arial Narrow" w:hAnsi="Arial Narrow" w:cs="Arial Narrow"/>
          <w:bCs/>
        </w:rPr>
        <w:t>Similar to</w:t>
      </w:r>
      <w:proofErr w:type="gramEnd"/>
      <w:r w:rsidRPr="00F26BFD">
        <w:rPr>
          <w:rFonts w:ascii="Arial Narrow" w:hAnsi="Arial Narrow" w:cs="Arial Narrow"/>
          <w:bCs/>
        </w:rPr>
        <w:t xml:space="preserve"> the p</w:t>
      </w:r>
      <w:r>
        <w:rPr>
          <w:rFonts w:ascii="Arial Narrow" w:hAnsi="Arial Narrow" w:cs="Arial Narrow"/>
          <w:bCs/>
        </w:rPr>
        <w:t>revious</w:t>
      </w:r>
      <w:r w:rsidRPr="00F26BFD">
        <w:rPr>
          <w:rFonts w:ascii="Arial Narrow" w:hAnsi="Arial Narrow" w:cs="Arial Narrow"/>
          <w:bCs/>
        </w:rPr>
        <w:t xml:space="preserve"> financial year, the</w:t>
      </w:r>
      <w:r>
        <w:rPr>
          <w:rFonts w:ascii="Arial Narrow" w:hAnsi="Arial Narrow" w:cs="Arial Narrow"/>
          <w:bCs/>
        </w:rPr>
        <w:t xml:space="preserve"> Department</w:t>
      </w:r>
      <w:r w:rsidRPr="00F26BFD">
        <w:rPr>
          <w:rFonts w:ascii="Arial Narrow" w:hAnsi="Arial Narrow" w:cs="Arial Narrow"/>
          <w:bCs/>
        </w:rPr>
        <w:t xml:space="preserve"> obtained a clean audit (unqualified with no findings),</w:t>
      </w:r>
      <w:r>
        <w:rPr>
          <w:rFonts w:ascii="Arial Narrow" w:hAnsi="Arial Narrow" w:cs="Arial Narrow"/>
          <w:bCs/>
        </w:rPr>
        <w:t xml:space="preserve"> which was </w:t>
      </w:r>
      <w:r w:rsidRPr="00F26BFD">
        <w:rPr>
          <w:rFonts w:ascii="Arial Narrow" w:hAnsi="Arial Narrow" w:cs="Arial Narrow"/>
          <w:bCs/>
        </w:rPr>
        <w:t>an improvement. In addition, the GLB did not encounter challenges as in the previous financial year and in turn, it has an improved outcome from unqualified audit with findings to a clean audit in the 2022/23 financial year. This should be welcomed, especially noting that for a protracted period the GLB faced various challenges in terms of inadequate filing system and in turn, failure to account for the number of licenses, lack of financial viability. While acknowledging the improvement</w:t>
      </w:r>
      <w:r>
        <w:rPr>
          <w:rFonts w:ascii="Arial Narrow" w:hAnsi="Arial Narrow" w:cs="Arial Narrow"/>
          <w:bCs/>
        </w:rPr>
        <w:t>s</w:t>
      </w:r>
      <w:r w:rsidRPr="00F26BFD">
        <w:rPr>
          <w:rFonts w:ascii="Arial Narrow" w:hAnsi="Arial Narrow" w:cs="Arial Narrow"/>
          <w:bCs/>
        </w:rPr>
        <w:t>, the urgency relating to business automation</w:t>
      </w:r>
      <w:r>
        <w:rPr>
          <w:rFonts w:ascii="Arial Narrow" w:hAnsi="Arial Narrow" w:cs="Arial Narrow"/>
          <w:bCs/>
        </w:rPr>
        <w:t xml:space="preserve"> and</w:t>
      </w:r>
      <w:r w:rsidRPr="00F26BFD">
        <w:rPr>
          <w:rFonts w:ascii="Arial Narrow" w:hAnsi="Arial Narrow" w:cs="Arial Narrow"/>
          <w:bCs/>
        </w:rPr>
        <w:t xml:space="preserve"> efforts to curb illegality</w:t>
      </w:r>
      <w:r>
        <w:rPr>
          <w:rFonts w:ascii="Arial Narrow" w:hAnsi="Arial Narrow" w:cs="Arial Narrow"/>
          <w:bCs/>
        </w:rPr>
        <w:t xml:space="preserve"> within the liquor industry </w:t>
      </w:r>
      <w:r w:rsidRPr="00F26BFD">
        <w:rPr>
          <w:rFonts w:ascii="Arial Narrow" w:hAnsi="Arial Narrow" w:cs="Arial Narrow"/>
          <w:bCs/>
        </w:rPr>
        <w:t>and guard against</w:t>
      </w:r>
      <w:r>
        <w:rPr>
          <w:rFonts w:ascii="Arial Narrow" w:hAnsi="Arial Narrow" w:cs="Arial Narrow"/>
          <w:bCs/>
        </w:rPr>
        <w:t xml:space="preserve"> alcohol</w:t>
      </w:r>
      <w:r w:rsidRPr="00F26BFD">
        <w:rPr>
          <w:rFonts w:ascii="Arial Narrow" w:hAnsi="Arial Narrow" w:cs="Arial Narrow"/>
          <w:bCs/>
        </w:rPr>
        <w:t xml:space="preserve"> abuse should persist through strengthening capacity and continuously</w:t>
      </w:r>
      <w:r>
        <w:rPr>
          <w:rFonts w:ascii="Arial Narrow" w:hAnsi="Arial Narrow" w:cs="Arial Narrow"/>
          <w:bCs/>
        </w:rPr>
        <w:t xml:space="preserve"> be</w:t>
      </w:r>
      <w:r w:rsidRPr="00F26BFD">
        <w:rPr>
          <w:rFonts w:ascii="Arial Narrow" w:hAnsi="Arial Narrow" w:cs="Arial Narrow"/>
          <w:bCs/>
        </w:rPr>
        <w:t xml:space="preserve"> monitored. </w:t>
      </w:r>
    </w:p>
    <w:p w14:paraId="79FE70A9" w14:textId="77777777" w:rsidR="00F26BFD" w:rsidRDefault="00F26BFD" w:rsidP="00204ADF">
      <w:pPr>
        <w:spacing w:line="276" w:lineRule="auto"/>
        <w:rPr>
          <w:rFonts w:ascii="Arial Narrow" w:hAnsi="Arial Narrow" w:cs="Arial Narrow"/>
          <w:bCs/>
        </w:rPr>
      </w:pPr>
    </w:p>
    <w:p w14:paraId="2D48DD18" w14:textId="6C08F44E" w:rsidR="005B7B31" w:rsidRPr="005B7B31" w:rsidRDefault="005B7B31" w:rsidP="00204ADF">
      <w:pPr>
        <w:spacing w:line="276" w:lineRule="auto"/>
        <w:rPr>
          <w:rFonts w:ascii="Arial Narrow" w:hAnsi="Arial Narrow" w:cs="Arial Narrow"/>
          <w:b/>
          <w:highlight w:val="yellow"/>
        </w:rPr>
      </w:pPr>
      <w:r w:rsidRPr="005B7B31">
        <w:rPr>
          <w:rFonts w:ascii="Arial Narrow" w:hAnsi="Arial Narrow" w:cs="Arial Narrow"/>
          <w:bCs/>
        </w:rPr>
        <w:lastRenderedPageBreak/>
        <w:t>With regards</w:t>
      </w:r>
      <w:r>
        <w:rPr>
          <w:rFonts w:ascii="Arial Narrow" w:hAnsi="Arial Narrow" w:cs="Arial Narrow"/>
          <w:bCs/>
        </w:rPr>
        <w:t xml:space="preserve"> to entities, the a</w:t>
      </w:r>
      <w:r w:rsidRPr="005B7B31">
        <w:rPr>
          <w:rFonts w:ascii="Arial Narrow" w:hAnsi="Arial Narrow" w:cs="Arial Narrow"/>
          <w:bCs/>
        </w:rPr>
        <w:t>gencies’ audit opinion remained unchanged obtaining an unqualified opinion with no findings (clean audit) and such include the GGDA and its subsidiaries such as the Constitutional Hill, GIDZ, TIH and Supplier Park Development Zone. In addition, the COHWHS and Dinokeng also received an unqualified opinion with no findings whilst TASEZ continues to attain a positive audit outcome</w:t>
      </w:r>
      <w:r>
        <w:rPr>
          <w:rFonts w:ascii="Arial Narrow" w:hAnsi="Arial Narrow" w:cs="Arial Narrow"/>
          <w:bCs/>
        </w:rPr>
        <w:t xml:space="preserve">. </w:t>
      </w:r>
      <w:r w:rsidRPr="005B7B31">
        <w:rPr>
          <w:rFonts w:ascii="Arial Narrow" w:hAnsi="Arial Narrow" w:cs="Arial Narrow"/>
          <w:bCs/>
        </w:rPr>
        <w:t>Meanwhile, the GGB regressed as it obtained an unqualified opinion</w:t>
      </w:r>
      <w:r>
        <w:rPr>
          <w:rFonts w:ascii="Arial Narrow" w:hAnsi="Arial Narrow" w:cs="Arial Narrow"/>
          <w:bCs/>
        </w:rPr>
        <w:t xml:space="preserve"> with findings</w:t>
      </w:r>
      <w:r w:rsidRPr="005B7B31">
        <w:rPr>
          <w:rFonts w:ascii="Arial Narrow" w:hAnsi="Arial Narrow" w:cs="Arial Narrow"/>
          <w:bCs/>
        </w:rPr>
        <w:t xml:space="preserve"> instead of a clean audit when compared with the previous </w:t>
      </w:r>
      <w:r>
        <w:rPr>
          <w:rFonts w:ascii="Arial Narrow" w:hAnsi="Arial Narrow" w:cs="Arial Narrow"/>
          <w:bCs/>
        </w:rPr>
        <w:t>financial years</w:t>
      </w:r>
      <w:bookmarkStart w:id="47" w:name="_Hlk151377062"/>
      <w:r w:rsidRPr="005B7B31">
        <w:rPr>
          <w:rFonts w:ascii="Arial Narrow" w:hAnsi="Arial Narrow" w:cs="Arial Narrow"/>
          <w:bCs/>
        </w:rPr>
        <w:t xml:space="preserve">. </w:t>
      </w:r>
      <w:r>
        <w:rPr>
          <w:rFonts w:ascii="Arial Narrow" w:hAnsi="Arial Narrow" w:cs="Arial Narrow"/>
          <w:bCs/>
        </w:rPr>
        <w:t>T</w:t>
      </w:r>
      <w:r w:rsidRPr="005B7B31">
        <w:rPr>
          <w:rFonts w:ascii="Arial Narrow" w:hAnsi="Arial Narrow" w:cs="Arial Narrow"/>
          <w:bCs/>
        </w:rPr>
        <w:t xml:space="preserve">he GTA, obtained an unqualified opinion with some of the cited limitations consisting of the failure by the AGSA to recognize the sector’s reporting approach. In terms of the GEP, it received an unqualified opinion with some material findings on the prevention of irregular expenditure for the year under review. Fundamentally, </w:t>
      </w:r>
      <w:proofErr w:type="gramStart"/>
      <w:r w:rsidRPr="005B7B31">
        <w:rPr>
          <w:rFonts w:ascii="Arial Narrow" w:hAnsi="Arial Narrow" w:cs="Arial Narrow"/>
          <w:bCs/>
        </w:rPr>
        <w:t>effective</w:t>
      </w:r>
      <w:proofErr w:type="gramEnd"/>
      <w:r w:rsidRPr="005B7B31">
        <w:rPr>
          <w:rFonts w:ascii="Arial Narrow" w:hAnsi="Arial Narrow" w:cs="Arial Narrow"/>
          <w:bCs/>
        </w:rPr>
        <w:t xml:space="preserve"> and appropriate steps failed to be undertaken to prevent irregular expenditure mainly caused by non-compliance with procurement processes.</w:t>
      </w:r>
      <w:r>
        <w:rPr>
          <w:rFonts w:ascii="Arial Narrow" w:hAnsi="Arial Narrow" w:cs="Arial Narrow"/>
          <w:bCs/>
        </w:rPr>
        <w:t xml:space="preserve"> </w:t>
      </w:r>
      <w:r w:rsidRPr="005B7B31">
        <w:rPr>
          <w:rFonts w:ascii="Arial Narrow" w:hAnsi="Arial Narrow" w:cs="Arial Narrow"/>
          <w:b/>
        </w:rPr>
        <w:t>On the matters related to the entities that did not attain clean audits, the Committee is of the view that appropriate steps should be undertaken to prevent irregular expenditure. It should also provide a detailed progress report on various projects inclusive of the disciplinary referrals on the pitching booster initiative in Sebokeng, investigated sponsorships not in line with the sponsorship’s framework and the pursuance of the recovery of funds for the tender of the Project Vuthela geared at creating 75 000 youth opportunities amongst others.</w:t>
      </w:r>
    </w:p>
    <w:p w14:paraId="49DA1C89" w14:textId="4F858C09" w:rsidR="00EF0A92" w:rsidRPr="0055117C" w:rsidRDefault="00EF0A92" w:rsidP="00062513">
      <w:pPr>
        <w:spacing w:line="276" w:lineRule="auto"/>
        <w:rPr>
          <w:rFonts w:ascii="Arial Narrow" w:hAnsi="Arial Narrow" w:cs="Arial Narrow"/>
          <w:bCs/>
          <w:highlight w:val="yellow"/>
        </w:rPr>
      </w:pPr>
    </w:p>
    <w:p w14:paraId="5DFB7141" w14:textId="1C078F32" w:rsidR="004B7663" w:rsidRPr="0079000E" w:rsidRDefault="00225182" w:rsidP="00C93456">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48" w:name="_Toc66876380"/>
      <w:bookmarkEnd w:id="47"/>
      <w:r>
        <w:rPr>
          <w:rFonts w:ascii="Arial Narrow" w:hAnsi="Arial Narrow"/>
          <w:color w:val="auto"/>
          <w:sz w:val="22"/>
          <w:szCs w:val="22"/>
        </w:rPr>
        <w:t>F</w:t>
      </w:r>
      <w:r w:rsidR="00EE4CC6">
        <w:rPr>
          <w:rFonts w:ascii="Arial Narrow" w:hAnsi="Arial Narrow"/>
          <w:color w:val="auto"/>
          <w:sz w:val="22"/>
          <w:szCs w:val="22"/>
        </w:rPr>
        <w:t>I</w:t>
      </w:r>
      <w:r w:rsidR="004B7663" w:rsidRPr="0079000E">
        <w:rPr>
          <w:rFonts w:ascii="Arial Narrow" w:hAnsi="Arial Narrow"/>
          <w:color w:val="auto"/>
          <w:sz w:val="22"/>
          <w:szCs w:val="22"/>
        </w:rPr>
        <w:t xml:space="preserve">NDINGS, </w:t>
      </w:r>
      <w:r w:rsidR="00E866FA" w:rsidRPr="0079000E">
        <w:rPr>
          <w:rFonts w:ascii="Arial Narrow" w:hAnsi="Arial Narrow"/>
          <w:color w:val="auto"/>
          <w:sz w:val="22"/>
          <w:szCs w:val="22"/>
        </w:rPr>
        <w:t>RECOMMENDATIONS,</w:t>
      </w:r>
      <w:r w:rsidR="004B7663" w:rsidRPr="0079000E">
        <w:rPr>
          <w:rFonts w:ascii="Arial Narrow" w:hAnsi="Arial Narrow"/>
          <w:color w:val="auto"/>
          <w:sz w:val="22"/>
          <w:szCs w:val="22"/>
        </w:rPr>
        <w:t xml:space="preserve"> AND IMPLICATIONS ON LAW MAKING</w:t>
      </w:r>
      <w:bookmarkEnd w:id="48"/>
    </w:p>
    <w:p w14:paraId="1234BE75" w14:textId="77777777" w:rsidR="004B7663" w:rsidRPr="0079000E" w:rsidRDefault="004B7663" w:rsidP="00C0768B">
      <w:pPr>
        <w:spacing w:line="276" w:lineRule="auto"/>
        <w:rPr>
          <w:rFonts w:ascii="Arial Narrow" w:hAnsi="Arial Narrow" w:cs="Arial Narrow"/>
          <w:bCs/>
        </w:rPr>
      </w:pPr>
    </w:p>
    <w:p w14:paraId="0C7B3AF1" w14:textId="77777777" w:rsidR="004B7663" w:rsidRPr="00031B62" w:rsidRDefault="004B7663" w:rsidP="003712DA">
      <w:pPr>
        <w:pStyle w:val="ListParagraph"/>
        <w:numPr>
          <w:ilvl w:val="0"/>
          <w:numId w:val="5"/>
        </w:numPr>
        <w:ind w:left="567" w:hanging="283"/>
        <w:jc w:val="both"/>
        <w:rPr>
          <w:rFonts w:ascii="Arial Narrow" w:hAnsi="Arial Narrow" w:cs="Arial Narrow"/>
          <w:bCs/>
        </w:rPr>
      </w:pPr>
      <w:r w:rsidRPr="00031B62">
        <w:rPr>
          <w:rFonts w:ascii="Arial Narrow" w:hAnsi="Arial Narrow" w:cs="Arial Narrow"/>
          <w:bCs/>
        </w:rPr>
        <w:t>Committee Findings / Concerns</w:t>
      </w:r>
    </w:p>
    <w:p w14:paraId="6E90D802" w14:textId="77777777" w:rsidR="00C93456" w:rsidRPr="00031B62" w:rsidRDefault="003D37FD" w:rsidP="003712DA">
      <w:pPr>
        <w:spacing w:line="276" w:lineRule="auto"/>
        <w:rPr>
          <w:rFonts w:ascii="Arial Narrow" w:hAnsi="Arial Narrow" w:cs="Arial Narrow"/>
          <w:bCs/>
        </w:rPr>
      </w:pPr>
      <w:r w:rsidRPr="00031B62">
        <w:rPr>
          <w:rFonts w:ascii="Arial Narrow" w:hAnsi="Arial Narrow" w:cs="Arial Narrow"/>
          <w:bCs/>
        </w:rPr>
        <w:t>The Committee is concerned about:</w:t>
      </w:r>
    </w:p>
    <w:p w14:paraId="45BBC83A" w14:textId="77777777" w:rsidR="00031B62" w:rsidRDefault="00031B62" w:rsidP="003712DA">
      <w:pPr>
        <w:tabs>
          <w:tab w:val="left" w:pos="986"/>
        </w:tabs>
        <w:spacing w:line="276" w:lineRule="auto"/>
        <w:rPr>
          <w:rFonts w:ascii="Arial Narrow" w:hAnsi="Arial Narrow" w:cs="Arial Narrow"/>
          <w:bCs/>
        </w:rPr>
      </w:pPr>
    </w:p>
    <w:p w14:paraId="4FFD2A84" w14:textId="0E1BD90B" w:rsidR="003D37FD" w:rsidRPr="00C852FD" w:rsidRDefault="00D61A65" w:rsidP="003712DA">
      <w:pPr>
        <w:spacing w:line="276" w:lineRule="auto"/>
        <w:rPr>
          <w:rFonts w:ascii="Arial Narrow" w:hAnsi="Arial Narrow" w:cs="Arial Narrow"/>
          <w:b/>
        </w:rPr>
      </w:pPr>
      <w:r w:rsidRPr="00C852FD">
        <w:rPr>
          <w:rFonts w:ascii="Arial Narrow" w:hAnsi="Arial Narrow" w:cs="Arial Narrow"/>
          <w:b/>
        </w:rPr>
        <w:t xml:space="preserve">Programme </w:t>
      </w:r>
      <w:r w:rsidR="00E27758">
        <w:rPr>
          <w:rFonts w:ascii="Arial Narrow" w:hAnsi="Arial Narrow" w:cs="Arial Narrow"/>
          <w:b/>
        </w:rPr>
        <w:t>2</w:t>
      </w:r>
      <w:r w:rsidR="00270E8E">
        <w:rPr>
          <w:rFonts w:ascii="Arial Narrow" w:hAnsi="Arial Narrow" w:cs="Arial Narrow"/>
          <w:b/>
        </w:rPr>
        <w:t xml:space="preserve"> </w:t>
      </w:r>
    </w:p>
    <w:p w14:paraId="1AA9AA84" w14:textId="33D48A1E" w:rsidR="00E934AA" w:rsidRPr="00E934AA" w:rsidRDefault="00E934AA" w:rsidP="00E934AA">
      <w:pPr>
        <w:pStyle w:val="ListParagraph"/>
        <w:numPr>
          <w:ilvl w:val="0"/>
          <w:numId w:val="26"/>
        </w:numPr>
        <w:rPr>
          <w:rFonts w:ascii="Arial Narrow" w:hAnsi="Arial Narrow" w:cs="Arial Narrow"/>
          <w:bCs/>
        </w:rPr>
      </w:pPr>
      <w:bookmarkStart w:id="49" w:name="_Hlk89314800"/>
      <w:r>
        <w:rPr>
          <w:rFonts w:ascii="Arial Narrow" w:hAnsi="Arial Narrow" w:cs="Arial Narrow"/>
          <w:bCs/>
        </w:rPr>
        <w:t xml:space="preserve">The financials presented by </w:t>
      </w:r>
      <w:r w:rsidRPr="00E934AA">
        <w:rPr>
          <w:rFonts w:ascii="Arial Narrow" w:hAnsi="Arial Narrow" w:cs="Arial Narrow"/>
          <w:bCs/>
        </w:rPr>
        <w:t xml:space="preserve">GEP </w:t>
      </w:r>
      <w:r>
        <w:rPr>
          <w:rFonts w:ascii="Arial Narrow" w:hAnsi="Arial Narrow" w:cs="Arial Narrow"/>
          <w:bCs/>
        </w:rPr>
        <w:t xml:space="preserve">on the entity’s expenditure in the year under review, this is further concerning as </w:t>
      </w:r>
      <w:r w:rsidRPr="00E934AA">
        <w:rPr>
          <w:rFonts w:ascii="Arial Narrow" w:hAnsi="Arial Narrow" w:cs="Arial Narrow"/>
          <w:bCs/>
        </w:rPr>
        <w:t>in the 2021/22 FY, the entity failed to submit its Annual Report on time due the Auditors being unable to verify information provided by the entity as there seem</w:t>
      </w:r>
      <w:r w:rsidR="007D08C7">
        <w:rPr>
          <w:rFonts w:ascii="Arial Narrow" w:hAnsi="Arial Narrow" w:cs="Arial Narrow"/>
          <w:bCs/>
        </w:rPr>
        <w:t>ed</w:t>
      </w:r>
      <w:r w:rsidRPr="00E934AA">
        <w:rPr>
          <w:rFonts w:ascii="Arial Narrow" w:hAnsi="Arial Narrow" w:cs="Arial Narrow"/>
          <w:bCs/>
        </w:rPr>
        <w:t xml:space="preserve"> to be a misalignment with regards to information provided.</w:t>
      </w:r>
    </w:p>
    <w:p w14:paraId="18DCC886" w14:textId="7CBAE8F4" w:rsidR="00F061AF" w:rsidRPr="00F061AF" w:rsidRDefault="00F061AF" w:rsidP="00F061AF">
      <w:pPr>
        <w:pStyle w:val="ListParagraph"/>
        <w:numPr>
          <w:ilvl w:val="0"/>
          <w:numId w:val="26"/>
        </w:numPr>
        <w:rPr>
          <w:rFonts w:ascii="Arial Narrow" w:hAnsi="Arial Narrow" w:cs="Arial Narrow"/>
          <w:bCs/>
        </w:rPr>
      </w:pPr>
      <w:r>
        <w:rPr>
          <w:rFonts w:ascii="Arial Narrow" w:hAnsi="Arial Narrow" w:cs="Arial Narrow"/>
          <w:bCs/>
        </w:rPr>
        <w:t xml:space="preserve">The lack of information regarding the </w:t>
      </w:r>
      <w:r w:rsidRPr="00F061AF">
        <w:rPr>
          <w:rFonts w:ascii="Arial Narrow" w:hAnsi="Arial Narrow" w:cs="Arial Narrow"/>
          <w:bCs/>
        </w:rPr>
        <w:t xml:space="preserve">functioning of the Kasi Umnotho Fund and the role of Family Tree, noting that several concerns were previously raised by the Committee </w:t>
      </w:r>
      <w:proofErr w:type="gramStart"/>
      <w:r w:rsidRPr="00F061AF">
        <w:rPr>
          <w:rFonts w:ascii="Arial Narrow" w:hAnsi="Arial Narrow" w:cs="Arial Narrow"/>
          <w:bCs/>
        </w:rPr>
        <w:t>in particular on</w:t>
      </w:r>
      <w:proofErr w:type="gramEnd"/>
      <w:r w:rsidRPr="00F061AF">
        <w:rPr>
          <w:rFonts w:ascii="Arial Narrow" w:hAnsi="Arial Narrow" w:cs="Arial Narrow"/>
          <w:bCs/>
        </w:rPr>
        <w:t xml:space="preserve"> Family Tree.  </w:t>
      </w:r>
    </w:p>
    <w:bookmarkEnd w:id="49"/>
    <w:p w14:paraId="10C86499" w14:textId="2D7EEC87" w:rsidR="00D7116A" w:rsidRPr="00CD0954" w:rsidRDefault="00270E8E" w:rsidP="003712DA">
      <w:pPr>
        <w:rPr>
          <w:rFonts w:ascii="Arial Narrow" w:hAnsi="Arial Narrow" w:cs="Arial Narrow"/>
          <w:b/>
        </w:rPr>
      </w:pPr>
      <w:r w:rsidRPr="00CD0954">
        <w:rPr>
          <w:rFonts w:ascii="Arial Narrow" w:hAnsi="Arial Narrow" w:cs="Arial Narrow"/>
          <w:b/>
        </w:rPr>
        <w:t xml:space="preserve">Programme </w:t>
      </w:r>
      <w:r w:rsidR="00250D13">
        <w:rPr>
          <w:rFonts w:ascii="Arial Narrow" w:hAnsi="Arial Narrow" w:cs="Arial Narrow"/>
          <w:b/>
        </w:rPr>
        <w:t>3</w:t>
      </w:r>
    </w:p>
    <w:p w14:paraId="37C0611A" w14:textId="13CF9197" w:rsidR="005E015C" w:rsidRDefault="005E015C" w:rsidP="003712DA">
      <w:pPr>
        <w:pStyle w:val="ListParagraph"/>
        <w:numPr>
          <w:ilvl w:val="0"/>
          <w:numId w:val="26"/>
        </w:numPr>
        <w:jc w:val="both"/>
        <w:rPr>
          <w:rFonts w:ascii="Arial Narrow" w:hAnsi="Arial Narrow" w:cs="Arial Narrow"/>
          <w:bCs/>
        </w:rPr>
      </w:pPr>
      <w:bookmarkStart w:id="50" w:name="_Hlk89316724"/>
      <w:r>
        <w:rPr>
          <w:rFonts w:ascii="Arial Narrow" w:hAnsi="Arial Narrow" w:cs="Arial Narrow"/>
          <w:bCs/>
        </w:rPr>
        <w:t xml:space="preserve">The termination of the contractor’s contract by GGDA on the </w:t>
      </w:r>
      <w:r w:rsidRPr="005E015C">
        <w:rPr>
          <w:rFonts w:ascii="Arial Narrow" w:hAnsi="Arial Narrow" w:cs="Arial Narrow"/>
          <w:bCs/>
        </w:rPr>
        <w:t>Constitutional Hill Visitor Centre which</w:t>
      </w:r>
      <w:r>
        <w:rPr>
          <w:rFonts w:ascii="Arial Narrow" w:hAnsi="Arial Narrow" w:cs="Arial Narrow"/>
          <w:bCs/>
        </w:rPr>
        <w:t xml:space="preserve"> was</w:t>
      </w:r>
      <w:r w:rsidRPr="005E015C">
        <w:rPr>
          <w:rFonts w:ascii="Arial Narrow" w:hAnsi="Arial Narrow" w:cs="Arial Narrow"/>
          <w:bCs/>
        </w:rPr>
        <w:t xml:space="preserve"> terminated due to poor and slow performance as the contractor faced financial difficulties.</w:t>
      </w:r>
    </w:p>
    <w:p w14:paraId="0F49E5EA" w14:textId="0A05E944" w:rsidR="00250D13" w:rsidRPr="007B7D16" w:rsidRDefault="007B7D16" w:rsidP="007B7D16">
      <w:pPr>
        <w:rPr>
          <w:rFonts w:ascii="Arial Narrow" w:hAnsi="Arial Narrow" w:cs="Arial Narrow"/>
          <w:b/>
        </w:rPr>
      </w:pPr>
      <w:r w:rsidRPr="007B7D16">
        <w:rPr>
          <w:rFonts w:ascii="Arial Narrow" w:hAnsi="Arial Narrow" w:cs="Arial Narrow"/>
          <w:b/>
        </w:rPr>
        <w:t>Programme 4</w:t>
      </w:r>
    </w:p>
    <w:p w14:paraId="70F9A72F" w14:textId="4AEC9BA5" w:rsidR="00C32C40" w:rsidRDefault="002F1A26" w:rsidP="003712DA">
      <w:pPr>
        <w:pStyle w:val="ListParagraph"/>
        <w:numPr>
          <w:ilvl w:val="0"/>
          <w:numId w:val="26"/>
        </w:numPr>
        <w:jc w:val="both"/>
        <w:rPr>
          <w:rFonts w:ascii="Arial Narrow" w:hAnsi="Arial Narrow" w:cs="Arial Narrow"/>
          <w:bCs/>
        </w:rPr>
      </w:pPr>
      <w:r>
        <w:rPr>
          <w:rFonts w:ascii="Arial Narrow" w:hAnsi="Arial Narrow" w:cs="Arial Narrow"/>
          <w:bCs/>
        </w:rPr>
        <w:t xml:space="preserve">The lack of </w:t>
      </w:r>
      <w:r w:rsidR="007D08C7">
        <w:rPr>
          <w:rFonts w:ascii="Arial Narrow" w:hAnsi="Arial Narrow" w:cs="Arial Narrow"/>
          <w:bCs/>
        </w:rPr>
        <w:t xml:space="preserve">coordination </w:t>
      </w:r>
      <w:r>
        <w:rPr>
          <w:rFonts w:ascii="Arial Narrow" w:hAnsi="Arial Narrow" w:cs="Arial Narrow"/>
          <w:bCs/>
        </w:rPr>
        <w:t>between municipalities in the implementation of the Lanseria Smart City</w:t>
      </w:r>
      <w:r w:rsidR="007D08C7">
        <w:rPr>
          <w:rFonts w:ascii="Arial Narrow" w:hAnsi="Arial Narrow" w:cs="Arial Narrow"/>
          <w:bCs/>
        </w:rPr>
        <w:t xml:space="preserve"> as envisaged through inter-governmental relations.</w:t>
      </w:r>
      <w:r>
        <w:rPr>
          <w:rFonts w:ascii="Arial Narrow" w:hAnsi="Arial Narrow" w:cs="Arial Narrow"/>
          <w:bCs/>
        </w:rPr>
        <w:t xml:space="preserve"> </w:t>
      </w:r>
    </w:p>
    <w:bookmarkEnd w:id="50"/>
    <w:p w14:paraId="2A669FE0" w14:textId="339EC8F8" w:rsidR="004E777C" w:rsidRPr="00CD0954" w:rsidRDefault="00270E8E" w:rsidP="003712DA">
      <w:pPr>
        <w:rPr>
          <w:rFonts w:ascii="Arial Narrow" w:hAnsi="Arial Narrow" w:cs="Arial Narrow"/>
          <w:b/>
        </w:rPr>
      </w:pPr>
      <w:r w:rsidRPr="00CD0954">
        <w:rPr>
          <w:rFonts w:ascii="Arial Narrow" w:hAnsi="Arial Narrow" w:cs="Arial Narrow"/>
          <w:b/>
        </w:rPr>
        <w:t xml:space="preserve">AIDC </w:t>
      </w:r>
      <w:r w:rsidR="00735199" w:rsidRPr="00CD0954">
        <w:rPr>
          <w:rFonts w:ascii="Arial Narrow" w:hAnsi="Arial Narrow" w:cs="Arial Narrow"/>
          <w:b/>
        </w:rPr>
        <w:t xml:space="preserve"> </w:t>
      </w:r>
    </w:p>
    <w:p w14:paraId="4DE3B2D9" w14:textId="42480B4F" w:rsidR="00EC2FF7" w:rsidRPr="006B14B2" w:rsidRDefault="00A54B55" w:rsidP="006B14B2">
      <w:pPr>
        <w:pStyle w:val="ListParagraph"/>
        <w:numPr>
          <w:ilvl w:val="0"/>
          <w:numId w:val="26"/>
        </w:numPr>
        <w:jc w:val="both"/>
        <w:rPr>
          <w:rFonts w:ascii="Arial Narrow" w:hAnsi="Arial Narrow" w:cs="Arial Narrow"/>
          <w:b/>
          <w:bCs/>
        </w:rPr>
      </w:pPr>
      <w:r>
        <w:rPr>
          <w:rFonts w:ascii="Arial Narrow" w:hAnsi="Arial Narrow" w:cs="Arial Narrow"/>
          <w:bCs/>
        </w:rPr>
        <w:t xml:space="preserve">The unsustainable operations at the Winterveldt Hub </w:t>
      </w:r>
      <w:r w:rsidR="00E53C59">
        <w:rPr>
          <w:rFonts w:ascii="Arial Narrow" w:hAnsi="Arial Narrow" w:cs="Arial Narrow"/>
          <w:bCs/>
        </w:rPr>
        <w:t xml:space="preserve">and the lapse of the contract between the City of Tshwane and the AIDC. </w:t>
      </w:r>
      <w:bookmarkStart w:id="51" w:name="_Hlk89318308"/>
      <w:r w:rsidR="00EC2FF7" w:rsidRPr="006B14B2">
        <w:rPr>
          <w:rFonts w:ascii="Arial Narrow" w:hAnsi="Arial Narrow" w:cs="Arial Narrow"/>
        </w:rPr>
        <w:t xml:space="preserve"> </w:t>
      </w:r>
    </w:p>
    <w:p w14:paraId="726FF0E1" w14:textId="12EF500C" w:rsidR="00AC524C" w:rsidRPr="004C7492" w:rsidRDefault="00AC524C" w:rsidP="003712DA">
      <w:pPr>
        <w:rPr>
          <w:rFonts w:ascii="Arial Narrow" w:hAnsi="Arial Narrow" w:cs="Arial Narrow"/>
          <w:b/>
          <w:bCs/>
        </w:rPr>
      </w:pPr>
      <w:r w:rsidRPr="004C7492">
        <w:rPr>
          <w:rFonts w:ascii="Arial Narrow" w:hAnsi="Arial Narrow" w:cs="Arial Narrow"/>
          <w:b/>
          <w:bCs/>
        </w:rPr>
        <w:t>Audit Outcomes</w:t>
      </w:r>
    </w:p>
    <w:p w14:paraId="738975A3" w14:textId="77777777" w:rsidR="004C7492" w:rsidRPr="004C7492" w:rsidRDefault="004C7492" w:rsidP="004C7492">
      <w:pPr>
        <w:pStyle w:val="ListParagraph"/>
        <w:numPr>
          <w:ilvl w:val="0"/>
          <w:numId w:val="26"/>
        </w:numPr>
        <w:rPr>
          <w:rFonts w:ascii="Arial Narrow" w:hAnsi="Arial Narrow" w:cs="Arial Narrow"/>
        </w:rPr>
      </w:pPr>
      <w:r w:rsidRPr="004C7492">
        <w:rPr>
          <w:rFonts w:ascii="Arial Narrow" w:hAnsi="Arial Narrow" w:cs="Arial Narrow"/>
        </w:rPr>
        <w:t>The GTA, obtaining an unqualified opinion with some of the cited limitations consisting of the failure by the AGSA to recognize the sector’s reporting approach and GEP receiving an unqualified opinion with some material findings on the prevention of irregular expenditure for the year under review.</w:t>
      </w:r>
    </w:p>
    <w:bookmarkEnd w:id="51"/>
    <w:p w14:paraId="38CEF350" w14:textId="1008CA23" w:rsidR="00E53C59" w:rsidRDefault="004C7492" w:rsidP="004C7492">
      <w:pPr>
        <w:rPr>
          <w:rFonts w:ascii="Arial Narrow" w:hAnsi="Arial Narrow" w:cs="Arial Narrow"/>
          <w:b/>
          <w:bCs/>
        </w:rPr>
      </w:pPr>
      <w:r>
        <w:rPr>
          <w:rFonts w:ascii="Arial Narrow" w:hAnsi="Arial Narrow" w:cs="Arial Narrow"/>
          <w:b/>
          <w:bCs/>
        </w:rPr>
        <w:lastRenderedPageBreak/>
        <w:t>General concerns</w:t>
      </w:r>
    </w:p>
    <w:p w14:paraId="6445DF12" w14:textId="34EE8C46" w:rsidR="004C7492" w:rsidRPr="003745C1" w:rsidRDefault="004C7492" w:rsidP="004C7492">
      <w:pPr>
        <w:pStyle w:val="ListParagraph"/>
        <w:numPr>
          <w:ilvl w:val="0"/>
          <w:numId w:val="26"/>
        </w:numPr>
        <w:rPr>
          <w:rFonts w:ascii="Arial Narrow" w:hAnsi="Arial Narrow" w:cs="Arial Narrow"/>
        </w:rPr>
      </w:pPr>
      <w:r w:rsidRPr="003745C1">
        <w:rPr>
          <w:rFonts w:ascii="Arial Narrow" w:hAnsi="Arial Narrow" w:cs="Arial Narrow"/>
        </w:rPr>
        <w:t xml:space="preserve">The inability by the Department and entities to create </w:t>
      </w:r>
      <w:r w:rsidR="007D08C7" w:rsidRPr="003745C1">
        <w:rPr>
          <w:rFonts w:ascii="Arial Narrow" w:hAnsi="Arial Narrow" w:cs="Arial Narrow"/>
        </w:rPr>
        <w:t>and</w:t>
      </w:r>
      <w:r w:rsidRPr="003745C1">
        <w:rPr>
          <w:rFonts w:ascii="Arial Narrow" w:hAnsi="Arial Narrow" w:cs="Arial Narrow"/>
        </w:rPr>
        <w:t xml:space="preserve"> report on the number of jobs created. </w:t>
      </w:r>
    </w:p>
    <w:p w14:paraId="5380FCBA" w14:textId="77777777" w:rsidR="00E53C59" w:rsidRDefault="00E53C59" w:rsidP="003712DA">
      <w:pPr>
        <w:ind w:left="360"/>
        <w:rPr>
          <w:rFonts w:ascii="Arial Narrow" w:hAnsi="Arial Narrow" w:cs="Arial Narrow"/>
          <w:b/>
          <w:bCs/>
        </w:rPr>
      </w:pPr>
    </w:p>
    <w:p w14:paraId="4DF25ECA" w14:textId="77777777" w:rsidR="003745C1" w:rsidRDefault="003745C1" w:rsidP="003712DA">
      <w:pPr>
        <w:ind w:left="360"/>
        <w:rPr>
          <w:rFonts w:ascii="Arial Narrow" w:hAnsi="Arial Narrow" w:cs="Arial Narrow"/>
          <w:b/>
          <w:bCs/>
        </w:rPr>
      </w:pPr>
    </w:p>
    <w:p w14:paraId="1CFE8C38" w14:textId="77777777" w:rsidR="004C7492" w:rsidRDefault="004C7492" w:rsidP="003712DA">
      <w:pPr>
        <w:ind w:left="360"/>
        <w:rPr>
          <w:rFonts w:ascii="Arial Narrow" w:hAnsi="Arial Narrow" w:cs="Arial Narrow"/>
          <w:b/>
          <w:bCs/>
        </w:rPr>
      </w:pPr>
    </w:p>
    <w:p w14:paraId="3AE47507" w14:textId="77777777" w:rsidR="004C7492" w:rsidRDefault="004C7492" w:rsidP="003712DA">
      <w:pPr>
        <w:ind w:left="360"/>
        <w:rPr>
          <w:rFonts w:ascii="Arial Narrow" w:hAnsi="Arial Narrow" w:cs="Arial Narrow"/>
          <w:b/>
          <w:bCs/>
        </w:rPr>
      </w:pPr>
    </w:p>
    <w:p w14:paraId="30D67A3E" w14:textId="77777777" w:rsidR="004C7492" w:rsidRDefault="004C7492" w:rsidP="003712DA">
      <w:pPr>
        <w:ind w:left="360"/>
        <w:rPr>
          <w:rFonts w:ascii="Arial Narrow" w:hAnsi="Arial Narrow" w:cs="Arial Narrow"/>
          <w:b/>
          <w:bCs/>
        </w:rPr>
      </w:pPr>
    </w:p>
    <w:p w14:paraId="7B0F9A34" w14:textId="76591B80" w:rsidR="00912247" w:rsidRPr="00E80DEC" w:rsidRDefault="00BC59AC" w:rsidP="003712DA">
      <w:pPr>
        <w:ind w:left="360"/>
        <w:rPr>
          <w:rFonts w:ascii="Arial Narrow" w:hAnsi="Arial Narrow" w:cs="Arial Narrow"/>
          <w:b/>
          <w:bCs/>
        </w:rPr>
      </w:pPr>
      <w:r w:rsidRPr="00E80DEC">
        <w:rPr>
          <w:rFonts w:ascii="Arial Narrow" w:hAnsi="Arial Narrow" w:cs="Arial Narrow"/>
          <w:b/>
          <w:bCs/>
        </w:rPr>
        <w:t>All responses to resolutions</w:t>
      </w:r>
      <w:r w:rsidR="00C24D3D" w:rsidRPr="00E80DEC">
        <w:rPr>
          <w:rFonts w:ascii="Arial Narrow" w:hAnsi="Arial Narrow" w:cs="Arial Narrow"/>
          <w:b/>
          <w:bCs/>
        </w:rPr>
        <w:t xml:space="preserve"> should be submitted by the </w:t>
      </w:r>
      <w:proofErr w:type="gramStart"/>
      <w:r w:rsidR="007B7D16">
        <w:rPr>
          <w:rFonts w:ascii="Arial Narrow" w:hAnsi="Arial Narrow" w:cs="Arial Narrow"/>
          <w:b/>
          <w:bCs/>
        </w:rPr>
        <w:t>29</w:t>
      </w:r>
      <w:r w:rsidR="007B7D16" w:rsidRPr="007B7D16">
        <w:rPr>
          <w:rFonts w:ascii="Arial Narrow" w:hAnsi="Arial Narrow" w:cs="Arial Narrow"/>
          <w:b/>
          <w:bCs/>
          <w:vertAlign w:val="superscript"/>
        </w:rPr>
        <w:t>th</w:t>
      </w:r>
      <w:proofErr w:type="gramEnd"/>
      <w:r w:rsidR="007B7D16">
        <w:rPr>
          <w:rFonts w:ascii="Arial Narrow" w:hAnsi="Arial Narrow" w:cs="Arial Narrow"/>
          <w:b/>
          <w:bCs/>
        </w:rPr>
        <w:t xml:space="preserve"> February </w:t>
      </w:r>
      <w:r w:rsidR="00CD0954" w:rsidRPr="00E80DEC">
        <w:rPr>
          <w:rFonts w:ascii="Arial Narrow" w:hAnsi="Arial Narrow" w:cs="Arial Narrow"/>
          <w:b/>
          <w:bCs/>
        </w:rPr>
        <w:t>202</w:t>
      </w:r>
      <w:r w:rsidR="007B7D16">
        <w:rPr>
          <w:rFonts w:ascii="Arial Narrow" w:hAnsi="Arial Narrow" w:cs="Arial Narrow"/>
          <w:b/>
          <w:bCs/>
        </w:rPr>
        <w:t>4</w:t>
      </w:r>
      <w:r w:rsidR="00CD0954" w:rsidRPr="00E80DEC">
        <w:rPr>
          <w:rFonts w:ascii="Arial Narrow" w:hAnsi="Arial Narrow" w:cs="Arial Narrow"/>
          <w:b/>
          <w:bCs/>
        </w:rPr>
        <w:t xml:space="preserve"> </w:t>
      </w:r>
      <w:r w:rsidR="00455DE6" w:rsidRPr="00E80DEC">
        <w:rPr>
          <w:rFonts w:ascii="Arial Narrow" w:hAnsi="Arial Narrow" w:cs="Arial Narrow"/>
          <w:b/>
          <w:bCs/>
        </w:rPr>
        <w:t>unless stated otherwise</w:t>
      </w:r>
      <w:r w:rsidR="00E80DEC" w:rsidRPr="00E80DEC">
        <w:rPr>
          <w:rFonts w:ascii="Arial Narrow" w:hAnsi="Arial Narrow" w:cs="Arial Narrow"/>
          <w:b/>
          <w:bCs/>
        </w:rPr>
        <w:t xml:space="preserve"> and therefore the</w:t>
      </w:r>
      <w:r w:rsidR="00E80DEC">
        <w:rPr>
          <w:rFonts w:ascii="Arial Narrow" w:hAnsi="Arial Narrow" w:cs="Arial Narrow"/>
          <w:b/>
          <w:bCs/>
        </w:rPr>
        <w:t xml:space="preserve"> Portfolio</w:t>
      </w:r>
      <w:r w:rsidR="00E80DEC" w:rsidRPr="00E80DEC">
        <w:rPr>
          <w:rFonts w:ascii="Arial Narrow" w:hAnsi="Arial Narrow" w:cs="Arial Narrow"/>
          <w:b/>
          <w:bCs/>
        </w:rPr>
        <w:t xml:space="preserve"> Committee recommends that: </w:t>
      </w:r>
    </w:p>
    <w:p w14:paraId="572CFBAB" w14:textId="77777777" w:rsidR="00E934AA" w:rsidRDefault="00E934AA" w:rsidP="003712DA">
      <w:pPr>
        <w:rPr>
          <w:rFonts w:ascii="Arial Narrow" w:hAnsi="Arial Narrow" w:cs="Arial Narrow"/>
          <w:b/>
        </w:rPr>
      </w:pPr>
    </w:p>
    <w:p w14:paraId="209BB78D" w14:textId="693952DE" w:rsidR="00D61A65" w:rsidRPr="00CD0954" w:rsidRDefault="00843C85" w:rsidP="003712DA">
      <w:pPr>
        <w:rPr>
          <w:rFonts w:ascii="Arial Narrow" w:hAnsi="Arial Narrow" w:cs="Arial Narrow"/>
          <w:b/>
        </w:rPr>
      </w:pPr>
      <w:r w:rsidRPr="00CD0954">
        <w:rPr>
          <w:rFonts w:ascii="Arial Narrow" w:hAnsi="Arial Narrow" w:cs="Arial Narrow"/>
          <w:b/>
        </w:rPr>
        <w:t xml:space="preserve">Programme </w:t>
      </w:r>
      <w:r w:rsidR="00E27758">
        <w:rPr>
          <w:rFonts w:ascii="Arial Narrow" w:hAnsi="Arial Narrow" w:cs="Arial Narrow"/>
          <w:b/>
        </w:rPr>
        <w:t>2</w:t>
      </w:r>
    </w:p>
    <w:p w14:paraId="4A4B3323" w14:textId="0083CFD6" w:rsidR="00E934AA" w:rsidRPr="00E934AA" w:rsidRDefault="00E934AA" w:rsidP="007D08C7">
      <w:pPr>
        <w:pStyle w:val="ListParagraph"/>
        <w:numPr>
          <w:ilvl w:val="0"/>
          <w:numId w:val="23"/>
        </w:numPr>
        <w:jc w:val="both"/>
        <w:rPr>
          <w:rFonts w:ascii="Arial Narrow" w:hAnsi="Arial Narrow" w:cs="Arial Narrow"/>
          <w:bCs/>
        </w:rPr>
      </w:pPr>
      <w:r>
        <w:rPr>
          <w:rFonts w:ascii="Arial Narrow" w:hAnsi="Arial Narrow" w:cs="Arial Narrow"/>
          <w:bCs/>
        </w:rPr>
        <w:t xml:space="preserve">GEP should ensure that all financial statements that are submitted should be </w:t>
      </w:r>
      <w:r w:rsidR="00F061AF">
        <w:rPr>
          <w:rFonts w:ascii="Arial Narrow" w:hAnsi="Arial Narrow" w:cs="Arial Narrow"/>
          <w:bCs/>
        </w:rPr>
        <w:t>appropriate,</w:t>
      </w:r>
      <w:r>
        <w:rPr>
          <w:rFonts w:ascii="Arial Narrow" w:hAnsi="Arial Narrow" w:cs="Arial Narrow"/>
          <w:bCs/>
        </w:rPr>
        <w:t xml:space="preserve"> and the Auditor General should be able to verify information submitted by the entity. In addition to this, </w:t>
      </w:r>
      <w:r w:rsidR="00BD0D18">
        <w:rPr>
          <w:rFonts w:ascii="Arial Narrow" w:hAnsi="Arial Narrow" w:cs="Arial Narrow"/>
          <w:bCs/>
        </w:rPr>
        <w:t>A</w:t>
      </w:r>
      <w:r w:rsidRPr="00E934AA">
        <w:rPr>
          <w:rFonts w:ascii="Arial Narrow" w:hAnsi="Arial Narrow" w:cs="Arial Narrow"/>
          <w:bCs/>
        </w:rPr>
        <w:t>gency Oversight</w:t>
      </w:r>
      <w:r w:rsidR="00BD0D18">
        <w:rPr>
          <w:rFonts w:ascii="Arial Narrow" w:hAnsi="Arial Narrow" w:cs="Arial Narrow"/>
          <w:bCs/>
        </w:rPr>
        <w:t xml:space="preserve"> Programme</w:t>
      </w:r>
      <w:r w:rsidRPr="00E934AA">
        <w:rPr>
          <w:rFonts w:ascii="Arial Narrow" w:hAnsi="Arial Narrow" w:cs="Arial Narrow"/>
          <w:bCs/>
        </w:rPr>
        <w:t xml:space="preserve"> within the Department </w:t>
      </w:r>
      <w:r w:rsidR="00BD0D18">
        <w:rPr>
          <w:rFonts w:ascii="Arial Narrow" w:hAnsi="Arial Narrow" w:cs="Arial Narrow"/>
          <w:bCs/>
        </w:rPr>
        <w:t>should</w:t>
      </w:r>
      <w:r w:rsidRPr="00E934AA">
        <w:rPr>
          <w:rFonts w:ascii="Arial Narrow" w:hAnsi="Arial Narrow" w:cs="Arial Narrow"/>
          <w:bCs/>
        </w:rPr>
        <w:t xml:space="preserve"> ensur</w:t>
      </w:r>
      <w:r w:rsidR="00BD0D18">
        <w:rPr>
          <w:rFonts w:ascii="Arial Narrow" w:hAnsi="Arial Narrow" w:cs="Arial Narrow"/>
          <w:bCs/>
        </w:rPr>
        <w:t>e</w:t>
      </w:r>
      <w:r w:rsidRPr="00E934AA">
        <w:rPr>
          <w:rFonts w:ascii="Arial Narrow" w:hAnsi="Arial Narrow" w:cs="Arial Narrow"/>
          <w:bCs/>
        </w:rPr>
        <w:t xml:space="preserve"> that entities perform </w:t>
      </w:r>
      <w:r w:rsidR="00F061AF" w:rsidRPr="00E934AA">
        <w:rPr>
          <w:rFonts w:ascii="Arial Narrow" w:hAnsi="Arial Narrow" w:cs="Arial Narrow"/>
          <w:bCs/>
        </w:rPr>
        <w:t>satisfactorily,</w:t>
      </w:r>
      <w:r w:rsidR="00F061AF">
        <w:rPr>
          <w:rFonts w:ascii="Arial Narrow" w:hAnsi="Arial Narrow" w:cs="Arial Narrow"/>
          <w:bCs/>
        </w:rPr>
        <w:t xml:space="preserve"> and that all information required is submitted by the entity.</w:t>
      </w:r>
      <w:r w:rsidRPr="00E934AA">
        <w:rPr>
          <w:rFonts w:ascii="Arial Narrow" w:hAnsi="Arial Narrow" w:cs="Arial Narrow"/>
          <w:bCs/>
        </w:rPr>
        <w:t xml:space="preserve">  </w:t>
      </w:r>
      <w:r w:rsidR="002A1192">
        <w:rPr>
          <w:rFonts w:ascii="Arial Narrow" w:hAnsi="Arial Narrow" w:cs="Arial Narrow"/>
          <w:bCs/>
        </w:rPr>
        <w:t>A report on this should be submitted by the 29</w:t>
      </w:r>
      <w:r w:rsidR="002A1192" w:rsidRPr="002A1192">
        <w:rPr>
          <w:rFonts w:ascii="Arial Narrow" w:hAnsi="Arial Narrow" w:cs="Arial Narrow"/>
          <w:bCs/>
          <w:vertAlign w:val="superscript"/>
        </w:rPr>
        <w:t>th</w:t>
      </w:r>
      <w:r w:rsidR="002A1192">
        <w:rPr>
          <w:rFonts w:ascii="Arial Narrow" w:hAnsi="Arial Narrow" w:cs="Arial Narrow"/>
          <w:bCs/>
        </w:rPr>
        <w:t xml:space="preserve"> February 2024. </w:t>
      </w:r>
    </w:p>
    <w:p w14:paraId="5C1DCAE8" w14:textId="5BF79384" w:rsidR="002A1192" w:rsidRPr="002A1192" w:rsidRDefault="00F061AF" w:rsidP="007D08C7">
      <w:pPr>
        <w:pStyle w:val="ListParagraph"/>
        <w:numPr>
          <w:ilvl w:val="0"/>
          <w:numId w:val="23"/>
        </w:numPr>
        <w:jc w:val="both"/>
        <w:rPr>
          <w:rFonts w:ascii="Arial Narrow" w:hAnsi="Arial Narrow" w:cs="Arial Narrow"/>
          <w:bCs/>
        </w:rPr>
      </w:pPr>
      <w:r w:rsidRPr="002A1192">
        <w:rPr>
          <w:rFonts w:ascii="Arial Narrow" w:hAnsi="Arial Narrow" w:cs="Arial Narrow"/>
          <w:bCs/>
        </w:rPr>
        <w:t xml:space="preserve">The Department should appraise the Committee comprehensively on the details related to the functioning of the Kasi Umnotho Fund and the role and operations of Family Tree, noting that several concerns were previously raised by the Committee </w:t>
      </w:r>
      <w:proofErr w:type="gramStart"/>
      <w:r w:rsidRPr="002A1192">
        <w:rPr>
          <w:rFonts w:ascii="Arial Narrow" w:hAnsi="Arial Narrow" w:cs="Arial Narrow"/>
          <w:bCs/>
        </w:rPr>
        <w:t>in particular on</w:t>
      </w:r>
      <w:proofErr w:type="gramEnd"/>
      <w:r w:rsidRPr="002A1192">
        <w:rPr>
          <w:rFonts w:ascii="Arial Narrow" w:hAnsi="Arial Narrow" w:cs="Arial Narrow"/>
          <w:bCs/>
        </w:rPr>
        <w:t xml:space="preserve"> Family Tree. </w:t>
      </w:r>
      <w:r w:rsidR="002A1192" w:rsidRPr="002A1192">
        <w:rPr>
          <w:rFonts w:ascii="Arial Narrow" w:hAnsi="Arial Narrow" w:cs="Arial Narrow"/>
          <w:bCs/>
        </w:rPr>
        <w:t xml:space="preserve">A report on this should be submitted by the </w:t>
      </w:r>
      <w:proofErr w:type="gramStart"/>
      <w:r w:rsidR="002A1192" w:rsidRPr="002A1192">
        <w:rPr>
          <w:rFonts w:ascii="Arial Narrow" w:hAnsi="Arial Narrow" w:cs="Arial Narrow"/>
          <w:bCs/>
        </w:rPr>
        <w:t>29th</w:t>
      </w:r>
      <w:proofErr w:type="gramEnd"/>
      <w:r w:rsidR="002A1192" w:rsidRPr="002A1192">
        <w:rPr>
          <w:rFonts w:ascii="Arial Narrow" w:hAnsi="Arial Narrow" w:cs="Arial Narrow"/>
          <w:bCs/>
        </w:rPr>
        <w:t xml:space="preserve"> February 2024</w:t>
      </w:r>
      <w:r w:rsidR="002A1192">
        <w:rPr>
          <w:rFonts w:ascii="Arial Narrow" w:hAnsi="Arial Narrow" w:cs="Arial Narrow"/>
          <w:bCs/>
        </w:rPr>
        <w:t>.</w:t>
      </w:r>
      <w:r w:rsidR="002A1192" w:rsidRPr="002A1192">
        <w:rPr>
          <w:rFonts w:ascii="Arial Narrow" w:hAnsi="Arial Narrow" w:cs="Arial Narrow"/>
          <w:bCs/>
        </w:rPr>
        <w:t xml:space="preserve"> </w:t>
      </w:r>
    </w:p>
    <w:p w14:paraId="44CB3DE3" w14:textId="7DFE189E" w:rsidR="00F061AF" w:rsidRPr="00F061AF" w:rsidRDefault="00F061AF" w:rsidP="002A1192">
      <w:pPr>
        <w:pStyle w:val="ListParagraph"/>
        <w:rPr>
          <w:rFonts w:ascii="Arial Narrow" w:hAnsi="Arial Narrow" w:cs="Arial Narrow"/>
          <w:bCs/>
        </w:rPr>
      </w:pPr>
      <w:r w:rsidRPr="00F061AF">
        <w:rPr>
          <w:rFonts w:ascii="Arial Narrow" w:hAnsi="Arial Narrow" w:cs="Arial Narrow"/>
          <w:bCs/>
        </w:rPr>
        <w:t xml:space="preserve">  </w:t>
      </w:r>
    </w:p>
    <w:p w14:paraId="38C412F5" w14:textId="29E60AD7" w:rsidR="00D33F1F" w:rsidRPr="00CD0954" w:rsidRDefault="00433303" w:rsidP="003712DA">
      <w:pPr>
        <w:rPr>
          <w:rFonts w:ascii="Arial Narrow" w:hAnsi="Arial Narrow" w:cs="Arial Narrow"/>
          <w:b/>
        </w:rPr>
      </w:pPr>
      <w:r w:rsidRPr="00CD0954">
        <w:rPr>
          <w:rFonts w:ascii="Arial Narrow" w:hAnsi="Arial Narrow" w:cs="Arial Narrow"/>
          <w:b/>
        </w:rPr>
        <w:t xml:space="preserve">Programme </w:t>
      </w:r>
      <w:r w:rsidR="005E015C">
        <w:rPr>
          <w:rFonts w:ascii="Arial Narrow" w:hAnsi="Arial Narrow" w:cs="Arial Narrow"/>
          <w:b/>
        </w:rPr>
        <w:t>3</w:t>
      </w:r>
      <w:r w:rsidRPr="00CD0954">
        <w:rPr>
          <w:rFonts w:ascii="Arial Narrow" w:hAnsi="Arial Narrow" w:cs="Arial Narrow"/>
          <w:b/>
        </w:rPr>
        <w:t xml:space="preserve"> </w:t>
      </w:r>
    </w:p>
    <w:p w14:paraId="38D1DC86" w14:textId="76763BD1" w:rsidR="005E015C" w:rsidRPr="007B7D16" w:rsidRDefault="005E015C" w:rsidP="0008742B">
      <w:pPr>
        <w:pStyle w:val="ListParagraph"/>
        <w:numPr>
          <w:ilvl w:val="0"/>
          <w:numId w:val="23"/>
        </w:numPr>
        <w:jc w:val="both"/>
        <w:rPr>
          <w:rFonts w:ascii="Arial Narrow" w:hAnsi="Arial Narrow" w:cs="Arial Narrow"/>
          <w:bCs/>
        </w:rPr>
      </w:pPr>
      <w:r w:rsidRPr="007B7D16">
        <w:rPr>
          <w:rFonts w:ascii="Arial Narrow" w:hAnsi="Arial Narrow" w:cs="Arial Narrow"/>
          <w:bCs/>
        </w:rPr>
        <w:t xml:space="preserve">The GGDA and the Department should undertake a due diligence study including a thorough validation process regarding the bidding and supply chain management processes undertaken prior appointing the contractor who will be taking the </w:t>
      </w:r>
      <w:r w:rsidR="001D429D">
        <w:rPr>
          <w:rFonts w:ascii="Arial Narrow" w:hAnsi="Arial Narrow" w:cs="Arial Narrow"/>
          <w:bCs/>
        </w:rPr>
        <w:t xml:space="preserve">Constitutional Hill Visitors Centre </w:t>
      </w:r>
      <w:r w:rsidRPr="007B7D16">
        <w:rPr>
          <w:rFonts w:ascii="Arial Narrow" w:hAnsi="Arial Narrow" w:cs="Arial Narrow"/>
          <w:bCs/>
        </w:rPr>
        <w:t xml:space="preserve">project forward. </w:t>
      </w:r>
      <w:r w:rsidR="007B7D16" w:rsidRPr="007B7D16">
        <w:rPr>
          <w:rFonts w:ascii="Arial Narrow" w:hAnsi="Arial Narrow" w:cs="Arial Narrow"/>
          <w:bCs/>
        </w:rPr>
        <w:t xml:space="preserve">This will allow for capable and reputable contractors to be appointed </w:t>
      </w:r>
      <w:proofErr w:type="gramStart"/>
      <w:r w:rsidR="007B7D16" w:rsidRPr="007B7D16">
        <w:rPr>
          <w:rFonts w:ascii="Arial Narrow" w:hAnsi="Arial Narrow" w:cs="Arial Narrow"/>
          <w:bCs/>
        </w:rPr>
        <w:t>in order to</w:t>
      </w:r>
      <w:proofErr w:type="gramEnd"/>
      <w:r w:rsidR="007B7D16" w:rsidRPr="007B7D16">
        <w:rPr>
          <w:rFonts w:ascii="Arial Narrow" w:hAnsi="Arial Narrow" w:cs="Arial Narrow"/>
          <w:bCs/>
        </w:rPr>
        <w:t xml:space="preserve"> complete the project timeously and within reasonable costs</w:t>
      </w:r>
      <w:r w:rsidR="007B7D16">
        <w:rPr>
          <w:rFonts w:ascii="Arial Narrow" w:hAnsi="Arial Narrow" w:cs="Arial Narrow"/>
          <w:bCs/>
        </w:rPr>
        <w:t xml:space="preserve">. </w:t>
      </w:r>
      <w:r w:rsidRPr="007B7D16">
        <w:rPr>
          <w:rFonts w:ascii="Arial Narrow" w:hAnsi="Arial Narrow" w:cs="Arial Narrow"/>
          <w:bCs/>
        </w:rPr>
        <w:t xml:space="preserve"> A report on this should be submitted to the Committee.  </w:t>
      </w:r>
    </w:p>
    <w:p w14:paraId="3280DD56" w14:textId="01F464C3" w:rsidR="007B7D16" w:rsidRDefault="002A1192" w:rsidP="003745C1">
      <w:pPr>
        <w:pStyle w:val="ListParagraph"/>
        <w:jc w:val="both"/>
        <w:rPr>
          <w:rFonts w:ascii="Arial Narrow" w:hAnsi="Arial Narrow" w:cs="Arial Narrow"/>
          <w:bCs/>
        </w:rPr>
      </w:pPr>
      <w:r>
        <w:rPr>
          <w:rFonts w:ascii="Arial Narrow" w:hAnsi="Arial Narrow" w:cs="Arial Narrow"/>
          <w:bCs/>
        </w:rPr>
        <w:t>4</w:t>
      </w:r>
      <w:r w:rsidR="005E015C">
        <w:rPr>
          <w:rFonts w:ascii="Arial Narrow" w:hAnsi="Arial Narrow" w:cs="Arial Narrow"/>
          <w:bCs/>
        </w:rPr>
        <w:t>.1</w:t>
      </w:r>
      <w:r w:rsidR="005E015C" w:rsidRPr="005E015C">
        <w:t xml:space="preserve"> </w:t>
      </w:r>
      <w:r w:rsidR="005E015C" w:rsidRPr="005E015C">
        <w:rPr>
          <w:rFonts w:ascii="Arial Narrow" w:hAnsi="Arial Narrow" w:cs="Arial Narrow"/>
          <w:bCs/>
        </w:rPr>
        <w:t>In addition to this, the Department should also highlight to the Committee what other punitive measures were taken on the contractor for failure to deliver apart from terminating the contract with the contractor</w:t>
      </w:r>
      <w:r w:rsidR="005E015C">
        <w:rPr>
          <w:rFonts w:ascii="Arial Narrow" w:hAnsi="Arial Narrow" w:cs="Arial Narrow"/>
          <w:bCs/>
        </w:rPr>
        <w:t xml:space="preserve">. </w:t>
      </w:r>
      <w:r w:rsidRPr="002A1192">
        <w:rPr>
          <w:rFonts w:ascii="Arial Narrow" w:hAnsi="Arial Narrow" w:cs="Arial Narrow"/>
          <w:bCs/>
        </w:rPr>
        <w:t xml:space="preserve">A report on this should be submitted by the </w:t>
      </w:r>
      <w:proofErr w:type="gramStart"/>
      <w:r w:rsidRPr="002A1192">
        <w:rPr>
          <w:rFonts w:ascii="Arial Narrow" w:hAnsi="Arial Narrow" w:cs="Arial Narrow"/>
          <w:bCs/>
        </w:rPr>
        <w:t>29</w:t>
      </w:r>
      <w:r w:rsidRPr="002A1192">
        <w:rPr>
          <w:rFonts w:ascii="Arial Narrow" w:hAnsi="Arial Narrow" w:cs="Arial Narrow"/>
          <w:bCs/>
          <w:vertAlign w:val="superscript"/>
        </w:rPr>
        <w:t>th</w:t>
      </w:r>
      <w:proofErr w:type="gramEnd"/>
      <w:r>
        <w:rPr>
          <w:rFonts w:ascii="Arial Narrow" w:hAnsi="Arial Narrow" w:cs="Arial Narrow"/>
          <w:bCs/>
        </w:rPr>
        <w:t xml:space="preserve"> </w:t>
      </w:r>
      <w:r w:rsidRPr="002A1192">
        <w:rPr>
          <w:rFonts w:ascii="Arial Narrow" w:hAnsi="Arial Narrow" w:cs="Arial Narrow"/>
          <w:bCs/>
        </w:rPr>
        <w:t>February 2024</w:t>
      </w:r>
      <w:r w:rsidR="007D08C7">
        <w:rPr>
          <w:rFonts w:ascii="Arial Narrow" w:hAnsi="Arial Narrow" w:cs="Arial Narrow"/>
          <w:bCs/>
        </w:rPr>
        <w:t>.</w:t>
      </w:r>
    </w:p>
    <w:p w14:paraId="59C1F69D" w14:textId="030FF516" w:rsidR="007B7D16" w:rsidRDefault="007B7D16" w:rsidP="007B7D16">
      <w:pPr>
        <w:rPr>
          <w:rFonts w:ascii="Arial Narrow" w:hAnsi="Arial Narrow" w:cs="Arial Narrow"/>
          <w:b/>
        </w:rPr>
      </w:pPr>
      <w:r w:rsidRPr="007B7D16">
        <w:rPr>
          <w:rFonts w:ascii="Arial Narrow" w:hAnsi="Arial Narrow" w:cs="Arial Narrow"/>
          <w:b/>
        </w:rPr>
        <w:t xml:space="preserve">Programme 4 </w:t>
      </w:r>
    </w:p>
    <w:p w14:paraId="7501BF06" w14:textId="17CA4A82" w:rsidR="002A1192" w:rsidRPr="002A1192" w:rsidRDefault="007B7D16" w:rsidP="007D08C7">
      <w:pPr>
        <w:pStyle w:val="ListParagraph"/>
        <w:numPr>
          <w:ilvl w:val="0"/>
          <w:numId w:val="23"/>
        </w:numPr>
        <w:jc w:val="both"/>
        <w:rPr>
          <w:rFonts w:ascii="Arial Narrow" w:hAnsi="Arial Narrow" w:cs="Arial Narrow"/>
          <w:bCs/>
        </w:rPr>
      </w:pPr>
      <w:r w:rsidRPr="002A1192">
        <w:rPr>
          <w:rFonts w:ascii="Arial Narrow" w:hAnsi="Arial Narrow" w:cs="Arial Narrow"/>
          <w:bCs/>
        </w:rPr>
        <w:t>An update should be given on the implementation of the Lanseria Smart City Phase 1 project noting that the City of Johannesburg and the City of Mogale Municipalities have passed resolutions whilst the City of Tshwane has still not passed a Council resolution on the matter.</w:t>
      </w:r>
      <w:r w:rsidR="001D429D" w:rsidRPr="002A1192">
        <w:rPr>
          <w:rFonts w:ascii="Arial Narrow" w:hAnsi="Arial Narrow" w:cs="Arial Narrow"/>
          <w:bCs/>
        </w:rPr>
        <w:t xml:space="preserve"> The</w:t>
      </w:r>
      <w:r w:rsidRPr="002A1192">
        <w:rPr>
          <w:rFonts w:ascii="Arial Narrow" w:hAnsi="Arial Narrow" w:cs="Arial Narrow"/>
          <w:bCs/>
        </w:rPr>
        <w:t xml:space="preserve"> MEC </w:t>
      </w:r>
      <w:r w:rsidR="001D429D" w:rsidRPr="002A1192">
        <w:rPr>
          <w:rFonts w:ascii="Arial Narrow" w:hAnsi="Arial Narrow" w:cs="Arial Narrow"/>
          <w:bCs/>
        </w:rPr>
        <w:t>for</w:t>
      </w:r>
      <w:r w:rsidRPr="002A1192">
        <w:rPr>
          <w:rFonts w:ascii="Arial Narrow" w:hAnsi="Arial Narrow" w:cs="Arial Narrow"/>
          <w:bCs/>
        </w:rPr>
        <w:t xml:space="preserve"> Economic Development working together with the MEC </w:t>
      </w:r>
      <w:r w:rsidR="001D429D" w:rsidRPr="002A1192">
        <w:rPr>
          <w:rFonts w:ascii="Arial Narrow" w:hAnsi="Arial Narrow" w:cs="Arial Narrow"/>
          <w:bCs/>
        </w:rPr>
        <w:t>for</w:t>
      </w:r>
      <w:r w:rsidRPr="002A1192">
        <w:rPr>
          <w:rFonts w:ascii="Arial Narrow" w:hAnsi="Arial Narrow" w:cs="Arial Narrow"/>
          <w:bCs/>
        </w:rPr>
        <w:t xml:space="preserve"> </w:t>
      </w:r>
      <w:r w:rsidR="00E53C59" w:rsidRPr="002A1192">
        <w:rPr>
          <w:rFonts w:ascii="Arial Narrow" w:hAnsi="Arial Narrow" w:cs="Arial Narrow"/>
          <w:bCs/>
        </w:rPr>
        <w:t>Co-operative Governance and Traditional Affairs, e-Government, Research and Development</w:t>
      </w:r>
      <w:r w:rsidRPr="002A1192">
        <w:rPr>
          <w:rFonts w:ascii="Arial Narrow" w:hAnsi="Arial Narrow" w:cs="Arial Narrow"/>
          <w:bCs/>
        </w:rPr>
        <w:t xml:space="preserve"> to engage politically with the City of Tshwane in passing a resolution by that Council in implementing the Lanseria Smart City. </w:t>
      </w:r>
      <w:r w:rsidR="00E53C59" w:rsidRPr="002A1192">
        <w:rPr>
          <w:rFonts w:ascii="Arial Narrow" w:hAnsi="Arial Narrow" w:cs="Arial Narrow"/>
          <w:bCs/>
        </w:rPr>
        <w:t xml:space="preserve">A report on this should be shared with the Committee. </w:t>
      </w:r>
      <w:r w:rsidR="002A1192" w:rsidRPr="002A1192">
        <w:rPr>
          <w:rFonts w:ascii="Arial Narrow" w:hAnsi="Arial Narrow" w:cs="Arial Narrow"/>
          <w:bCs/>
        </w:rPr>
        <w:t xml:space="preserve">A report on this should be submitted by the </w:t>
      </w:r>
      <w:proofErr w:type="gramStart"/>
      <w:r w:rsidR="002A1192" w:rsidRPr="002A1192">
        <w:rPr>
          <w:rFonts w:ascii="Arial Narrow" w:hAnsi="Arial Narrow" w:cs="Arial Narrow"/>
          <w:bCs/>
        </w:rPr>
        <w:t>29</w:t>
      </w:r>
      <w:r w:rsidR="002A1192" w:rsidRPr="002A1192">
        <w:rPr>
          <w:rFonts w:ascii="Arial Narrow" w:hAnsi="Arial Narrow" w:cs="Arial Narrow"/>
          <w:bCs/>
          <w:vertAlign w:val="superscript"/>
        </w:rPr>
        <w:t>th</w:t>
      </w:r>
      <w:proofErr w:type="gramEnd"/>
      <w:r w:rsidR="002A1192">
        <w:rPr>
          <w:rFonts w:ascii="Arial Narrow" w:hAnsi="Arial Narrow" w:cs="Arial Narrow"/>
          <w:bCs/>
        </w:rPr>
        <w:t xml:space="preserve"> </w:t>
      </w:r>
      <w:r w:rsidR="002A1192" w:rsidRPr="002A1192">
        <w:rPr>
          <w:rFonts w:ascii="Arial Narrow" w:hAnsi="Arial Narrow" w:cs="Arial Narrow"/>
          <w:bCs/>
        </w:rPr>
        <w:t>February 2024</w:t>
      </w:r>
      <w:r w:rsidR="007D08C7">
        <w:rPr>
          <w:rFonts w:ascii="Arial Narrow" w:hAnsi="Arial Narrow" w:cs="Arial Narrow"/>
          <w:bCs/>
        </w:rPr>
        <w:t>.</w:t>
      </w:r>
      <w:r w:rsidR="002A1192" w:rsidRPr="002A1192">
        <w:rPr>
          <w:rFonts w:ascii="Arial Narrow" w:hAnsi="Arial Narrow" w:cs="Arial Narrow"/>
          <w:bCs/>
        </w:rPr>
        <w:t xml:space="preserve"> </w:t>
      </w:r>
    </w:p>
    <w:p w14:paraId="7F2414FC" w14:textId="5F0A3E97" w:rsidR="007B7D16" w:rsidRPr="00E53C59" w:rsidRDefault="007B7D16" w:rsidP="002A1192">
      <w:pPr>
        <w:pStyle w:val="ListParagraph"/>
        <w:rPr>
          <w:rFonts w:ascii="Arial Narrow" w:hAnsi="Arial Narrow" w:cs="Arial Narrow"/>
          <w:bCs/>
        </w:rPr>
      </w:pPr>
      <w:r w:rsidRPr="007B7D16">
        <w:rPr>
          <w:rFonts w:ascii="Arial Narrow" w:hAnsi="Arial Narrow" w:cs="Arial Narrow"/>
          <w:bCs/>
        </w:rPr>
        <w:t xml:space="preserve"> </w:t>
      </w:r>
    </w:p>
    <w:p w14:paraId="4425D8BF" w14:textId="1A203B68" w:rsidR="00A54B55" w:rsidRPr="00A17B7B" w:rsidRDefault="00A54B55" w:rsidP="003712DA">
      <w:pPr>
        <w:rPr>
          <w:rFonts w:ascii="Arial Narrow" w:hAnsi="Arial Narrow" w:cs="Arial Narrow"/>
          <w:b/>
        </w:rPr>
      </w:pPr>
      <w:r>
        <w:rPr>
          <w:rFonts w:ascii="Arial Narrow" w:hAnsi="Arial Narrow" w:cs="Arial Narrow"/>
          <w:bCs/>
        </w:rPr>
        <w:t xml:space="preserve"> </w:t>
      </w:r>
      <w:r w:rsidRPr="00A54B55">
        <w:rPr>
          <w:rFonts w:ascii="Arial Narrow" w:hAnsi="Arial Narrow" w:cs="Arial Narrow"/>
          <w:b/>
        </w:rPr>
        <w:t xml:space="preserve"> AIDC </w:t>
      </w:r>
    </w:p>
    <w:p w14:paraId="657EDCE5" w14:textId="1D6EBE61" w:rsidR="004C7492" w:rsidRDefault="00A17B7B" w:rsidP="00BD0D18">
      <w:pPr>
        <w:pStyle w:val="ListParagraph"/>
        <w:numPr>
          <w:ilvl w:val="0"/>
          <w:numId w:val="23"/>
        </w:numPr>
        <w:jc w:val="both"/>
        <w:rPr>
          <w:rFonts w:ascii="Arial Narrow" w:hAnsi="Arial Narrow" w:cs="Arial Narrow"/>
          <w:bCs/>
        </w:rPr>
      </w:pPr>
      <w:r w:rsidRPr="006B14B2">
        <w:rPr>
          <w:rFonts w:ascii="Arial Narrow" w:hAnsi="Arial Narrow" w:cs="Arial Narrow"/>
          <w:bCs/>
        </w:rPr>
        <w:lastRenderedPageBreak/>
        <w:t>The</w:t>
      </w:r>
      <w:r w:rsidR="00E53C59" w:rsidRPr="006B14B2">
        <w:rPr>
          <w:rFonts w:ascii="Arial Narrow" w:hAnsi="Arial Narrow" w:cs="Arial Narrow"/>
          <w:bCs/>
        </w:rPr>
        <w:t xml:space="preserve"> AIDC should e</w:t>
      </w:r>
      <w:r w:rsidR="00BD0D18">
        <w:rPr>
          <w:rFonts w:ascii="Arial Narrow" w:hAnsi="Arial Narrow" w:cs="Arial Narrow"/>
          <w:bCs/>
        </w:rPr>
        <w:t>xplore</w:t>
      </w:r>
      <w:r w:rsidR="00E53C59" w:rsidRPr="006B14B2">
        <w:rPr>
          <w:rFonts w:ascii="Arial Narrow" w:hAnsi="Arial Narrow" w:cs="Arial Narrow"/>
          <w:bCs/>
        </w:rPr>
        <w:t xml:space="preserve"> other alternatives that will ensure that the</w:t>
      </w:r>
      <w:r w:rsidRPr="006B14B2">
        <w:rPr>
          <w:rFonts w:ascii="Arial Narrow" w:hAnsi="Arial Narrow" w:cs="Arial Narrow"/>
          <w:bCs/>
        </w:rPr>
        <w:t xml:space="preserve"> Winterveldt</w:t>
      </w:r>
      <w:r w:rsidR="00E53C59" w:rsidRPr="006B14B2">
        <w:rPr>
          <w:rFonts w:ascii="Arial Narrow" w:hAnsi="Arial Narrow" w:cs="Arial Narrow"/>
          <w:bCs/>
        </w:rPr>
        <w:t xml:space="preserve"> Enterprise</w:t>
      </w:r>
      <w:r w:rsidRPr="006B14B2">
        <w:rPr>
          <w:rFonts w:ascii="Arial Narrow" w:hAnsi="Arial Narrow" w:cs="Arial Narrow"/>
          <w:bCs/>
        </w:rPr>
        <w:t xml:space="preserve"> Hub</w:t>
      </w:r>
      <w:r w:rsidR="00E53C59" w:rsidRPr="006B14B2">
        <w:rPr>
          <w:rFonts w:ascii="Arial Narrow" w:hAnsi="Arial Narrow" w:cs="Arial Narrow"/>
          <w:bCs/>
        </w:rPr>
        <w:t xml:space="preserve"> is fully operational and that SMME’s house within the hub are benefiting fully.</w:t>
      </w:r>
      <w:r w:rsidR="006B14B2" w:rsidRPr="006B14B2">
        <w:rPr>
          <w:rFonts w:ascii="Arial Narrow" w:hAnsi="Arial Narrow" w:cs="Arial Narrow"/>
          <w:bCs/>
        </w:rPr>
        <w:t xml:space="preserve"> It should be noted that the Memorandum of Agreement between the City of Tshwane and AIDC came to an end in February 2023 and thus meaning the </w:t>
      </w:r>
      <w:r w:rsidR="001D429D">
        <w:rPr>
          <w:rFonts w:ascii="Arial Narrow" w:hAnsi="Arial Narrow" w:cs="Arial Narrow"/>
          <w:bCs/>
        </w:rPr>
        <w:t>C</w:t>
      </w:r>
      <w:r w:rsidR="006B14B2" w:rsidRPr="006B14B2">
        <w:rPr>
          <w:rFonts w:ascii="Arial Narrow" w:hAnsi="Arial Narrow" w:cs="Arial Narrow"/>
          <w:bCs/>
        </w:rPr>
        <w:t xml:space="preserve">ity will not be repairing vehicles within the Hub. In this regard, </w:t>
      </w:r>
      <w:r w:rsidR="006B14B2">
        <w:rPr>
          <w:rFonts w:ascii="Arial Narrow" w:hAnsi="Arial Narrow" w:cs="Arial Narrow"/>
          <w:bCs/>
        </w:rPr>
        <w:t>other</w:t>
      </w:r>
      <w:r w:rsidR="006B14B2" w:rsidRPr="006B14B2">
        <w:rPr>
          <w:rFonts w:ascii="Arial Narrow" w:hAnsi="Arial Narrow" w:cs="Arial Narrow"/>
          <w:bCs/>
        </w:rPr>
        <w:t xml:space="preserve"> partners should be solicited noting that the hub cannot remain idle as funds have been spent to revitalize the hub to be fully operational. A report on this should be submitted to the Committee</w:t>
      </w:r>
      <w:r w:rsidR="002A1192">
        <w:rPr>
          <w:rFonts w:ascii="Arial Narrow" w:hAnsi="Arial Narrow" w:cs="Arial Narrow"/>
          <w:bCs/>
        </w:rPr>
        <w:t xml:space="preserve"> by the </w:t>
      </w:r>
      <w:proofErr w:type="gramStart"/>
      <w:r w:rsidR="002A1192">
        <w:rPr>
          <w:rFonts w:ascii="Arial Narrow" w:hAnsi="Arial Narrow" w:cs="Arial Narrow"/>
          <w:bCs/>
        </w:rPr>
        <w:t>29</w:t>
      </w:r>
      <w:r w:rsidR="002A1192" w:rsidRPr="002A1192">
        <w:rPr>
          <w:rFonts w:ascii="Arial Narrow" w:hAnsi="Arial Narrow" w:cs="Arial Narrow"/>
          <w:bCs/>
          <w:vertAlign w:val="superscript"/>
        </w:rPr>
        <w:t>th</w:t>
      </w:r>
      <w:proofErr w:type="gramEnd"/>
      <w:r w:rsidR="002A1192">
        <w:rPr>
          <w:rFonts w:ascii="Arial Narrow" w:hAnsi="Arial Narrow" w:cs="Arial Narrow"/>
          <w:bCs/>
        </w:rPr>
        <w:t xml:space="preserve"> February 2024. </w:t>
      </w:r>
    </w:p>
    <w:p w14:paraId="01BF74E9" w14:textId="77777777" w:rsidR="002A1192" w:rsidRDefault="002A1192" w:rsidP="002A1192">
      <w:pPr>
        <w:rPr>
          <w:rFonts w:ascii="Arial Narrow" w:hAnsi="Arial Narrow" w:cs="Arial Narrow"/>
          <w:bCs/>
        </w:rPr>
      </w:pPr>
    </w:p>
    <w:p w14:paraId="20FFE334" w14:textId="77777777" w:rsidR="00BD0D18" w:rsidRDefault="00BD0D18" w:rsidP="002A1192">
      <w:pPr>
        <w:rPr>
          <w:rFonts w:ascii="Arial Narrow" w:hAnsi="Arial Narrow" w:cs="Arial Narrow"/>
          <w:bCs/>
        </w:rPr>
      </w:pPr>
    </w:p>
    <w:p w14:paraId="6D3F8087" w14:textId="77777777" w:rsidR="002A1192" w:rsidRPr="002A1192" w:rsidRDefault="002A1192" w:rsidP="002A1192">
      <w:pPr>
        <w:rPr>
          <w:rFonts w:ascii="Arial Narrow" w:hAnsi="Arial Narrow" w:cs="Arial Narrow"/>
          <w:bCs/>
        </w:rPr>
      </w:pPr>
    </w:p>
    <w:p w14:paraId="752CEDE6" w14:textId="4EED2903" w:rsidR="00A71F49" w:rsidRPr="004C7492" w:rsidRDefault="00AC524C" w:rsidP="004C7492">
      <w:pPr>
        <w:rPr>
          <w:rFonts w:ascii="Arial Narrow" w:hAnsi="Arial Narrow" w:cs="Arial Narrow"/>
          <w:bCs/>
        </w:rPr>
      </w:pPr>
      <w:r w:rsidRPr="004C7492">
        <w:rPr>
          <w:rFonts w:ascii="Arial Narrow" w:hAnsi="Arial Narrow" w:cs="Arial Narrow"/>
          <w:b/>
        </w:rPr>
        <w:t>Audit find</w:t>
      </w:r>
      <w:r w:rsidR="00243B6D" w:rsidRPr="004C7492">
        <w:rPr>
          <w:rFonts w:ascii="Arial Narrow" w:hAnsi="Arial Narrow" w:cs="Arial Narrow"/>
          <w:b/>
        </w:rPr>
        <w:t>ing</w:t>
      </w:r>
      <w:r w:rsidR="004C7492" w:rsidRPr="004C7492">
        <w:rPr>
          <w:rFonts w:ascii="Arial Narrow" w:hAnsi="Arial Narrow" w:cs="Arial Narrow"/>
          <w:b/>
        </w:rPr>
        <w:t>s</w:t>
      </w:r>
      <w:r w:rsidR="00243B6D" w:rsidRPr="004C7492">
        <w:rPr>
          <w:rFonts w:ascii="Arial Narrow" w:hAnsi="Arial Narrow" w:cs="Arial Narrow"/>
          <w:b/>
        </w:rPr>
        <w:t xml:space="preserve"> </w:t>
      </w:r>
      <w:r w:rsidR="00EC2FF7" w:rsidRPr="004C7492">
        <w:rPr>
          <w:rFonts w:ascii="Arial Narrow" w:hAnsi="Arial Narrow" w:cs="Arial Narrow"/>
          <w:b/>
        </w:rPr>
        <w:t xml:space="preserve"> </w:t>
      </w:r>
    </w:p>
    <w:p w14:paraId="01241BE4" w14:textId="5DB01D2A" w:rsidR="004C7492" w:rsidRDefault="004C7492" w:rsidP="00BD0D18">
      <w:pPr>
        <w:pStyle w:val="ListParagraph"/>
        <w:numPr>
          <w:ilvl w:val="0"/>
          <w:numId w:val="23"/>
        </w:numPr>
        <w:jc w:val="both"/>
        <w:rPr>
          <w:rFonts w:ascii="Arial Narrow" w:hAnsi="Arial Narrow" w:cs="Arial Narrow"/>
          <w:bCs/>
        </w:rPr>
      </w:pPr>
      <w:r>
        <w:rPr>
          <w:rFonts w:ascii="Arial Narrow" w:hAnsi="Arial Narrow" w:cs="Arial Narrow"/>
          <w:bCs/>
        </w:rPr>
        <w:t xml:space="preserve">GEP should take </w:t>
      </w:r>
      <w:r w:rsidRPr="004C7492">
        <w:rPr>
          <w:rFonts w:ascii="Arial Narrow" w:hAnsi="Arial Narrow" w:cs="Arial Narrow"/>
          <w:bCs/>
        </w:rPr>
        <w:t xml:space="preserve">appropriate steps </w:t>
      </w:r>
      <w:r>
        <w:rPr>
          <w:rFonts w:ascii="Arial Narrow" w:hAnsi="Arial Narrow" w:cs="Arial Narrow"/>
          <w:bCs/>
        </w:rPr>
        <w:t>t</w:t>
      </w:r>
      <w:r w:rsidRPr="004C7492">
        <w:rPr>
          <w:rFonts w:ascii="Arial Narrow" w:hAnsi="Arial Narrow" w:cs="Arial Narrow"/>
          <w:bCs/>
        </w:rPr>
        <w:t>o prevent irregular expenditure</w:t>
      </w:r>
      <w:r>
        <w:rPr>
          <w:rFonts w:ascii="Arial Narrow" w:hAnsi="Arial Narrow" w:cs="Arial Narrow"/>
          <w:bCs/>
        </w:rPr>
        <w:t xml:space="preserve"> and </w:t>
      </w:r>
      <w:r w:rsidRPr="004C7492">
        <w:rPr>
          <w:rFonts w:ascii="Arial Narrow" w:hAnsi="Arial Narrow" w:cs="Arial Narrow"/>
          <w:bCs/>
        </w:rPr>
        <w:t>should also provide a detailed progress report on various projects inclusive of the disciplinary referrals on the pitching booster initiative in Sebokeng, investigated sponsorships not in line with the sponsorship’s framework and the pursuance of the recovery of funds for the tender of the Project Vuthela geared at creating 75 000 youth opportunities amongst others.</w:t>
      </w:r>
      <w:r>
        <w:rPr>
          <w:rFonts w:ascii="Arial Narrow" w:hAnsi="Arial Narrow" w:cs="Arial Narrow"/>
          <w:bCs/>
        </w:rPr>
        <w:t xml:space="preserve"> In addition, GEP should also outline consequence management measures that have been put in place as a form of deterrence to avert irregular expenditure going forward. A report on this should be submitted</w:t>
      </w:r>
      <w:r w:rsidR="002A1192">
        <w:rPr>
          <w:rFonts w:ascii="Arial Narrow" w:hAnsi="Arial Narrow" w:cs="Arial Narrow"/>
          <w:bCs/>
        </w:rPr>
        <w:t xml:space="preserve"> by the </w:t>
      </w:r>
      <w:proofErr w:type="gramStart"/>
      <w:r w:rsidR="002A1192">
        <w:rPr>
          <w:rFonts w:ascii="Arial Narrow" w:hAnsi="Arial Narrow" w:cs="Arial Narrow"/>
          <w:bCs/>
        </w:rPr>
        <w:t>29</w:t>
      </w:r>
      <w:r w:rsidR="002A1192" w:rsidRPr="002A1192">
        <w:rPr>
          <w:rFonts w:ascii="Arial Narrow" w:hAnsi="Arial Narrow" w:cs="Arial Narrow"/>
          <w:bCs/>
          <w:vertAlign w:val="superscript"/>
        </w:rPr>
        <w:t>th</w:t>
      </w:r>
      <w:proofErr w:type="gramEnd"/>
      <w:r w:rsidR="002A1192">
        <w:rPr>
          <w:rFonts w:ascii="Arial Narrow" w:hAnsi="Arial Narrow" w:cs="Arial Narrow"/>
          <w:bCs/>
        </w:rPr>
        <w:t xml:space="preserve"> February 2024. </w:t>
      </w:r>
    </w:p>
    <w:p w14:paraId="45078BA2" w14:textId="26498CF6" w:rsidR="004C7492" w:rsidRPr="003745C1" w:rsidRDefault="004C7492" w:rsidP="00BD0D18">
      <w:pPr>
        <w:pStyle w:val="ListParagraph"/>
        <w:jc w:val="both"/>
        <w:rPr>
          <w:rFonts w:ascii="Arial Narrow" w:hAnsi="Arial Narrow" w:cs="Arial Narrow"/>
          <w:bCs/>
        </w:rPr>
      </w:pPr>
      <w:r>
        <w:rPr>
          <w:rFonts w:ascii="Arial Narrow" w:hAnsi="Arial Narrow" w:cs="Arial Narrow"/>
          <w:bCs/>
        </w:rPr>
        <w:t xml:space="preserve">6.1 </w:t>
      </w:r>
      <w:r w:rsidRPr="004C7492">
        <w:rPr>
          <w:rFonts w:ascii="Arial Narrow" w:hAnsi="Arial Narrow" w:cs="Arial Narrow"/>
          <w:bCs/>
        </w:rPr>
        <w:t xml:space="preserve">The Committee continues to hold the view that all findings raised by the AG </w:t>
      </w:r>
      <w:r>
        <w:rPr>
          <w:rFonts w:ascii="Arial Narrow" w:hAnsi="Arial Narrow" w:cs="Arial Narrow"/>
          <w:bCs/>
        </w:rPr>
        <w:t>should be</w:t>
      </w:r>
      <w:r w:rsidRPr="004C7492">
        <w:rPr>
          <w:rFonts w:ascii="Arial Narrow" w:hAnsi="Arial Narrow" w:cs="Arial Narrow"/>
          <w:bCs/>
        </w:rPr>
        <w:t xml:space="preserve"> addressed by the Department and entities to ensure that clean audits are obtained going forward. More so</w:t>
      </w:r>
      <w:r w:rsidR="00BD0D18">
        <w:rPr>
          <w:rFonts w:ascii="Arial Narrow" w:hAnsi="Arial Narrow" w:cs="Arial Narrow"/>
          <w:bCs/>
        </w:rPr>
        <w:t>,</w:t>
      </w:r>
      <w:r w:rsidRPr="004C7492">
        <w:rPr>
          <w:rFonts w:ascii="Arial Narrow" w:hAnsi="Arial Narrow" w:cs="Arial Narrow"/>
          <w:bCs/>
        </w:rPr>
        <w:t xml:space="preserve"> on a quarterly basis, the Committee will engage with the AG to curb any findings which may potentially occur in future and assess progress made by the Department and entities in applying the recommendations made by the AG.</w:t>
      </w:r>
    </w:p>
    <w:p w14:paraId="6D2F3A76" w14:textId="116D2AFE" w:rsidR="004C7492" w:rsidRPr="003745C1" w:rsidRDefault="004C7492" w:rsidP="004C7492">
      <w:pPr>
        <w:rPr>
          <w:rFonts w:ascii="Arial Narrow" w:hAnsi="Arial Narrow" w:cs="Arial Narrow"/>
          <w:b/>
        </w:rPr>
      </w:pPr>
      <w:r w:rsidRPr="003745C1">
        <w:rPr>
          <w:rFonts w:ascii="Arial Narrow" w:hAnsi="Arial Narrow" w:cs="Arial Narrow"/>
          <w:b/>
        </w:rPr>
        <w:t>General Recommendations</w:t>
      </w:r>
    </w:p>
    <w:p w14:paraId="6F99FA9D" w14:textId="30E05A6B" w:rsidR="004C7492" w:rsidRDefault="003745C1" w:rsidP="003712DA">
      <w:pPr>
        <w:pStyle w:val="ListParagraph"/>
        <w:numPr>
          <w:ilvl w:val="0"/>
          <w:numId w:val="23"/>
        </w:numPr>
        <w:jc w:val="both"/>
        <w:rPr>
          <w:rFonts w:ascii="Arial Narrow" w:hAnsi="Arial Narrow" w:cs="Arial Narrow"/>
          <w:bCs/>
        </w:rPr>
      </w:pPr>
      <w:r>
        <w:rPr>
          <w:rFonts w:ascii="Arial Narrow" w:hAnsi="Arial Narrow" w:cs="Arial Narrow"/>
          <w:bCs/>
        </w:rPr>
        <w:t>T</w:t>
      </w:r>
      <w:r w:rsidRPr="003745C1">
        <w:rPr>
          <w:rFonts w:ascii="Arial Narrow" w:hAnsi="Arial Narrow" w:cs="Arial Narrow"/>
          <w:bCs/>
        </w:rPr>
        <w:t>he Department should on a quarterly basis continue to report on the number of jobs created both permanent and temporary jobs and linking them to the funds that have been leveraged on</w:t>
      </w:r>
      <w:r>
        <w:rPr>
          <w:rFonts w:ascii="Arial Narrow" w:hAnsi="Arial Narrow" w:cs="Arial Narrow"/>
          <w:bCs/>
        </w:rPr>
        <w:t xml:space="preserve"> and through the</w:t>
      </w:r>
      <w:r w:rsidR="001D429D">
        <w:rPr>
          <w:rFonts w:ascii="Arial Narrow" w:hAnsi="Arial Narrow" w:cs="Arial Narrow"/>
          <w:bCs/>
        </w:rPr>
        <w:t xml:space="preserve"> utilization</w:t>
      </w:r>
      <w:r>
        <w:rPr>
          <w:rFonts w:ascii="Arial Narrow" w:hAnsi="Arial Narrow" w:cs="Arial Narrow"/>
          <w:bCs/>
        </w:rPr>
        <w:t xml:space="preserve"> Township Economic Development Act</w:t>
      </w:r>
      <w:r w:rsidR="001D429D">
        <w:rPr>
          <w:rFonts w:ascii="Arial Narrow" w:hAnsi="Arial Narrow" w:cs="Arial Narrow"/>
          <w:bCs/>
        </w:rPr>
        <w:t xml:space="preserve"> as a vehicle for job creation. </w:t>
      </w:r>
    </w:p>
    <w:p w14:paraId="54E68B12" w14:textId="77777777" w:rsidR="00915023" w:rsidRPr="00F57514" w:rsidRDefault="004B7663" w:rsidP="003712DA">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52" w:name="_Toc66876381"/>
      <w:r w:rsidRPr="00F57514">
        <w:rPr>
          <w:rFonts w:ascii="Arial Narrow" w:hAnsi="Arial Narrow"/>
          <w:color w:val="auto"/>
          <w:sz w:val="22"/>
          <w:szCs w:val="22"/>
        </w:rPr>
        <w:t>ACKNOWLEDGEMENTS</w:t>
      </w:r>
      <w:bookmarkEnd w:id="52"/>
    </w:p>
    <w:p w14:paraId="2B720A41" w14:textId="77777777" w:rsidR="00DA35BD" w:rsidRPr="00F57514" w:rsidRDefault="00DA35BD" w:rsidP="003712DA">
      <w:pPr>
        <w:spacing w:line="276" w:lineRule="auto"/>
        <w:ind w:left="142"/>
        <w:rPr>
          <w:rFonts w:ascii="Arial Narrow" w:hAnsi="Arial Narrow" w:cs="Arial Narrow"/>
          <w:bCs/>
        </w:rPr>
      </w:pPr>
    </w:p>
    <w:p w14:paraId="7554F658" w14:textId="46C3FF2C" w:rsidR="00C16391" w:rsidRDefault="00C16391" w:rsidP="003712DA">
      <w:pPr>
        <w:spacing w:line="276" w:lineRule="auto"/>
        <w:rPr>
          <w:rFonts w:ascii="Arial Narrow" w:hAnsi="Arial Narrow" w:cs="Arial Narrow"/>
          <w:bCs/>
        </w:rPr>
      </w:pPr>
      <w:r w:rsidRPr="00C16391">
        <w:rPr>
          <w:rFonts w:ascii="Arial Narrow" w:hAnsi="Arial Narrow" w:cs="Arial Narrow"/>
          <w:bCs/>
        </w:rPr>
        <w:t xml:space="preserve">Appreciation is expressed to all Members of the Committee for their commitment to the oversight process as well as </w:t>
      </w:r>
      <w:r w:rsidRPr="000A0671">
        <w:rPr>
          <w:rFonts w:ascii="Arial Narrow" w:hAnsi="Arial Narrow" w:cs="Arial Narrow"/>
          <w:bCs/>
        </w:rPr>
        <w:t>MEC</w:t>
      </w:r>
      <w:r w:rsidR="000A0671">
        <w:rPr>
          <w:rFonts w:ascii="Arial Narrow" w:hAnsi="Arial Narrow" w:cs="Arial Narrow"/>
          <w:bCs/>
        </w:rPr>
        <w:t xml:space="preserve"> </w:t>
      </w:r>
      <w:r w:rsidR="004741B6">
        <w:rPr>
          <w:rFonts w:ascii="Arial Narrow" w:hAnsi="Arial Narrow" w:cs="Arial Narrow"/>
          <w:bCs/>
        </w:rPr>
        <w:t xml:space="preserve">Motara </w:t>
      </w:r>
      <w:r w:rsidRPr="00C16391">
        <w:rPr>
          <w:rFonts w:ascii="Arial Narrow" w:hAnsi="Arial Narrow" w:cs="Arial Narrow"/>
          <w:bCs/>
        </w:rPr>
        <w:t xml:space="preserve">and officials from the Department. I commend them for their diligence and commitment shown during deliberations on </w:t>
      </w:r>
      <w:r>
        <w:rPr>
          <w:rFonts w:ascii="Arial Narrow" w:hAnsi="Arial Narrow" w:cs="Arial Narrow"/>
          <w:bCs/>
        </w:rPr>
        <w:t xml:space="preserve">the Annual Report </w:t>
      </w:r>
      <w:r w:rsidRPr="00C16391">
        <w:rPr>
          <w:rFonts w:ascii="Arial Narrow" w:hAnsi="Arial Narrow" w:cs="Arial Narrow"/>
          <w:bCs/>
        </w:rPr>
        <w:t>of the Gauteng Department of Economic Development for the 20</w:t>
      </w:r>
      <w:r w:rsidR="00D90CE4">
        <w:rPr>
          <w:rFonts w:ascii="Arial Narrow" w:hAnsi="Arial Narrow" w:cs="Arial Narrow"/>
          <w:bCs/>
        </w:rPr>
        <w:t>2</w:t>
      </w:r>
      <w:r w:rsidR="008645A3">
        <w:rPr>
          <w:rFonts w:ascii="Arial Narrow" w:hAnsi="Arial Narrow" w:cs="Arial Narrow"/>
          <w:bCs/>
        </w:rPr>
        <w:t>1</w:t>
      </w:r>
      <w:r w:rsidRPr="00C16391">
        <w:rPr>
          <w:rFonts w:ascii="Arial Narrow" w:hAnsi="Arial Narrow" w:cs="Arial Narrow"/>
          <w:bCs/>
        </w:rPr>
        <w:t>/</w:t>
      </w:r>
      <w:r w:rsidR="006E1029">
        <w:rPr>
          <w:rFonts w:ascii="Arial Narrow" w:hAnsi="Arial Narrow" w:cs="Arial Narrow"/>
          <w:bCs/>
        </w:rPr>
        <w:t>2</w:t>
      </w:r>
      <w:r w:rsidR="008645A3">
        <w:rPr>
          <w:rFonts w:ascii="Arial Narrow" w:hAnsi="Arial Narrow" w:cs="Arial Narrow"/>
          <w:bCs/>
        </w:rPr>
        <w:t>2</w:t>
      </w:r>
      <w:r w:rsidRPr="00C16391">
        <w:rPr>
          <w:rFonts w:ascii="Arial Narrow" w:hAnsi="Arial Narrow" w:cs="Arial Narrow"/>
          <w:bCs/>
        </w:rPr>
        <w:t xml:space="preserve"> FY. Gratitude goes to Hon. M</w:t>
      </w:r>
      <w:r w:rsidR="009C7B66">
        <w:rPr>
          <w:rFonts w:ascii="Arial Narrow" w:hAnsi="Arial Narrow" w:cs="Arial Narrow"/>
          <w:bCs/>
        </w:rPr>
        <w:t>cungeli</w:t>
      </w:r>
      <w:r w:rsidRPr="00C16391">
        <w:rPr>
          <w:rFonts w:ascii="Arial Narrow" w:hAnsi="Arial Narrow" w:cs="Arial Narrow"/>
          <w:bCs/>
        </w:rPr>
        <w:t>, Hon.</w:t>
      </w:r>
      <w:r w:rsidR="00C641C7">
        <w:rPr>
          <w:rFonts w:ascii="Arial Narrow" w:hAnsi="Arial Narrow" w:cs="Arial Narrow"/>
          <w:bCs/>
        </w:rPr>
        <w:t xml:space="preserve"> Letsie-Mogale</w:t>
      </w:r>
      <w:r w:rsidRPr="00C16391">
        <w:rPr>
          <w:rFonts w:ascii="Arial Narrow" w:hAnsi="Arial Narrow" w:cs="Arial Narrow"/>
          <w:bCs/>
        </w:rPr>
        <w:t xml:space="preserve">, </w:t>
      </w:r>
      <w:r w:rsidR="005332EB">
        <w:rPr>
          <w:rFonts w:ascii="Arial Narrow" w:hAnsi="Arial Narrow" w:cs="Arial Narrow"/>
          <w:bCs/>
        </w:rPr>
        <w:t xml:space="preserve">Hon. Nkosi-Malobane, </w:t>
      </w:r>
      <w:r w:rsidRPr="00C16391">
        <w:rPr>
          <w:rFonts w:ascii="Arial Narrow" w:hAnsi="Arial Narrow" w:cs="Arial Narrow"/>
          <w:bCs/>
        </w:rPr>
        <w:t xml:space="preserve">Hon. </w:t>
      </w:r>
      <w:r w:rsidR="009C7B66">
        <w:rPr>
          <w:rFonts w:ascii="Arial Narrow" w:hAnsi="Arial Narrow" w:cs="Arial Narrow"/>
          <w:bCs/>
        </w:rPr>
        <w:t>Atkison</w:t>
      </w:r>
      <w:r w:rsidRPr="00C16391">
        <w:rPr>
          <w:rFonts w:ascii="Arial Narrow" w:hAnsi="Arial Narrow" w:cs="Arial Narrow"/>
          <w:bCs/>
        </w:rPr>
        <w:t>, Hon.</w:t>
      </w:r>
      <w:r w:rsidR="009C7B66" w:rsidRPr="009C7B66">
        <w:t xml:space="preserve"> </w:t>
      </w:r>
      <w:r w:rsidR="009C7B66" w:rsidRPr="009C7B66">
        <w:rPr>
          <w:rFonts w:ascii="Arial Narrow" w:hAnsi="Arial Narrow" w:cs="Arial Narrow"/>
          <w:bCs/>
        </w:rPr>
        <w:t>Badenhorst</w:t>
      </w:r>
      <w:r w:rsidRPr="00C16391">
        <w:rPr>
          <w:rFonts w:ascii="Arial Narrow" w:hAnsi="Arial Narrow" w:cs="Arial Narrow"/>
          <w:bCs/>
        </w:rPr>
        <w:t>,</w:t>
      </w:r>
      <w:r w:rsidR="00C641C7">
        <w:rPr>
          <w:rFonts w:ascii="Arial Narrow" w:hAnsi="Arial Narrow" w:cs="Arial Narrow"/>
          <w:bCs/>
        </w:rPr>
        <w:t xml:space="preserve"> Hon. Du Plessis, </w:t>
      </w:r>
      <w:r w:rsidRPr="00C16391">
        <w:rPr>
          <w:rFonts w:ascii="Arial Narrow" w:hAnsi="Arial Narrow" w:cs="Arial Narrow"/>
          <w:bCs/>
        </w:rPr>
        <w:t xml:space="preserve">Hon. </w:t>
      </w:r>
      <w:proofErr w:type="gramStart"/>
      <w:r w:rsidR="006E1029">
        <w:rPr>
          <w:rFonts w:ascii="Arial Narrow" w:hAnsi="Arial Narrow" w:cs="Arial Narrow"/>
          <w:bCs/>
        </w:rPr>
        <w:t>Alberts</w:t>
      </w:r>
      <w:proofErr w:type="gramEnd"/>
      <w:r w:rsidRPr="00C16391">
        <w:rPr>
          <w:rFonts w:ascii="Arial Narrow" w:hAnsi="Arial Narrow" w:cs="Arial Narrow"/>
          <w:bCs/>
        </w:rPr>
        <w:t xml:space="preserve"> and Hon Adams. Further appreciate goes to the alternate Members of the Committee namely: Hon. </w:t>
      </w:r>
      <w:r w:rsidR="00C641C7">
        <w:rPr>
          <w:rFonts w:ascii="Arial Narrow" w:hAnsi="Arial Narrow" w:cs="Arial Narrow"/>
          <w:bCs/>
        </w:rPr>
        <w:t xml:space="preserve">Bosch, </w:t>
      </w:r>
      <w:r w:rsidRPr="00C16391">
        <w:rPr>
          <w:rFonts w:ascii="Arial Narrow" w:hAnsi="Arial Narrow" w:cs="Arial Narrow"/>
          <w:bCs/>
        </w:rPr>
        <w:t xml:space="preserve">Hon. </w:t>
      </w:r>
      <w:proofErr w:type="gramStart"/>
      <w:r w:rsidR="009C7B66" w:rsidRPr="009C7B66">
        <w:rPr>
          <w:rFonts w:ascii="Arial Narrow" w:hAnsi="Arial Narrow" w:cs="Arial Narrow"/>
          <w:bCs/>
        </w:rPr>
        <w:t>Mukwevho</w:t>
      </w:r>
      <w:proofErr w:type="gramEnd"/>
      <w:r w:rsidR="00C641C7">
        <w:rPr>
          <w:rFonts w:ascii="Arial Narrow" w:hAnsi="Arial Narrow" w:cs="Arial Narrow"/>
          <w:bCs/>
        </w:rPr>
        <w:t xml:space="preserve"> and Hon. Hoffman</w:t>
      </w:r>
      <w:r w:rsidRPr="00C16391">
        <w:rPr>
          <w:rFonts w:ascii="Arial Narrow" w:hAnsi="Arial Narrow" w:cs="Arial Narrow"/>
          <w:bCs/>
        </w:rPr>
        <w:t>. It is an honour to lead such a hard-working team.</w:t>
      </w:r>
    </w:p>
    <w:p w14:paraId="1104E4AD" w14:textId="77777777" w:rsidR="00DA35BD" w:rsidRPr="0066188C" w:rsidRDefault="00DA35BD" w:rsidP="003712DA">
      <w:pPr>
        <w:spacing w:line="276" w:lineRule="auto"/>
        <w:rPr>
          <w:rFonts w:ascii="Arial Narrow" w:hAnsi="Arial Narrow" w:cs="Arial Narrow"/>
          <w:bCs/>
          <w:highlight w:val="yellow"/>
        </w:rPr>
      </w:pPr>
    </w:p>
    <w:p w14:paraId="03C58975" w14:textId="340CBCE9" w:rsidR="00DA35BD" w:rsidRDefault="00DA35BD" w:rsidP="003712DA">
      <w:pPr>
        <w:spacing w:line="276" w:lineRule="auto"/>
        <w:rPr>
          <w:rFonts w:ascii="Arial Narrow" w:hAnsi="Arial Narrow" w:cs="Arial Narrow"/>
          <w:bCs/>
        </w:rPr>
      </w:pPr>
      <w:r w:rsidRPr="00F57514">
        <w:rPr>
          <w:rFonts w:ascii="Arial Narrow" w:hAnsi="Arial Narrow" w:cs="Arial Narrow"/>
          <w:bCs/>
        </w:rPr>
        <w:t xml:space="preserve">On behalf of the Committee, the Committee's </w:t>
      </w:r>
      <w:r w:rsidR="003B7B09">
        <w:rPr>
          <w:rFonts w:ascii="Arial Narrow" w:hAnsi="Arial Narrow" w:cs="Arial Narrow"/>
          <w:bCs/>
        </w:rPr>
        <w:t>appreciation</w:t>
      </w:r>
      <w:r w:rsidRPr="00F57514">
        <w:rPr>
          <w:rFonts w:ascii="Arial Narrow" w:hAnsi="Arial Narrow" w:cs="Arial Narrow"/>
          <w:bCs/>
        </w:rPr>
        <w:t xml:space="preserve"> and gratitude also goes to the following persons: </w:t>
      </w:r>
      <w:r w:rsidR="001F3024">
        <w:rPr>
          <w:rFonts w:ascii="Arial Narrow" w:hAnsi="Arial Narrow" w:cs="Arial Narrow"/>
          <w:bCs/>
        </w:rPr>
        <w:t xml:space="preserve"> </w:t>
      </w:r>
      <w:r w:rsidRPr="00F57514">
        <w:rPr>
          <w:rFonts w:ascii="Arial Narrow" w:hAnsi="Arial Narrow" w:cs="Arial Narrow"/>
          <w:bCs/>
        </w:rPr>
        <w:t xml:space="preserve">Group Committee Coordinator, Mr. T. </w:t>
      </w:r>
      <w:r w:rsidR="0055117C">
        <w:rPr>
          <w:rFonts w:ascii="Arial Narrow" w:hAnsi="Arial Narrow" w:cs="Arial Narrow"/>
          <w:bCs/>
        </w:rPr>
        <w:t>Bodibe</w:t>
      </w:r>
      <w:r w:rsidRPr="00F57514">
        <w:rPr>
          <w:rFonts w:ascii="Arial Narrow" w:hAnsi="Arial Narrow" w:cs="Arial Narrow"/>
          <w:bCs/>
        </w:rPr>
        <w:t>; Researchers Mr. A. Malapane, Ms M.  Makhubele and Mr T Mulibana;</w:t>
      </w:r>
      <w:r w:rsidR="00490933">
        <w:rPr>
          <w:rFonts w:ascii="Arial Narrow" w:hAnsi="Arial Narrow" w:cs="Arial Narrow"/>
          <w:bCs/>
        </w:rPr>
        <w:t xml:space="preserve"> </w:t>
      </w:r>
      <w:r w:rsidRPr="00F57514">
        <w:rPr>
          <w:rFonts w:ascii="Arial Narrow" w:hAnsi="Arial Narrow" w:cs="Arial Narrow"/>
          <w:bCs/>
        </w:rPr>
        <w:t>Senior Committee Coordinator Mr. T. Skosana</w:t>
      </w:r>
      <w:r w:rsidR="0055117C">
        <w:rPr>
          <w:rFonts w:ascii="Arial Narrow" w:hAnsi="Arial Narrow" w:cs="Arial Narrow"/>
          <w:bCs/>
        </w:rPr>
        <w:t xml:space="preserve">; </w:t>
      </w:r>
      <w:r w:rsidRPr="00F57514">
        <w:rPr>
          <w:rFonts w:ascii="Arial Narrow" w:hAnsi="Arial Narrow" w:cs="Arial Narrow"/>
          <w:bCs/>
        </w:rPr>
        <w:t>Committee Administrator, Ms. V. Mokubetsi; Hansard Recorder Mr. S. Minyuku; Public Participation Officer, Mr. B. Dhlomo;</w:t>
      </w:r>
      <w:r w:rsidR="009C7B66">
        <w:rPr>
          <w:rFonts w:ascii="Arial Narrow" w:hAnsi="Arial Narrow" w:cs="Arial Narrow"/>
          <w:bCs/>
        </w:rPr>
        <w:t xml:space="preserve"> Acting Public Participation Officer Ms R Mathebula;</w:t>
      </w:r>
      <w:r w:rsidR="00723EF0" w:rsidRPr="00F57514">
        <w:rPr>
          <w:rFonts w:ascii="Arial Narrow" w:hAnsi="Arial Narrow" w:cs="Arial Narrow"/>
          <w:bCs/>
        </w:rPr>
        <w:t xml:space="preserve"> Commun</w:t>
      </w:r>
      <w:r w:rsidR="00F57514" w:rsidRPr="00F57514">
        <w:rPr>
          <w:rFonts w:ascii="Arial Narrow" w:hAnsi="Arial Narrow" w:cs="Arial Narrow"/>
          <w:bCs/>
        </w:rPr>
        <w:t>ications Officer, Mr. T</w:t>
      </w:r>
      <w:r w:rsidR="00723EF0" w:rsidRPr="00F57514">
        <w:rPr>
          <w:rFonts w:ascii="Arial Narrow" w:hAnsi="Arial Narrow" w:cs="Arial Narrow"/>
          <w:bCs/>
        </w:rPr>
        <w:t>;</w:t>
      </w:r>
      <w:r w:rsidR="00F57514" w:rsidRPr="00F57514">
        <w:rPr>
          <w:rFonts w:ascii="Arial Narrow" w:hAnsi="Arial Narrow" w:cs="Arial Narrow"/>
          <w:bCs/>
        </w:rPr>
        <w:t xml:space="preserve"> Ndou</w:t>
      </w:r>
      <w:r w:rsidR="00BB762C">
        <w:rPr>
          <w:rFonts w:ascii="Arial Narrow" w:hAnsi="Arial Narrow" w:cs="Arial Narrow"/>
          <w:bCs/>
        </w:rPr>
        <w:t xml:space="preserve"> Service Officers and</w:t>
      </w:r>
      <w:r w:rsidRPr="00F57514">
        <w:rPr>
          <w:rFonts w:ascii="Arial Narrow" w:hAnsi="Arial Narrow" w:cs="Arial Narrow"/>
          <w:bCs/>
        </w:rPr>
        <w:t xml:space="preserve"> </w:t>
      </w:r>
      <w:r w:rsidRPr="00C641C7">
        <w:rPr>
          <w:rFonts w:ascii="Arial Narrow" w:hAnsi="Arial Narrow" w:cs="Arial Narrow"/>
          <w:bCs/>
        </w:rPr>
        <w:t xml:space="preserve">Ms. </w:t>
      </w:r>
      <w:r w:rsidR="00C641C7">
        <w:rPr>
          <w:rFonts w:ascii="Arial Narrow" w:hAnsi="Arial Narrow" w:cs="Arial Narrow"/>
          <w:bCs/>
        </w:rPr>
        <w:t>Z Mabaso</w:t>
      </w:r>
      <w:r w:rsidRPr="00F57514">
        <w:rPr>
          <w:rFonts w:ascii="Arial Narrow" w:hAnsi="Arial Narrow" w:cs="Arial Narrow"/>
          <w:bCs/>
        </w:rPr>
        <w:t xml:space="preserve"> for their devoted assistance.</w:t>
      </w:r>
    </w:p>
    <w:p w14:paraId="4C37015B" w14:textId="76A5DD2C" w:rsidR="004B7663" w:rsidRPr="00F57514" w:rsidRDefault="00CD0954" w:rsidP="003712DA">
      <w:pPr>
        <w:pStyle w:val="Heading1"/>
        <w:numPr>
          <w:ilvl w:val="0"/>
          <w:numId w:val="18"/>
        </w:numPr>
        <w:shd w:val="clear" w:color="auto" w:fill="F2F2F2" w:themeFill="background1" w:themeFillShade="F2"/>
        <w:spacing w:line="276" w:lineRule="auto"/>
        <w:ind w:left="567" w:hanging="567"/>
        <w:rPr>
          <w:rFonts w:ascii="Arial Narrow" w:hAnsi="Arial Narrow"/>
          <w:color w:val="auto"/>
          <w:sz w:val="22"/>
          <w:szCs w:val="22"/>
        </w:rPr>
      </w:pPr>
      <w:bookmarkStart w:id="53" w:name="_Toc66876382"/>
      <w:r>
        <w:rPr>
          <w:rFonts w:ascii="Arial Narrow" w:hAnsi="Arial Narrow"/>
          <w:color w:val="auto"/>
          <w:sz w:val="22"/>
          <w:szCs w:val="22"/>
        </w:rPr>
        <w:lastRenderedPageBreak/>
        <w:t>A</w:t>
      </w:r>
      <w:r w:rsidR="004B7663" w:rsidRPr="00F57514">
        <w:rPr>
          <w:rFonts w:ascii="Arial Narrow" w:hAnsi="Arial Narrow"/>
          <w:color w:val="auto"/>
          <w:sz w:val="22"/>
          <w:szCs w:val="22"/>
        </w:rPr>
        <w:t>DOPTION</w:t>
      </w:r>
      <w:bookmarkEnd w:id="53"/>
    </w:p>
    <w:p w14:paraId="753BCE35" w14:textId="77777777" w:rsidR="00DA35BD" w:rsidRPr="00F57514" w:rsidRDefault="00DA35BD" w:rsidP="003712DA">
      <w:pPr>
        <w:spacing w:line="276" w:lineRule="auto"/>
        <w:rPr>
          <w:rFonts w:ascii="Arial Narrow" w:hAnsi="Arial Narrow" w:cs="Arial Narrow"/>
          <w:bCs/>
        </w:rPr>
      </w:pPr>
    </w:p>
    <w:p w14:paraId="1262B268" w14:textId="775218FE" w:rsidR="00DA35BD" w:rsidRPr="00F57514" w:rsidRDefault="00DA35BD" w:rsidP="003712DA">
      <w:pPr>
        <w:spacing w:line="276" w:lineRule="auto"/>
        <w:rPr>
          <w:rFonts w:ascii="Arial Narrow" w:hAnsi="Arial Narrow" w:cs="Arial Narrow"/>
          <w:bCs/>
        </w:rPr>
      </w:pPr>
      <w:r w:rsidRPr="00F57514">
        <w:rPr>
          <w:rFonts w:ascii="Arial Narrow" w:hAnsi="Arial Narrow" w:cs="Arial Narrow"/>
          <w:bCs/>
        </w:rPr>
        <w:t>After due consideration the Economic Development</w:t>
      </w:r>
      <w:r w:rsidR="0055117C">
        <w:rPr>
          <w:rFonts w:ascii="Arial Narrow" w:hAnsi="Arial Narrow" w:cs="Arial Narrow"/>
          <w:bCs/>
        </w:rPr>
        <w:t xml:space="preserve"> </w:t>
      </w:r>
      <w:r w:rsidRPr="00F57514">
        <w:rPr>
          <w:rFonts w:ascii="Arial Narrow" w:hAnsi="Arial Narrow" w:cs="Arial Narrow"/>
          <w:bCs/>
        </w:rPr>
        <w:t xml:space="preserve">Portfolio Committee unanimously adopted the Gauteng Department of Economic Development </w:t>
      </w:r>
      <w:r w:rsidR="005C6CEB" w:rsidRPr="00F57514">
        <w:rPr>
          <w:rFonts w:ascii="Arial Narrow" w:hAnsi="Arial Narrow" w:cs="Arial Narrow"/>
          <w:bCs/>
        </w:rPr>
        <w:t>Annual Performance Report for the 20</w:t>
      </w:r>
      <w:r w:rsidR="001F3024">
        <w:rPr>
          <w:rFonts w:ascii="Arial Narrow" w:hAnsi="Arial Narrow" w:cs="Arial Narrow"/>
          <w:bCs/>
        </w:rPr>
        <w:t>2</w:t>
      </w:r>
      <w:r w:rsidR="00766FB2">
        <w:rPr>
          <w:rFonts w:ascii="Arial Narrow" w:hAnsi="Arial Narrow" w:cs="Arial Narrow"/>
          <w:bCs/>
        </w:rPr>
        <w:t>2</w:t>
      </w:r>
      <w:r w:rsidR="00A27CC2">
        <w:rPr>
          <w:rFonts w:ascii="Arial Narrow" w:hAnsi="Arial Narrow" w:cs="Arial Narrow"/>
          <w:bCs/>
        </w:rPr>
        <w:t>/20</w:t>
      </w:r>
      <w:r w:rsidR="006E1029">
        <w:rPr>
          <w:rFonts w:ascii="Arial Narrow" w:hAnsi="Arial Narrow" w:cs="Arial Narrow"/>
          <w:bCs/>
        </w:rPr>
        <w:t>2</w:t>
      </w:r>
      <w:r w:rsidR="00766FB2">
        <w:rPr>
          <w:rFonts w:ascii="Arial Narrow" w:hAnsi="Arial Narrow" w:cs="Arial Narrow"/>
          <w:bCs/>
        </w:rPr>
        <w:t>3</w:t>
      </w:r>
      <w:r w:rsidRPr="00F57514">
        <w:rPr>
          <w:rFonts w:ascii="Arial Narrow" w:hAnsi="Arial Narrow" w:cs="Arial Narrow"/>
          <w:bCs/>
        </w:rPr>
        <w:t xml:space="preserve"> FY</w:t>
      </w:r>
      <w:r w:rsidR="005C6CEB" w:rsidRPr="00F57514">
        <w:rPr>
          <w:rFonts w:ascii="Arial Narrow" w:hAnsi="Arial Narrow" w:cs="Arial Narrow"/>
          <w:bCs/>
        </w:rPr>
        <w:t>.</w:t>
      </w:r>
    </w:p>
    <w:p w14:paraId="6F62E9AA" w14:textId="77777777" w:rsidR="00DA35BD" w:rsidRPr="00F57514" w:rsidRDefault="00723EF0" w:rsidP="003712DA">
      <w:pPr>
        <w:spacing w:line="276" w:lineRule="auto"/>
        <w:rPr>
          <w:rFonts w:ascii="Arial Narrow" w:hAnsi="Arial Narrow" w:cs="Arial Narrow"/>
          <w:bCs/>
        </w:rPr>
      </w:pPr>
      <w:r w:rsidRPr="00F57514">
        <w:rPr>
          <w:rFonts w:ascii="Arial Narrow" w:hAnsi="Arial Narrow" w:cs="Arial Narrow"/>
          <w:bCs/>
        </w:rPr>
        <w:t xml:space="preserve"> </w:t>
      </w:r>
    </w:p>
    <w:p w14:paraId="40AB0D34" w14:textId="171D3797" w:rsidR="00DA35BD" w:rsidRPr="0079000E" w:rsidRDefault="00E96C56" w:rsidP="003712DA">
      <w:pPr>
        <w:spacing w:line="276" w:lineRule="auto"/>
        <w:rPr>
          <w:rFonts w:ascii="Arial Narrow" w:hAnsi="Arial Narrow" w:cs="Arial Narrow"/>
          <w:bCs/>
        </w:rPr>
      </w:pPr>
      <w:r w:rsidRPr="006753F4">
        <w:rPr>
          <w:rFonts w:ascii="Arial Narrow" w:hAnsi="Arial Narrow" w:cs="Arial Narrow"/>
          <w:bCs/>
        </w:rPr>
        <w:t>In terms of Rule</w:t>
      </w:r>
      <w:r w:rsidR="006753F4" w:rsidRPr="006753F4">
        <w:rPr>
          <w:rFonts w:ascii="Arial Narrow" w:hAnsi="Arial Narrow" w:cs="Arial Narrow"/>
          <w:bCs/>
        </w:rPr>
        <w:t xml:space="preserve"> 117(2)(c) read together with Rule 164 </w:t>
      </w:r>
      <w:r w:rsidR="00DA35BD" w:rsidRPr="006753F4">
        <w:rPr>
          <w:rFonts w:ascii="Arial Narrow" w:hAnsi="Arial Narrow" w:cs="Arial Narrow"/>
          <w:bCs/>
        </w:rPr>
        <w:t xml:space="preserve">the Committee presents to this House and recommends the adoption of the Committee’s Oversight Report on the Gauteng Department of Economic Development </w:t>
      </w:r>
      <w:r w:rsidR="005C6CEB" w:rsidRPr="006753F4">
        <w:rPr>
          <w:rFonts w:ascii="Arial Narrow" w:hAnsi="Arial Narrow" w:cs="Arial Narrow"/>
          <w:bCs/>
        </w:rPr>
        <w:t>Annual</w:t>
      </w:r>
      <w:r w:rsidR="00F57514" w:rsidRPr="006753F4">
        <w:rPr>
          <w:rFonts w:ascii="Arial Narrow" w:hAnsi="Arial Narrow" w:cs="Arial Narrow"/>
          <w:bCs/>
        </w:rPr>
        <w:t xml:space="preserve"> Performance Report for the 20</w:t>
      </w:r>
      <w:r w:rsidR="001F3024">
        <w:rPr>
          <w:rFonts w:ascii="Arial Narrow" w:hAnsi="Arial Narrow" w:cs="Arial Narrow"/>
          <w:bCs/>
        </w:rPr>
        <w:t>2</w:t>
      </w:r>
      <w:r w:rsidR="00766FB2">
        <w:rPr>
          <w:rFonts w:ascii="Arial Narrow" w:hAnsi="Arial Narrow" w:cs="Arial Narrow"/>
          <w:bCs/>
        </w:rPr>
        <w:t>2</w:t>
      </w:r>
      <w:r w:rsidR="00490933" w:rsidRPr="006753F4">
        <w:rPr>
          <w:rFonts w:ascii="Arial Narrow" w:hAnsi="Arial Narrow" w:cs="Arial Narrow"/>
          <w:bCs/>
        </w:rPr>
        <w:t>/20</w:t>
      </w:r>
      <w:r w:rsidR="006E1029">
        <w:rPr>
          <w:rFonts w:ascii="Arial Narrow" w:hAnsi="Arial Narrow" w:cs="Arial Narrow"/>
          <w:bCs/>
        </w:rPr>
        <w:t>2</w:t>
      </w:r>
      <w:r w:rsidR="00766FB2">
        <w:rPr>
          <w:rFonts w:ascii="Arial Narrow" w:hAnsi="Arial Narrow" w:cs="Arial Narrow"/>
          <w:bCs/>
        </w:rPr>
        <w:t>3</w:t>
      </w:r>
      <w:r w:rsidR="00DA35BD" w:rsidRPr="006753F4">
        <w:rPr>
          <w:rFonts w:ascii="Arial Narrow" w:hAnsi="Arial Narrow" w:cs="Arial Narrow"/>
          <w:bCs/>
        </w:rPr>
        <w:t xml:space="preserve"> FY.</w:t>
      </w:r>
    </w:p>
    <w:p w14:paraId="7D2653D6" w14:textId="77777777" w:rsidR="00DA35BD" w:rsidRPr="0079000E" w:rsidRDefault="00DA35BD" w:rsidP="003712DA">
      <w:pPr>
        <w:spacing w:line="276" w:lineRule="auto"/>
        <w:rPr>
          <w:rFonts w:ascii="Arial Narrow" w:hAnsi="Arial Narrow" w:cs="Arial Narrow"/>
          <w:bCs/>
        </w:rPr>
      </w:pPr>
    </w:p>
    <w:p w14:paraId="426B31AD" w14:textId="77777777" w:rsidR="00F525A4" w:rsidRPr="0079000E" w:rsidRDefault="00F525A4" w:rsidP="003712DA">
      <w:pPr>
        <w:spacing w:line="276" w:lineRule="auto"/>
        <w:rPr>
          <w:rFonts w:ascii="Arial Narrow" w:hAnsi="Arial Narrow" w:cs="Arial Narrow"/>
          <w:b/>
          <w:bCs/>
          <w:i/>
          <w:color w:val="FF0000"/>
        </w:rPr>
      </w:pPr>
    </w:p>
    <w:sectPr w:rsidR="00F525A4" w:rsidRPr="0079000E" w:rsidSect="008E317D">
      <w:footerReference w:type="default" r:id="rId10"/>
      <w:footerReference w:type="first" r:id="rId1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5E97" w14:textId="77777777" w:rsidR="00BF2E99" w:rsidRDefault="00BF2E99" w:rsidP="00A409BC">
      <w:pPr>
        <w:spacing w:line="240" w:lineRule="auto"/>
      </w:pPr>
      <w:r>
        <w:separator/>
      </w:r>
    </w:p>
  </w:endnote>
  <w:endnote w:type="continuationSeparator" w:id="0">
    <w:p w14:paraId="5E11A5C4" w14:textId="77777777" w:rsidR="00BF2E99" w:rsidRDefault="00BF2E99"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548C67F5" w14:textId="2236443C" w:rsidR="00F02007" w:rsidRDefault="00F02007" w:rsidP="00C44CAC">
            <w:pPr>
              <w:pStyle w:val="Footer"/>
              <w:tabs>
                <w:tab w:val="left" w:pos="7685"/>
              </w:tabs>
              <w:jc w:val="left"/>
            </w:pPr>
            <w:r w:rsidRPr="002E71F5">
              <w:rPr>
                <w:rFonts w:ascii="Arial Narrow" w:hAnsi="Arial Narrow" w:cs="Times New Roman"/>
                <w:sz w:val="16"/>
                <w:szCs w:val="16"/>
              </w:rPr>
              <w:t>COVACSOM Executive Oversight Report of the Department of Economic Develo</w:t>
            </w:r>
            <w:r>
              <w:rPr>
                <w:rFonts w:ascii="Arial Narrow" w:hAnsi="Arial Narrow" w:cs="Times New Roman"/>
                <w:sz w:val="16"/>
                <w:szCs w:val="16"/>
              </w:rPr>
              <w:t>pment Annual Report for the 2020/21</w:t>
            </w:r>
            <w:r w:rsidRPr="002E71F5">
              <w:rPr>
                <w:rFonts w:ascii="Arial Narrow" w:hAnsi="Arial Narrow" w:cs="Times New Roman"/>
                <w:sz w:val="16"/>
                <w:szCs w:val="16"/>
              </w:rPr>
              <w:t xml:space="preserve"> FY  </w:t>
            </w:r>
            <w:r w:rsidRPr="002E71F5">
              <w:rPr>
                <w:rFonts w:ascii="Arial Narrow" w:hAnsi="Arial Narrow"/>
                <w:sz w:val="16"/>
                <w:szCs w:val="16"/>
              </w:rPr>
              <w:t xml:space="preserve">       </w:t>
            </w:r>
            <w:r w:rsidRPr="002E71F5">
              <w:rPr>
                <w:sz w:val="16"/>
                <w:szCs w:val="16"/>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sdtContent>
      </w:sdt>
    </w:sdtContent>
  </w:sdt>
  <w:p w14:paraId="297D0549" w14:textId="77777777" w:rsidR="00F02007" w:rsidRDefault="00F0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490803904"/>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13B4DFB2" w14:textId="1AFD3BF6" w:rsidR="00F02007" w:rsidRPr="008E317D" w:rsidRDefault="00F02007" w:rsidP="008E317D">
            <w:pPr>
              <w:pStyle w:val="Footer"/>
              <w:tabs>
                <w:tab w:val="left" w:pos="7186"/>
              </w:tabs>
              <w:jc w:val="left"/>
              <w:rPr>
                <w:rFonts w:ascii="Arial Narrow" w:hAnsi="Arial Narrow"/>
                <w:sz w:val="20"/>
                <w:szCs w:val="20"/>
              </w:rPr>
            </w:pPr>
            <w:r>
              <w:rPr>
                <w:rFonts w:ascii="Arial Narrow" w:hAnsi="Arial Narrow"/>
                <w:sz w:val="20"/>
                <w:szCs w:val="20"/>
              </w:rPr>
              <w:t>---------------------------------------------------------------------------------------------------------------------------------------------------------------------</w:t>
            </w:r>
            <w:r w:rsidRPr="00F84F5C">
              <w:rPr>
                <w:rFonts w:ascii="Arial Narrow" w:hAnsi="Arial Narrow"/>
                <w:sz w:val="20"/>
                <w:szCs w:val="20"/>
              </w:rPr>
              <w:t xml:space="preserve"> SOM Executive Oversight Report of the Department of Economic Develo</w:t>
            </w:r>
            <w:r>
              <w:rPr>
                <w:rFonts w:ascii="Arial Narrow" w:hAnsi="Arial Narrow"/>
                <w:sz w:val="20"/>
                <w:szCs w:val="20"/>
              </w:rPr>
              <w:t>pment Annual Report for the 20</w:t>
            </w:r>
            <w:r w:rsidR="00742EC0">
              <w:rPr>
                <w:rFonts w:ascii="Arial Narrow" w:hAnsi="Arial Narrow"/>
                <w:sz w:val="20"/>
                <w:szCs w:val="20"/>
              </w:rPr>
              <w:t>22</w:t>
            </w:r>
            <w:r>
              <w:rPr>
                <w:rFonts w:ascii="Arial Narrow" w:hAnsi="Arial Narrow"/>
                <w:sz w:val="20"/>
                <w:szCs w:val="20"/>
              </w:rPr>
              <w:t>/</w:t>
            </w:r>
            <w:r w:rsidR="00742EC0">
              <w:rPr>
                <w:rFonts w:ascii="Arial Narrow" w:hAnsi="Arial Narrow"/>
                <w:sz w:val="20"/>
                <w:szCs w:val="20"/>
              </w:rPr>
              <w:t>23</w:t>
            </w:r>
            <w:r w:rsidRPr="00F84F5C">
              <w:rPr>
                <w:rFonts w:ascii="Arial Narrow" w:hAnsi="Arial Narrow"/>
                <w:sz w:val="20"/>
                <w:szCs w:val="20"/>
              </w:rPr>
              <w:t xml:space="preserve"> FY              </w:t>
            </w:r>
            <w:r w:rsidRPr="008E317D">
              <w:rPr>
                <w:rFonts w:ascii="Arial Narrow" w:hAnsi="Arial Narrow"/>
                <w:sz w:val="20"/>
                <w:szCs w:val="20"/>
              </w:rPr>
              <w:tab/>
              <w:t xml:space="preserve">Page </w:t>
            </w:r>
            <w:r w:rsidRPr="008E317D">
              <w:rPr>
                <w:rFonts w:ascii="Arial Narrow" w:hAnsi="Arial Narrow"/>
                <w:b/>
                <w:sz w:val="20"/>
                <w:szCs w:val="20"/>
              </w:rPr>
              <w:t>1</w:t>
            </w:r>
            <w:r w:rsidRPr="008E317D">
              <w:rPr>
                <w:rFonts w:ascii="Arial Narrow" w:hAnsi="Arial Narrow"/>
                <w:sz w:val="20"/>
                <w:szCs w:val="20"/>
              </w:rPr>
              <w:t xml:space="preserve"> of </w:t>
            </w:r>
            <w:r w:rsidRPr="008E317D">
              <w:rPr>
                <w:rFonts w:ascii="Arial Narrow" w:hAnsi="Arial Narrow"/>
                <w:b/>
                <w:bCs/>
                <w:sz w:val="20"/>
                <w:szCs w:val="20"/>
              </w:rPr>
              <w:fldChar w:fldCharType="begin"/>
            </w:r>
            <w:r w:rsidRPr="008E317D">
              <w:rPr>
                <w:rFonts w:ascii="Arial Narrow" w:hAnsi="Arial Narrow"/>
                <w:b/>
                <w:bCs/>
                <w:sz w:val="20"/>
                <w:szCs w:val="20"/>
              </w:rPr>
              <w:instrText xml:space="preserve"> NUMPAGES  </w:instrText>
            </w:r>
            <w:r w:rsidRPr="008E317D">
              <w:rPr>
                <w:rFonts w:ascii="Arial Narrow" w:hAnsi="Arial Narrow"/>
                <w:b/>
                <w:bCs/>
                <w:sz w:val="20"/>
                <w:szCs w:val="20"/>
              </w:rPr>
              <w:fldChar w:fldCharType="separate"/>
            </w:r>
            <w:r>
              <w:rPr>
                <w:rFonts w:ascii="Arial Narrow" w:hAnsi="Arial Narrow"/>
                <w:b/>
                <w:bCs/>
                <w:noProof/>
                <w:sz w:val="20"/>
                <w:szCs w:val="20"/>
              </w:rPr>
              <w:t>16</w:t>
            </w:r>
            <w:r w:rsidRPr="008E317D">
              <w:rPr>
                <w:rFonts w:ascii="Arial Narrow" w:hAnsi="Arial Narrow"/>
                <w:b/>
                <w:bCs/>
                <w:sz w:val="20"/>
                <w:szCs w:val="20"/>
              </w:rPr>
              <w:fldChar w:fldCharType="end"/>
            </w:r>
          </w:p>
        </w:sdtContent>
      </w:sdt>
    </w:sdtContent>
  </w:sdt>
  <w:p w14:paraId="1CF6605F" w14:textId="77777777" w:rsidR="00F02007" w:rsidRDefault="00F0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B7EF" w14:textId="77777777" w:rsidR="00BF2E99" w:rsidRDefault="00BF2E99" w:rsidP="00A409BC">
      <w:pPr>
        <w:spacing w:line="240" w:lineRule="auto"/>
      </w:pPr>
      <w:r>
        <w:separator/>
      </w:r>
    </w:p>
  </w:footnote>
  <w:footnote w:type="continuationSeparator" w:id="0">
    <w:p w14:paraId="158B8262" w14:textId="77777777" w:rsidR="00BF2E99" w:rsidRDefault="00BF2E99"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B140B8"/>
    <w:multiLevelType w:val="hybridMultilevel"/>
    <w:tmpl w:val="39B6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22B5"/>
    <w:multiLevelType w:val="hybridMultilevel"/>
    <w:tmpl w:val="4594A74E"/>
    <w:lvl w:ilvl="0" w:tplc="DF82073E">
      <w:start w:val="26"/>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1B374D45"/>
    <w:multiLevelType w:val="hybridMultilevel"/>
    <w:tmpl w:val="9BE87FEC"/>
    <w:lvl w:ilvl="0" w:tplc="1FA6AC62">
      <w:start w:val="1"/>
      <w:numFmt w:val="decimal"/>
      <w:lvlText w:val="%1."/>
      <w:lvlJc w:val="left"/>
      <w:pPr>
        <w:ind w:left="720"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EC6164"/>
    <w:multiLevelType w:val="hybridMultilevel"/>
    <w:tmpl w:val="F020B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3AA5984"/>
    <w:multiLevelType w:val="hybridMultilevel"/>
    <w:tmpl w:val="C226A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523680"/>
    <w:multiLevelType w:val="hybridMultilevel"/>
    <w:tmpl w:val="C0C850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F549CF"/>
    <w:multiLevelType w:val="hybridMultilevel"/>
    <w:tmpl w:val="ACBC2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63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C474FA"/>
    <w:multiLevelType w:val="hybridMultilevel"/>
    <w:tmpl w:val="C03C63AE"/>
    <w:lvl w:ilvl="0" w:tplc="0616F282">
      <w:start w:val="2"/>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3DFB7DFC"/>
    <w:multiLevelType w:val="hybridMultilevel"/>
    <w:tmpl w:val="23BAD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6660B6E"/>
    <w:multiLevelType w:val="multilevel"/>
    <w:tmpl w:val="F3CA48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4" w15:restartNumberingAfterBreak="0">
    <w:nsid w:val="4B694466"/>
    <w:multiLevelType w:val="hybridMultilevel"/>
    <w:tmpl w:val="726E7252"/>
    <w:lvl w:ilvl="0" w:tplc="88302B4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EF0035A"/>
    <w:multiLevelType w:val="hybridMultilevel"/>
    <w:tmpl w:val="80C8E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DB1A1E"/>
    <w:multiLevelType w:val="hybridMultilevel"/>
    <w:tmpl w:val="31EC9054"/>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736878"/>
    <w:multiLevelType w:val="hybridMultilevel"/>
    <w:tmpl w:val="FE5A6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DE7BDA"/>
    <w:multiLevelType w:val="hybridMultilevel"/>
    <w:tmpl w:val="1B945C6A"/>
    <w:lvl w:ilvl="0" w:tplc="0616F282">
      <w:start w:val="2"/>
      <w:numFmt w:val="bullet"/>
      <w:lvlText w:val="-"/>
      <w:lvlJc w:val="left"/>
      <w:pPr>
        <w:ind w:left="420" w:hanging="360"/>
      </w:pPr>
      <w:rPr>
        <w:rFonts w:ascii="Arial Narrow" w:eastAsiaTheme="minorHAnsi" w:hAnsi="Arial Narrow"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5E3F5F21"/>
    <w:multiLevelType w:val="hybridMultilevel"/>
    <w:tmpl w:val="8EF83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1" w15:restartNumberingAfterBreak="0">
    <w:nsid w:val="66192486"/>
    <w:multiLevelType w:val="multilevel"/>
    <w:tmpl w:val="A3B020AE"/>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2" w15:restartNumberingAfterBreak="0">
    <w:nsid w:val="68A008A8"/>
    <w:multiLevelType w:val="hybridMultilevel"/>
    <w:tmpl w:val="4BBCBC4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97A3D5D"/>
    <w:multiLevelType w:val="multilevel"/>
    <w:tmpl w:val="25A6BA3E"/>
    <w:lvl w:ilvl="0">
      <w:start w:val="1"/>
      <w:numFmt w:val="decimal"/>
      <w:lvlText w:val="%1."/>
      <w:lvlJc w:val="left"/>
      <w:pPr>
        <w:ind w:left="720" w:hanging="360"/>
      </w:pPr>
      <w:rPr>
        <w:rFonts w:ascii="Arial Narrow" w:eastAsiaTheme="minorHAnsi" w:hAnsi="Arial Narrow" w:cs="Arial Narrow"/>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EA5E17"/>
    <w:multiLevelType w:val="hybridMultilevel"/>
    <w:tmpl w:val="D9B6AC82"/>
    <w:lvl w:ilvl="0" w:tplc="0616F282">
      <w:start w:val="2"/>
      <w:numFmt w:val="bullet"/>
      <w:lvlText w:val="-"/>
      <w:lvlJc w:val="left"/>
      <w:pPr>
        <w:ind w:left="4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A3EFB"/>
    <w:multiLevelType w:val="multilevel"/>
    <w:tmpl w:val="B4C446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BD17C3A"/>
    <w:multiLevelType w:val="hybridMultilevel"/>
    <w:tmpl w:val="F90C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0717539"/>
    <w:multiLevelType w:val="hybridMultilevel"/>
    <w:tmpl w:val="785CE7B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0" w15:restartNumberingAfterBreak="0">
    <w:nsid w:val="72895450"/>
    <w:multiLevelType w:val="hybridMultilevel"/>
    <w:tmpl w:val="8B7226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6740447"/>
    <w:multiLevelType w:val="hybridMultilevel"/>
    <w:tmpl w:val="83E43482"/>
    <w:lvl w:ilvl="0" w:tplc="BFB03F68">
      <w:start w:val="1"/>
      <w:numFmt w:val="bullet"/>
      <w:lvlText w:val="•"/>
      <w:lvlJc w:val="left"/>
      <w:pPr>
        <w:tabs>
          <w:tab w:val="num" w:pos="720"/>
        </w:tabs>
        <w:ind w:left="720" w:hanging="360"/>
      </w:pPr>
      <w:rPr>
        <w:rFonts w:ascii="Arial" w:hAnsi="Arial" w:hint="default"/>
      </w:rPr>
    </w:lvl>
    <w:lvl w:ilvl="1" w:tplc="D01EA116" w:tentative="1">
      <w:start w:val="1"/>
      <w:numFmt w:val="bullet"/>
      <w:lvlText w:val="•"/>
      <w:lvlJc w:val="left"/>
      <w:pPr>
        <w:tabs>
          <w:tab w:val="num" w:pos="1440"/>
        </w:tabs>
        <w:ind w:left="1440" w:hanging="360"/>
      </w:pPr>
      <w:rPr>
        <w:rFonts w:ascii="Arial" w:hAnsi="Arial" w:hint="default"/>
      </w:rPr>
    </w:lvl>
    <w:lvl w:ilvl="2" w:tplc="3184E1D0" w:tentative="1">
      <w:start w:val="1"/>
      <w:numFmt w:val="bullet"/>
      <w:lvlText w:val="•"/>
      <w:lvlJc w:val="left"/>
      <w:pPr>
        <w:tabs>
          <w:tab w:val="num" w:pos="2160"/>
        </w:tabs>
        <w:ind w:left="2160" w:hanging="360"/>
      </w:pPr>
      <w:rPr>
        <w:rFonts w:ascii="Arial" w:hAnsi="Arial" w:hint="default"/>
      </w:rPr>
    </w:lvl>
    <w:lvl w:ilvl="3" w:tplc="A6FCC226" w:tentative="1">
      <w:start w:val="1"/>
      <w:numFmt w:val="bullet"/>
      <w:lvlText w:val="•"/>
      <w:lvlJc w:val="left"/>
      <w:pPr>
        <w:tabs>
          <w:tab w:val="num" w:pos="2880"/>
        </w:tabs>
        <w:ind w:left="2880" w:hanging="360"/>
      </w:pPr>
      <w:rPr>
        <w:rFonts w:ascii="Arial" w:hAnsi="Arial" w:hint="default"/>
      </w:rPr>
    </w:lvl>
    <w:lvl w:ilvl="4" w:tplc="ABF2D982" w:tentative="1">
      <w:start w:val="1"/>
      <w:numFmt w:val="bullet"/>
      <w:lvlText w:val="•"/>
      <w:lvlJc w:val="left"/>
      <w:pPr>
        <w:tabs>
          <w:tab w:val="num" w:pos="3600"/>
        </w:tabs>
        <w:ind w:left="3600" w:hanging="360"/>
      </w:pPr>
      <w:rPr>
        <w:rFonts w:ascii="Arial" w:hAnsi="Arial" w:hint="default"/>
      </w:rPr>
    </w:lvl>
    <w:lvl w:ilvl="5" w:tplc="D54C470C" w:tentative="1">
      <w:start w:val="1"/>
      <w:numFmt w:val="bullet"/>
      <w:lvlText w:val="•"/>
      <w:lvlJc w:val="left"/>
      <w:pPr>
        <w:tabs>
          <w:tab w:val="num" w:pos="4320"/>
        </w:tabs>
        <w:ind w:left="4320" w:hanging="360"/>
      </w:pPr>
      <w:rPr>
        <w:rFonts w:ascii="Arial" w:hAnsi="Arial" w:hint="default"/>
      </w:rPr>
    </w:lvl>
    <w:lvl w:ilvl="6" w:tplc="ECE812D6" w:tentative="1">
      <w:start w:val="1"/>
      <w:numFmt w:val="bullet"/>
      <w:lvlText w:val="•"/>
      <w:lvlJc w:val="left"/>
      <w:pPr>
        <w:tabs>
          <w:tab w:val="num" w:pos="5040"/>
        </w:tabs>
        <w:ind w:left="5040" w:hanging="360"/>
      </w:pPr>
      <w:rPr>
        <w:rFonts w:ascii="Arial" w:hAnsi="Arial" w:hint="default"/>
      </w:rPr>
    </w:lvl>
    <w:lvl w:ilvl="7" w:tplc="20A0DCAC" w:tentative="1">
      <w:start w:val="1"/>
      <w:numFmt w:val="bullet"/>
      <w:lvlText w:val="•"/>
      <w:lvlJc w:val="left"/>
      <w:pPr>
        <w:tabs>
          <w:tab w:val="num" w:pos="5760"/>
        </w:tabs>
        <w:ind w:left="5760" w:hanging="360"/>
      </w:pPr>
      <w:rPr>
        <w:rFonts w:ascii="Arial" w:hAnsi="Arial" w:hint="default"/>
      </w:rPr>
    </w:lvl>
    <w:lvl w:ilvl="8" w:tplc="66DC93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840A22"/>
    <w:multiLevelType w:val="hybridMultilevel"/>
    <w:tmpl w:val="7172AA24"/>
    <w:lvl w:ilvl="0" w:tplc="B3126AE4">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B3B4B2E"/>
    <w:multiLevelType w:val="hybridMultilevel"/>
    <w:tmpl w:val="CED2E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13747394">
    <w:abstractNumId w:val="12"/>
  </w:num>
  <w:num w:numId="2" w16cid:durableId="1919291645">
    <w:abstractNumId w:val="4"/>
  </w:num>
  <w:num w:numId="3" w16cid:durableId="1336225564">
    <w:abstractNumId w:val="18"/>
  </w:num>
  <w:num w:numId="4" w16cid:durableId="2141653791">
    <w:abstractNumId w:val="9"/>
  </w:num>
  <w:num w:numId="5" w16cid:durableId="2110462390">
    <w:abstractNumId w:val="3"/>
  </w:num>
  <w:num w:numId="6" w16cid:durableId="61221176">
    <w:abstractNumId w:val="37"/>
  </w:num>
  <w:num w:numId="7" w16cid:durableId="801464257">
    <w:abstractNumId w:val="30"/>
  </w:num>
  <w:num w:numId="8" w16cid:durableId="1109088671">
    <w:abstractNumId w:val="20"/>
  </w:num>
  <w:num w:numId="9" w16cid:durableId="1690791188">
    <w:abstractNumId w:val="19"/>
  </w:num>
  <w:num w:numId="10" w16cid:durableId="1054087177">
    <w:abstractNumId w:val="0"/>
  </w:num>
  <w:num w:numId="11" w16cid:durableId="1404794283">
    <w:abstractNumId w:val="43"/>
  </w:num>
  <w:num w:numId="12" w16cid:durableId="665862425">
    <w:abstractNumId w:val="39"/>
  </w:num>
  <w:num w:numId="13" w16cid:durableId="1792088170">
    <w:abstractNumId w:val="7"/>
  </w:num>
  <w:num w:numId="14" w16cid:durableId="104466893">
    <w:abstractNumId w:val="21"/>
  </w:num>
  <w:num w:numId="15" w16cid:durableId="1996520316">
    <w:abstractNumId w:val="8"/>
  </w:num>
  <w:num w:numId="16" w16cid:durableId="1744907901">
    <w:abstractNumId w:val="13"/>
  </w:num>
  <w:num w:numId="17" w16cid:durableId="1489978370">
    <w:abstractNumId w:val="23"/>
  </w:num>
  <w:num w:numId="18" w16cid:durableId="739210476">
    <w:abstractNumId w:val="15"/>
  </w:num>
  <w:num w:numId="19" w16cid:durableId="1226377539">
    <w:abstractNumId w:val="24"/>
  </w:num>
  <w:num w:numId="20" w16cid:durableId="99689335">
    <w:abstractNumId w:val="26"/>
  </w:num>
  <w:num w:numId="21" w16cid:durableId="1267888649">
    <w:abstractNumId w:val="6"/>
  </w:num>
  <w:num w:numId="22" w16cid:durableId="801726024">
    <w:abstractNumId w:val="11"/>
  </w:num>
  <w:num w:numId="23" w16cid:durableId="231700264">
    <w:abstractNumId w:val="33"/>
  </w:num>
  <w:num w:numId="24" w16cid:durableId="835808494">
    <w:abstractNumId w:val="1"/>
  </w:num>
  <w:num w:numId="25" w16cid:durableId="1731030894">
    <w:abstractNumId w:val="36"/>
  </w:num>
  <w:num w:numId="26" w16cid:durableId="1114520060">
    <w:abstractNumId w:val="22"/>
  </w:num>
  <w:num w:numId="27" w16cid:durableId="1096899475">
    <w:abstractNumId w:val="5"/>
  </w:num>
  <w:num w:numId="28" w16cid:durableId="142695800">
    <w:abstractNumId w:val="42"/>
  </w:num>
  <w:num w:numId="29" w16cid:durableId="1374038840">
    <w:abstractNumId w:val="2"/>
  </w:num>
  <w:num w:numId="30" w16cid:durableId="2010979440">
    <w:abstractNumId w:val="35"/>
  </w:num>
  <w:num w:numId="31" w16cid:durableId="640579146">
    <w:abstractNumId w:val="10"/>
  </w:num>
  <w:num w:numId="32" w16cid:durableId="1069499707">
    <w:abstractNumId w:val="27"/>
  </w:num>
  <w:num w:numId="33" w16cid:durableId="1031612836">
    <w:abstractNumId w:val="40"/>
  </w:num>
  <w:num w:numId="34" w16cid:durableId="1713454470">
    <w:abstractNumId w:val="17"/>
  </w:num>
  <w:num w:numId="35" w16cid:durableId="34164884">
    <w:abstractNumId w:val="31"/>
  </w:num>
  <w:num w:numId="36" w16cid:durableId="140849512">
    <w:abstractNumId w:val="28"/>
  </w:num>
  <w:num w:numId="37" w16cid:durableId="685641030">
    <w:abstractNumId w:val="34"/>
  </w:num>
  <w:num w:numId="38" w16cid:durableId="1934512233">
    <w:abstractNumId w:val="32"/>
  </w:num>
  <w:num w:numId="39" w16cid:durableId="503396219">
    <w:abstractNumId w:val="38"/>
  </w:num>
  <w:num w:numId="40" w16cid:durableId="690572897">
    <w:abstractNumId w:val="16"/>
  </w:num>
  <w:num w:numId="41" w16cid:durableId="607126966">
    <w:abstractNumId w:val="41"/>
  </w:num>
  <w:num w:numId="42" w16cid:durableId="755514523">
    <w:abstractNumId w:val="14"/>
  </w:num>
  <w:num w:numId="43" w16cid:durableId="1486238004">
    <w:abstractNumId w:val="29"/>
  </w:num>
  <w:num w:numId="44" w16cid:durableId="1819834779">
    <w:abstractNumId w:val="44"/>
  </w:num>
  <w:num w:numId="45" w16cid:durableId="122691163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33F"/>
    <w:rsid w:val="00003DD4"/>
    <w:rsid w:val="00007DBF"/>
    <w:rsid w:val="0001544F"/>
    <w:rsid w:val="0002262E"/>
    <w:rsid w:val="00025A34"/>
    <w:rsid w:val="0002638A"/>
    <w:rsid w:val="0002762E"/>
    <w:rsid w:val="00030665"/>
    <w:rsid w:val="00031B62"/>
    <w:rsid w:val="0004043A"/>
    <w:rsid w:val="00040E30"/>
    <w:rsid w:val="00043552"/>
    <w:rsid w:val="00046970"/>
    <w:rsid w:val="00051BD4"/>
    <w:rsid w:val="00053E4A"/>
    <w:rsid w:val="00057511"/>
    <w:rsid w:val="000607A5"/>
    <w:rsid w:val="000607CC"/>
    <w:rsid w:val="00060B7D"/>
    <w:rsid w:val="00061F2E"/>
    <w:rsid w:val="00062513"/>
    <w:rsid w:val="00062A77"/>
    <w:rsid w:val="00063342"/>
    <w:rsid w:val="00063DBC"/>
    <w:rsid w:val="00065842"/>
    <w:rsid w:val="00066886"/>
    <w:rsid w:val="0006797A"/>
    <w:rsid w:val="00073164"/>
    <w:rsid w:val="000734B7"/>
    <w:rsid w:val="000738D8"/>
    <w:rsid w:val="00074515"/>
    <w:rsid w:val="000761DA"/>
    <w:rsid w:val="00077B23"/>
    <w:rsid w:val="0008295B"/>
    <w:rsid w:val="000925B7"/>
    <w:rsid w:val="00093F1A"/>
    <w:rsid w:val="00097BD0"/>
    <w:rsid w:val="000A0671"/>
    <w:rsid w:val="000A306C"/>
    <w:rsid w:val="000A3E0E"/>
    <w:rsid w:val="000A470E"/>
    <w:rsid w:val="000A5314"/>
    <w:rsid w:val="000B05CC"/>
    <w:rsid w:val="000B125A"/>
    <w:rsid w:val="000B687C"/>
    <w:rsid w:val="000B7E28"/>
    <w:rsid w:val="000C18CB"/>
    <w:rsid w:val="000C3068"/>
    <w:rsid w:val="000C4578"/>
    <w:rsid w:val="000C5BB9"/>
    <w:rsid w:val="000D2133"/>
    <w:rsid w:val="000D46B9"/>
    <w:rsid w:val="000D70EA"/>
    <w:rsid w:val="000D7F2F"/>
    <w:rsid w:val="000E0D9B"/>
    <w:rsid w:val="000E4840"/>
    <w:rsid w:val="000E695E"/>
    <w:rsid w:val="000F2364"/>
    <w:rsid w:val="000F23A9"/>
    <w:rsid w:val="000F570D"/>
    <w:rsid w:val="000F69F6"/>
    <w:rsid w:val="000F72F4"/>
    <w:rsid w:val="00101D0A"/>
    <w:rsid w:val="00107AA9"/>
    <w:rsid w:val="00110611"/>
    <w:rsid w:val="001106AA"/>
    <w:rsid w:val="00111EDC"/>
    <w:rsid w:val="0011221A"/>
    <w:rsid w:val="001130CD"/>
    <w:rsid w:val="0011384E"/>
    <w:rsid w:val="001159E1"/>
    <w:rsid w:val="0011789D"/>
    <w:rsid w:val="00117DA6"/>
    <w:rsid w:val="00123264"/>
    <w:rsid w:val="00131B86"/>
    <w:rsid w:val="00133510"/>
    <w:rsid w:val="00136EF8"/>
    <w:rsid w:val="0014152C"/>
    <w:rsid w:val="001433AB"/>
    <w:rsid w:val="00146E92"/>
    <w:rsid w:val="001514EA"/>
    <w:rsid w:val="0015332B"/>
    <w:rsid w:val="00153D41"/>
    <w:rsid w:val="00154410"/>
    <w:rsid w:val="00155D97"/>
    <w:rsid w:val="00161DC8"/>
    <w:rsid w:val="0016209B"/>
    <w:rsid w:val="0016364F"/>
    <w:rsid w:val="0016440C"/>
    <w:rsid w:val="00164787"/>
    <w:rsid w:val="001653B2"/>
    <w:rsid w:val="00165701"/>
    <w:rsid w:val="00165B44"/>
    <w:rsid w:val="0016605E"/>
    <w:rsid w:val="00166248"/>
    <w:rsid w:val="00167224"/>
    <w:rsid w:val="00170882"/>
    <w:rsid w:val="00170BF3"/>
    <w:rsid w:val="001724AD"/>
    <w:rsid w:val="001738F2"/>
    <w:rsid w:val="00173C61"/>
    <w:rsid w:val="0017572A"/>
    <w:rsid w:val="001758A0"/>
    <w:rsid w:val="001768FE"/>
    <w:rsid w:val="00177815"/>
    <w:rsid w:val="0017785F"/>
    <w:rsid w:val="001805BA"/>
    <w:rsid w:val="001817DF"/>
    <w:rsid w:val="00184C42"/>
    <w:rsid w:val="00193524"/>
    <w:rsid w:val="00193E30"/>
    <w:rsid w:val="00194E86"/>
    <w:rsid w:val="001959AE"/>
    <w:rsid w:val="001A0CB1"/>
    <w:rsid w:val="001A0E6B"/>
    <w:rsid w:val="001A110A"/>
    <w:rsid w:val="001A1AE6"/>
    <w:rsid w:val="001A44DD"/>
    <w:rsid w:val="001A5998"/>
    <w:rsid w:val="001A7721"/>
    <w:rsid w:val="001A7BE4"/>
    <w:rsid w:val="001B178D"/>
    <w:rsid w:val="001B2ED1"/>
    <w:rsid w:val="001B3EFF"/>
    <w:rsid w:val="001B44F1"/>
    <w:rsid w:val="001C048B"/>
    <w:rsid w:val="001C2189"/>
    <w:rsid w:val="001C2195"/>
    <w:rsid w:val="001C3E48"/>
    <w:rsid w:val="001C4021"/>
    <w:rsid w:val="001C537C"/>
    <w:rsid w:val="001C78B5"/>
    <w:rsid w:val="001C7ABA"/>
    <w:rsid w:val="001D02F8"/>
    <w:rsid w:val="001D2E47"/>
    <w:rsid w:val="001D429D"/>
    <w:rsid w:val="001D6803"/>
    <w:rsid w:val="001D680E"/>
    <w:rsid w:val="001D773E"/>
    <w:rsid w:val="001E039E"/>
    <w:rsid w:val="001E0525"/>
    <w:rsid w:val="001E313F"/>
    <w:rsid w:val="001E7AC8"/>
    <w:rsid w:val="001F25CA"/>
    <w:rsid w:val="001F2A42"/>
    <w:rsid w:val="001F3024"/>
    <w:rsid w:val="001F355A"/>
    <w:rsid w:val="001F52FD"/>
    <w:rsid w:val="00204557"/>
    <w:rsid w:val="00204933"/>
    <w:rsid w:val="00204ADF"/>
    <w:rsid w:val="00205857"/>
    <w:rsid w:val="00206927"/>
    <w:rsid w:val="00206B30"/>
    <w:rsid w:val="002073E9"/>
    <w:rsid w:val="0021292C"/>
    <w:rsid w:val="002166EF"/>
    <w:rsid w:val="0021716E"/>
    <w:rsid w:val="00220106"/>
    <w:rsid w:val="0022285C"/>
    <w:rsid w:val="00223D71"/>
    <w:rsid w:val="002243CC"/>
    <w:rsid w:val="00225182"/>
    <w:rsid w:val="002302CB"/>
    <w:rsid w:val="00230D53"/>
    <w:rsid w:val="00231929"/>
    <w:rsid w:val="00233C96"/>
    <w:rsid w:val="0023405D"/>
    <w:rsid w:val="00234E5A"/>
    <w:rsid w:val="0023591D"/>
    <w:rsid w:val="002369AF"/>
    <w:rsid w:val="0023733D"/>
    <w:rsid w:val="0024051E"/>
    <w:rsid w:val="002419FE"/>
    <w:rsid w:val="00243B6D"/>
    <w:rsid w:val="00244C8A"/>
    <w:rsid w:val="00246AD5"/>
    <w:rsid w:val="00247256"/>
    <w:rsid w:val="0024799E"/>
    <w:rsid w:val="00250D13"/>
    <w:rsid w:val="0025384F"/>
    <w:rsid w:val="002539E9"/>
    <w:rsid w:val="00253E3C"/>
    <w:rsid w:val="00254251"/>
    <w:rsid w:val="00256899"/>
    <w:rsid w:val="00256E00"/>
    <w:rsid w:val="00262203"/>
    <w:rsid w:val="002624C5"/>
    <w:rsid w:val="002640D8"/>
    <w:rsid w:val="0026550E"/>
    <w:rsid w:val="00270E8E"/>
    <w:rsid w:val="00272853"/>
    <w:rsid w:val="00273B7E"/>
    <w:rsid w:val="002755C1"/>
    <w:rsid w:val="00277909"/>
    <w:rsid w:val="002803B2"/>
    <w:rsid w:val="00282CEC"/>
    <w:rsid w:val="002831F4"/>
    <w:rsid w:val="002838E4"/>
    <w:rsid w:val="002842E0"/>
    <w:rsid w:val="00284B7C"/>
    <w:rsid w:val="00285085"/>
    <w:rsid w:val="00290735"/>
    <w:rsid w:val="00292416"/>
    <w:rsid w:val="00297D79"/>
    <w:rsid w:val="002A1192"/>
    <w:rsid w:val="002A1B90"/>
    <w:rsid w:val="002A403D"/>
    <w:rsid w:val="002A5199"/>
    <w:rsid w:val="002A54BC"/>
    <w:rsid w:val="002A557C"/>
    <w:rsid w:val="002A55BD"/>
    <w:rsid w:val="002A6F7E"/>
    <w:rsid w:val="002B081F"/>
    <w:rsid w:val="002B1C18"/>
    <w:rsid w:val="002B25FD"/>
    <w:rsid w:val="002B5339"/>
    <w:rsid w:val="002B541C"/>
    <w:rsid w:val="002B5F93"/>
    <w:rsid w:val="002C2126"/>
    <w:rsid w:val="002D1FA9"/>
    <w:rsid w:val="002D20F1"/>
    <w:rsid w:val="002D30F8"/>
    <w:rsid w:val="002D4E00"/>
    <w:rsid w:val="002D6668"/>
    <w:rsid w:val="002E2DD5"/>
    <w:rsid w:val="002E364E"/>
    <w:rsid w:val="002E5C16"/>
    <w:rsid w:val="002E68A5"/>
    <w:rsid w:val="002E71F5"/>
    <w:rsid w:val="002F1379"/>
    <w:rsid w:val="002F1A26"/>
    <w:rsid w:val="002F32CE"/>
    <w:rsid w:val="002F33DF"/>
    <w:rsid w:val="002F7A19"/>
    <w:rsid w:val="00304167"/>
    <w:rsid w:val="0030435B"/>
    <w:rsid w:val="00304C7F"/>
    <w:rsid w:val="00306588"/>
    <w:rsid w:val="003130CE"/>
    <w:rsid w:val="0031352C"/>
    <w:rsid w:val="00314285"/>
    <w:rsid w:val="00315F6F"/>
    <w:rsid w:val="00316B00"/>
    <w:rsid w:val="003207C5"/>
    <w:rsid w:val="00320EA3"/>
    <w:rsid w:val="00323008"/>
    <w:rsid w:val="003232F8"/>
    <w:rsid w:val="00324788"/>
    <w:rsid w:val="0032582F"/>
    <w:rsid w:val="00325B4E"/>
    <w:rsid w:val="0032732F"/>
    <w:rsid w:val="003336A9"/>
    <w:rsid w:val="003338B9"/>
    <w:rsid w:val="00333F03"/>
    <w:rsid w:val="00334C79"/>
    <w:rsid w:val="00337384"/>
    <w:rsid w:val="003377BD"/>
    <w:rsid w:val="00340834"/>
    <w:rsid w:val="00340860"/>
    <w:rsid w:val="0034188D"/>
    <w:rsid w:val="003460A5"/>
    <w:rsid w:val="00351DA4"/>
    <w:rsid w:val="00352338"/>
    <w:rsid w:val="0035247A"/>
    <w:rsid w:val="00352910"/>
    <w:rsid w:val="00353315"/>
    <w:rsid w:val="0035557C"/>
    <w:rsid w:val="0035658F"/>
    <w:rsid w:val="00356DF3"/>
    <w:rsid w:val="0035722D"/>
    <w:rsid w:val="00357617"/>
    <w:rsid w:val="00362C83"/>
    <w:rsid w:val="00364180"/>
    <w:rsid w:val="00370760"/>
    <w:rsid w:val="003712DA"/>
    <w:rsid w:val="00372ED9"/>
    <w:rsid w:val="003745C1"/>
    <w:rsid w:val="003762C4"/>
    <w:rsid w:val="003767D6"/>
    <w:rsid w:val="00380DEE"/>
    <w:rsid w:val="0038257D"/>
    <w:rsid w:val="0038481F"/>
    <w:rsid w:val="00385D56"/>
    <w:rsid w:val="00385F5C"/>
    <w:rsid w:val="00387092"/>
    <w:rsid w:val="00387129"/>
    <w:rsid w:val="00390BA9"/>
    <w:rsid w:val="003913A5"/>
    <w:rsid w:val="003930F2"/>
    <w:rsid w:val="00395430"/>
    <w:rsid w:val="00395A7E"/>
    <w:rsid w:val="00396E0C"/>
    <w:rsid w:val="003A0C95"/>
    <w:rsid w:val="003A2881"/>
    <w:rsid w:val="003A2EAC"/>
    <w:rsid w:val="003A3D51"/>
    <w:rsid w:val="003A529D"/>
    <w:rsid w:val="003B0EA2"/>
    <w:rsid w:val="003B4CDB"/>
    <w:rsid w:val="003B543C"/>
    <w:rsid w:val="003B7B09"/>
    <w:rsid w:val="003B7E2B"/>
    <w:rsid w:val="003C088A"/>
    <w:rsid w:val="003C1D80"/>
    <w:rsid w:val="003C3200"/>
    <w:rsid w:val="003C6025"/>
    <w:rsid w:val="003C6482"/>
    <w:rsid w:val="003C6B22"/>
    <w:rsid w:val="003D1349"/>
    <w:rsid w:val="003D199A"/>
    <w:rsid w:val="003D1A69"/>
    <w:rsid w:val="003D1B70"/>
    <w:rsid w:val="003D27CB"/>
    <w:rsid w:val="003D27CD"/>
    <w:rsid w:val="003D37FD"/>
    <w:rsid w:val="003D3E85"/>
    <w:rsid w:val="003D60C7"/>
    <w:rsid w:val="003E3F29"/>
    <w:rsid w:val="003E5B24"/>
    <w:rsid w:val="003E7B5A"/>
    <w:rsid w:val="003F1C05"/>
    <w:rsid w:val="003F2721"/>
    <w:rsid w:val="003F68F2"/>
    <w:rsid w:val="003F71E3"/>
    <w:rsid w:val="004006A2"/>
    <w:rsid w:val="00400C63"/>
    <w:rsid w:val="00402F5A"/>
    <w:rsid w:val="004067A2"/>
    <w:rsid w:val="00407076"/>
    <w:rsid w:val="00407AC1"/>
    <w:rsid w:val="004105CE"/>
    <w:rsid w:val="004146C1"/>
    <w:rsid w:val="004168A2"/>
    <w:rsid w:val="00422673"/>
    <w:rsid w:val="00423F27"/>
    <w:rsid w:val="00424D93"/>
    <w:rsid w:val="004251A6"/>
    <w:rsid w:val="004269D4"/>
    <w:rsid w:val="00431D94"/>
    <w:rsid w:val="00433109"/>
    <w:rsid w:val="00433303"/>
    <w:rsid w:val="00435A26"/>
    <w:rsid w:val="00436F16"/>
    <w:rsid w:val="00444027"/>
    <w:rsid w:val="00444C0B"/>
    <w:rsid w:val="00445A87"/>
    <w:rsid w:val="00445D5D"/>
    <w:rsid w:val="00450095"/>
    <w:rsid w:val="00450B08"/>
    <w:rsid w:val="00451856"/>
    <w:rsid w:val="0045353A"/>
    <w:rsid w:val="00453AF7"/>
    <w:rsid w:val="0045432D"/>
    <w:rsid w:val="00455DE6"/>
    <w:rsid w:val="00455ECA"/>
    <w:rsid w:val="00457A0A"/>
    <w:rsid w:val="00460E69"/>
    <w:rsid w:val="004611CB"/>
    <w:rsid w:val="0046181F"/>
    <w:rsid w:val="00461A5C"/>
    <w:rsid w:val="00461B22"/>
    <w:rsid w:val="004625E4"/>
    <w:rsid w:val="004641FB"/>
    <w:rsid w:val="004648FB"/>
    <w:rsid w:val="00465D15"/>
    <w:rsid w:val="00466045"/>
    <w:rsid w:val="00466F7C"/>
    <w:rsid w:val="00472478"/>
    <w:rsid w:val="00473206"/>
    <w:rsid w:val="004741B6"/>
    <w:rsid w:val="00476CFC"/>
    <w:rsid w:val="0047723C"/>
    <w:rsid w:val="00477F69"/>
    <w:rsid w:val="00481BD4"/>
    <w:rsid w:val="00481CEC"/>
    <w:rsid w:val="00482EB8"/>
    <w:rsid w:val="00483CF0"/>
    <w:rsid w:val="00487BFA"/>
    <w:rsid w:val="00487E77"/>
    <w:rsid w:val="004904F7"/>
    <w:rsid w:val="00490933"/>
    <w:rsid w:val="00491445"/>
    <w:rsid w:val="00491448"/>
    <w:rsid w:val="004919C5"/>
    <w:rsid w:val="00492011"/>
    <w:rsid w:val="00492A43"/>
    <w:rsid w:val="00494846"/>
    <w:rsid w:val="004949D6"/>
    <w:rsid w:val="00495CDB"/>
    <w:rsid w:val="004967A9"/>
    <w:rsid w:val="00496DB5"/>
    <w:rsid w:val="004A1453"/>
    <w:rsid w:val="004A3388"/>
    <w:rsid w:val="004A5825"/>
    <w:rsid w:val="004A66AB"/>
    <w:rsid w:val="004B161E"/>
    <w:rsid w:val="004B19E8"/>
    <w:rsid w:val="004B495A"/>
    <w:rsid w:val="004B4CBD"/>
    <w:rsid w:val="004B5EBA"/>
    <w:rsid w:val="004B7663"/>
    <w:rsid w:val="004C0BC0"/>
    <w:rsid w:val="004C1EDC"/>
    <w:rsid w:val="004C2F16"/>
    <w:rsid w:val="004C33AB"/>
    <w:rsid w:val="004C4572"/>
    <w:rsid w:val="004C476A"/>
    <w:rsid w:val="004C581B"/>
    <w:rsid w:val="004C6386"/>
    <w:rsid w:val="004C65F6"/>
    <w:rsid w:val="004C6E1E"/>
    <w:rsid w:val="004C7492"/>
    <w:rsid w:val="004C7855"/>
    <w:rsid w:val="004D05F3"/>
    <w:rsid w:val="004D445C"/>
    <w:rsid w:val="004D5DAD"/>
    <w:rsid w:val="004D5E41"/>
    <w:rsid w:val="004D73F8"/>
    <w:rsid w:val="004D77E3"/>
    <w:rsid w:val="004E04D4"/>
    <w:rsid w:val="004E0F73"/>
    <w:rsid w:val="004E285E"/>
    <w:rsid w:val="004E6095"/>
    <w:rsid w:val="004E777C"/>
    <w:rsid w:val="004E7A65"/>
    <w:rsid w:val="004F0638"/>
    <w:rsid w:val="004F07A0"/>
    <w:rsid w:val="004F0852"/>
    <w:rsid w:val="004F129F"/>
    <w:rsid w:val="004F146B"/>
    <w:rsid w:val="004F7297"/>
    <w:rsid w:val="004F7608"/>
    <w:rsid w:val="005014B3"/>
    <w:rsid w:val="00506E1A"/>
    <w:rsid w:val="00510D90"/>
    <w:rsid w:val="005116D2"/>
    <w:rsid w:val="00513A1E"/>
    <w:rsid w:val="00515ABD"/>
    <w:rsid w:val="005164D7"/>
    <w:rsid w:val="00516AE3"/>
    <w:rsid w:val="00516DFF"/>
    <w:rsid w:val="00517B89"/>
    <w:rsid w:val="00523009"/>
    <w:rsid w:val="00523310"/>
    <w:rsid w:val="005257EC"/>
    <w:rsid w:val="005259C6"/>
    <w:rsid w:val="0052769E"/>
    <w:rsid w:val="00527BEB"/>
    <w:rsid w:val="00527E72"/>
    <w:rsid w:val="00527F0A"/>
    <w:rsid w:val="00530095"/>
    <w:rsid w:val="00530544"/>
    <w:rsid w:val="0053177B"/>
    <w:rsid w:val="005332EB"/>
    <w:rsid w:val="00534CE2"/>
    <w:rsid w:val="005372F4"/>
    <w:rsid w:val="0053799B"/>
    <w:rsid w:val="0054106E"/>
    <w:rsid w:val="0054156F"/>
    <w:rsid w:val="00541587"/>
    <w:rsid w:val="00542A77"/>
    <w:rsid w:val="00542F46"/>
    <w:rsid w:val="005430E5"/>
    <w:rsid w:val="005449D4"/>
    <w:rsid w:val="00546262"/>
    <w:rsid w:val="00546584"/>
    <w:rsid w:val="00550EB5"/>
    <w:rsid w:val="0055117C"/>
    <w:rsid w:val="00553812"/>
    <w:rsid w:val="00554807"/>
    <w:rsid w:val="00555267"/>
    <w:rsid w:val="00555B51"/>
    <w:rsid w:val="00555D8F"/>
    <w:rsid w:val="0055696E"/>
    <w:rsid w:val="00557341"/>
    <w:rsid w:val="005607AB"/>
    <w:rsid w:val="00562D33"/>
    <w:rsid w:val="0056472F"/>
    <w:rsid w:val="005656BE"/>
    <w:rsid w:val="005661DC"/>
    <w:rsid w:val="005671A5"/>
    <w:rsid w:val="00571164"/>
    <w:rsid w:val="005712B1"/>
    <w:rsid w:val="005713F2"/>
    <w:rsid w:val="00572FA5"/>
    <w:rsid w:val="005735CC"/>
    <w:rsid w:val="00573C43"/>
    <w:rsid w:val="00573D31"/>
    <w:rsid w:val="00573F7C"/>
    <w:rsid w:val="00574620"/>
    <w:rsid w:val="005756DF"/>
    <w:rsid w:val="00576104"/>
    <w:rsid w:val="005779B8"/>
    <w:rsid w:val="00577AF8"/>
    <w:rsid w:val="00581347"/>
    <w:rsid w:val="0058371B"/>
    <w:rsid w:val="00585995"/>
    <w:rsid w:val="005864DC"/>
    <w:rsid w:val="00590719"/>
    <w:rsid w:val="00590D8D"/>
    <w:rsid w:val="00595EB1"/>
    <w:rsid w:val="0059673A"/>
    <w:rsid w:val="005A0B6F"/>
    <w:rsid w:val="005A20B8"/>
    <w:rsid w:val="005A25AB"/>
    <w:rsid w:val="005A2AE7"/>
    <w:rsid w:val="005A2D7C"/>
    <w:rsid w:val="005A3CB7"/>
    <w:rsid w:val="005A3F6F"/>
    <w:rsid w:val="005A40C8"/>
    <w:rsid w:val="005A589A"/>
    <w:rsid w:val="005A729E"/>
    <w:rsid w:val="005B0305"/>
    <w:rsid w:val="005B1EB2"/>
    <w:rsid w:val="005B1EE0"/>
    <w:rsid w:val="005B6E76"/>
    <w:rsid w:val="005B7371"/>
    <w:rsid w:val="005B7B31"/>
    <w:rsid w:val="005B7B9A"/>
    <w:rsid w:val="005C226F"/>
    <w:rsid w:val="005C2409"/>
    <w:rsid w:val="005C60B0"/>
    <w:rsid w:val="005C6CEB"/>
    <w:rsid w:val="005C7D1C"/>
    <w:rsid w:val="005D2BFB"/>
    <w:rsid w:val="005D6249"/>
    <w:rsid w:val="005D70EE"/>
    <w:rsid w:val="005D7CF8"/>
    <w:rsid w:val="005E0029"/>
    <w:rsid w:val="005E015C"/>
    <w:rsid w:val="005E080F"/>
    <w:rsid w:val="005E0CDA"/>
    <w:rsid w:val="005E1D37"/>
    <w:rsid w:val="005E2048"/>
    <w:rsid w:val="005E2DDE"/>
    <w:rsid w:val="005E3FFA"/>
    <w:rsid w:val="005E4154"/>
    <w:rsid w:val="005E44FA"/>
    <w:rsid w:val="005F0591"/>
    <w:rsid w:val="005F2D96"/>
    <w:rsid w:val="005F3372"/>
    <w:rsid w:val="005F46A7"/>
    <w:rsid w:val="005F5122"/>
    <w:rsid w:val="005F575F"/>
    <w:rsid w:val="005F5B74"/>
    <w:rsid w:val="005F703E"/>
    <w:rsid w:val="006039F7"/>
    <w:rsid w:val="00604D4E"/>
    <w:rsid w:val="00604D65"/>
    <w:rsid w:val="0060602E"/>
    <w:rsid w:val="006122F4"/>
    <w:rsid w:val="00613DAC"/>
    <w:rsid w:val="006178ED"/>
    <w:rsid w:val="00617DD3"/>
    <w:rsid w:val="0062023F"/>
    <w:rsid w:val="00624594"/>
    <w:rsid w:val="00626F66"/>
    <w:rsid w:val="00630B0C"/>
    <w:rsid w:val="00632710"/>
    <w:rsid w:val="006345BA"/>
    <w:rsid w:val="00635F7B"/>
    <w:rsid w:val="00640FAC"/>
    <w:rsid w:val="00643280"/>
    <w:rsid w:val="00644F6A"/>
    <w:rsid w:val="00650BA4"/>
    <w:rsid w:val="00650D19"/>
    <w:rsid w:val="00653824"/>
    <w:rsid w:val="00655120"/>
    <w:rsid w:val="006554C6"/>
    <w:rsid w:val="0065754E"/>
    <w:rsid w:val="006577B1"/>
    <w:rsid w:val="006616CF"/>
    <w:rsid w:val="0066188C"/>
    <w:rsid w:val="00663086"/>
    <w:rsid w:val="006646A5"/>
    <w:rsid w:val="0066479B"/>
    <w:rsid w:val="00666021"/>
    <w:rsid w:val="006664AC"/>
    <w:rsid w:val="00670C7B"/>
    <w:rsid w:val="00672E4A"/>
    <w:rsid w:val="0067425B"/>
    <w:rsid w:val="0067466A"/>
    <w:rsid w:val="006753F4"/>
    <w:rsid w:val="006755D3"/>
    <w:rsid w:val="00676870"/>
    <w:rsid w:val="00680436"/>
    <w:rsid w:val="0068276B"/>
    <w:rsid w:val="00682D6C"/>
    <w:rsid w:val="006852A0"/>
    <w:rsid w:val="006858E5"/>
    <w:rsid w:val="0068790E"/>
    <w:rsid w:val="00687DEB"/>
    <w:rsid w:val="00694BDD"/>
    <w:rsid w:val="00694E06"/>
    <w:rsid w:val="0069586E"/>
    <w:rsid w:val="006A0026"/>
    <w:rsid w:val="006A1324"/>
    <w:rsid w:val="006A1AF2"/>
    <w:rsid w:val="006A7A5F"/>
    <w:rsid w:val="006A7CEC"/>
    <w:rsid w:val="006B0026"/>
    <w:rsid w:val="006B14B2"/>
    <w:rsid w:val="006B22ED"/>
    <w:rsid w:val="006B328E"/>
    <w:rsid w:val="006B33A1"/>
    <w:rsid w:val="006B3AE0"/>
    <w:rsid w:val="006B44DE"/>
    <w:rsid w:val="006C0356"/>
    <w:rsid w:val="006C2A01"/>
    <w:rsid w:val="006C3288"/>
    <w:rsid w:val="006C35FB"/>
    <w:rsid w:val="006C6517"/>
    <w:rsid w:val="006C79D2"/>
    <w:rsid w:val="006D0AE8"/>
    <w:rsid w:val="006D0D1A"/>
    <w:rsid w:val="006D1148"/>
    <w:rsid w:val="006D1282"/>
    <w:rsid w:val="006E1029"/>
    <w:rsid w:val="006E10FA"/>
    <w:rsid w:val="006E2134"/>
    <w:rsid w:val="006E5C6F"/>
    <w:rsid w:val="006E6051"/>
    <w:rsid w:val="006E613D"/>
    <w:rsid w:val="006F1B47"/>
    <w:rsid w:val="006F3FC3"/>
    <w:rsid w:val="006F7491"/>
    <w:rsid w:val="00702FE0"/>
    <w:rsid w:val="00703D0A"/>
    <w:rsid w:val="00703F9F"/>
    <w:rsid w:val="0070545D"/>
    <w:rsid w:val="0070565E"/>
    <w:rsid w:val="00706C7B"/>
    <w:rsid w:val="0070766B"/>
    <w:rsid w:val="007117FF"/>
    <w:rsid w:val="00711E45"/>
    <w:rsid w:val="007122CB"/>
    <w:rsid w:val="00716058"/>
    <w:rsid w:val="00717581"/>
    <w:rsid w:val="00722252"/>
    <w:rsid w:val="00722EFC"/>
    <w:rsid w:val="00723976"/>
    <w:rsid w:val="00723EF0"/>
    <w:rsid w:val="00726606"/>
    <w:rsid w:val="00732B43"/>
    <w:rsid w:val="00732D86"/>
    <w:rsid w:val="00734153"/>
    <w:rsid w:val="00735199"/>
    <w:rsid w:val="00736362"/>
    <w:rsid w:val="00737210"/>
    <w:rsid w:val="00737C8B"/>
    <w:rsid w:val="00741868"/>
    <w:rsid w:val="00742EC0"/>
    <w:rsid w:val="00744C26"/>
    <w:rsid w:val="007454CB"/>
    <w:rsid w:val="00746B67"/>
    <w:rsid w:val="00747BC1"/>
    <w:rsid w:val="00750EA8"/>
    <w:rsid w:val="00750FB0"/>
    <w:rsid w:val="00753AC6"/>
    <w:rsid w:val="00754B7C"/>
    <w:rsid w:val="00754DAA"/>
    <w:rsid w:val="00754F8F"/>
    <w:rsid w:val="007567EA"/>
    <w:rsid w:val="00756ACC"/>
    <w:rsid w:val="00760B00"/>
    <w:rsid w:val="00760BCA"/>
    <w:rsid w:val="00761B10"/>
    <w:rsid w:val="007621B7"/>
    <w:rsid w:val="00762558"/>
    <w:rsid w:val="00766FB2"/>
    <w:rsid w:val="007712E3"/>
    <w:rsid w:val="00772CEB"/>
    <w:rsid w:val="007735EC"/>
    <w:rsid w:val="00775662"/>
    <w:rsid w:val="00783CEC"/>
    <w:rsid w:val="00783D1C"/>
    <w:rsid w:val="00784E1E"/>
    <w:rsid w:val="00785EFA"/>
    <w:rsid w:val="0079000E"/>
    <w:rsid w:val="007917CF"/>
    <w:rsid w:val="00792113"/>
    <w:rsid w:val="00793ACE"/>
    <w:rsid w:val="007A054D"/>
    <w:rsid w:val="007A1327"/>
    <w:rsid w:val="007A3E48"/>
    <w:rsid w:val="007A4D8F"/>
    <w:rsid w:val="007A587B"/>
    <w:rsid w:val="007A7110"/>
    <w:rsid w:val="007B1B0F"/>
    <w:rsid w:val="007B5C11"/>
    <w:rsid w:val="007B7157"/>
    <w:rsid w:val="007B7D16"/>
    <w:rsid w:val="007C11C0"/>
    <w:rsid w:val="007C2A8E"/>
    <w:rsid w:val="007C501D"/>
    <w:rsid w:val="007D08C7"/>
    <w:rsid w:val="007D2E3F"/>
    <w:rsid w:val="007D30D6"/>
    <w:rsid w:val="007D379B"/>
    <w:rsid w:val="007D49C6"/>
    <w:rsid w:val="007D59D5"/>
    <w:rsid w:val="007D685A"/>
    <w:rsid w:val="007E201E"/>
    <w:rsid w:val="007E5250"/>
    <w:rsid w:val="007E598F"/>
    <w:rsid w:val="007E6581"/>
    <w:rsid w:val="007E6F63"/>
    <w:rsid w:val="007F0734"/>
    <w:rsid w:val="007F0A88"/>
    <w:rsid w:val="007F1AC8"/>
    <w:rsid w:val="007F29E7"/>
    <w:rsid w:val="007F3B2E"/>
    <w:rsid w:val="007F548E"/>
    <w:rsid w:val="007F609D"/>
    <w:rsid w:val="007F7407"/>
    <w:rsid w:val="007F7BEA"/>
    <w:rsid w:val="00800220"/>
    <w:rsid w:val="00800E22"/>
    <w:rsid w:val="00801AB3"/>
    <w:rsid w:val="008040A9"/>
    <w:rsid w:val="00805031"/>
    <w:rsid w:val="00805B46"/>
    <w:rsid w:val="008070C9"/>
    <w:rsid w:val="00811BE4"/>
    <w:rsid w:val="008122B5"/>
    <w:rsid w:val="0081293B"/>
    <w:rsid w:val="0081311E"/>
    <w:rsid w:val="008140C3"/>
    <w:rsid w:val="0081553B"/>
    <w:rsid w:val="00817396"/>
    <w:rsid w:val="008177B4"/>
    <w:rsid w:val="00817A00"/>
    <w:rsid w:val="00820341"/>
    <w:rsid w:val="00822244"/>
    <w:rsid w:val="00822CD9"/>
    <w:rsid w:val="00823A09"/>
    <w:rsid w:val="008240B5"/>
    <w:rsid w:val="00824AA1"/>
    <w:rsid w:val="0082636A"/>
    <w:rsid w:val="00826BE9"/>
    <w:rsid w:val="00827A71"/>
    <w:rsid w:val="00827B2D"/>
    <w:rsid w:val="00833F30"/>
    <w:rsid w:val="00833F37"/>
    <w:rsid w:val="00835668"/>
    <w:rsid w:val="008371B9"/>
    <w:rsid w:val="00842ED8"/>
    <w:rsid w:val="00843C85"/>
    <w:rsid w:val="00843EB0"/>
    <w:rsid w:val="00844C62"/>
    <w:rsid w:val="008467BB"/>
    <w:rsid w:val="008473B3"/>
    <w:rsid w:val="00850331"/>
    <w:rsid w:val="0085145E"/>
    <w:rsid w:val="0085154E"/>
    <w:rsid w:val="00852405"/>
    <w:rsid w:val="0085527C"/>
    <w:rsid w:val="00856C3C"/>
    <w:rsid w:val="00857A75"/>
    <w:rsid w:val="00861134"/>
    <w:rsid w:val="00861E25"/>
    <w:rsid w:val="008625CB"/>
    <w:rsid w:val="008637B7"/>
    <w:rsid w:val="0086446F"/>
    <w:rsid w:val="008645A3"/>
    <w:rsid w:val="00864C3B"/>
    <w:rsid w:val="0086511A"/>
    <w:rsid w:val="00867DCA"/>
    <w:rsid w:val="0087113F"/>
    <w:rsid w:val="0087476E"/>
    <w:rsid w:val="00874AC1"/>
    <w:rsid w:val="0087682A"/>
    <w:rsid w:val="00880E01"/>
    <w:rsid w:val="0088141B"/>
    <w:rsid w:val="00881DD8"/>
    <w:rsid w:val="00883376"/>
    <w:rsid w:val="008861B7"/>
    <w:rsid w:val="00887759"/>
    <w:rsid w:val="008879A6"/>
    <w:rsid w:val="00891BCE"/>
    <w:rsid w:val="00892DD3"/>
    <w:rsid w:val="00894866"/>
    <w:rsid w:val="008965F4"/>
    <w:rsid w:val="008976EA"/>
    <w:rsid w:val="008A0850"/>
    <w:rsid w:val="008A2A0E"/>
    <w:rsid w:val="008A2EA7"/>
    <w:rsid w:val="008A61FE"/>
    <w:rsid w:val="008A653D"/>
    <w:rsid w:val="008A79A7"/>
    <w:rsid w:val="008B01B9"/>
    <w:rsid w:val="008B0C66"/>
    <w:rsid w:val="008B155E"/>
    <w:rsid w:val="008B22AF"/>
    <w:rsid w:val="008C0E74"/>
    <w:rsid w:val="008C1269"/>
    <w:rsid w:val="008C30A3"/>
    <w:rsid w:val="008C75FE"/>
    <w:rsid w:val="008D03C4"/>
    <w:rsid w:val="008D0AF6"/>
    <w:rsid w:val="008D15EA"/>
    <w:rsid w:val="008D1634"/>
    <w:rsid w:val="008D1BAC"/>
    <w:rsid w:val="008D3D30"/>
    <w:rsid w:val="008D6F42"/>
    <w:rsid w:val="008D7127"/>
    <w:rsid w:val="008E317D"/>
    <w:rsid w:val="008E450E"/>
    <w:rsid w:val="008E4A00"/>
    <w:rsid w:val="008E5A81"/>
    <w:rsid w:val="008E5AFB"/>
    <w:rsid w:val="008E5C44"/>
    <w:rsid w:val="008E6582"/>
    <w:rsid w:val="008E778C"/>
    <w:rsid w:val="008F48FE"/>
    <w:rsid w:val="008F5995"/>
    <w:rsid w:val="008F60D1"/>
    <w:rsid w:val="00901F79"/>
    <w:rsid w:val="00902B3E"/>
    <w:rsid w:val="00903C02"/>
    <w:rsid w:val="009046F0"/>
    <w:rsid w:val="00906369"/>
    <w:rsid w:val="009071AE"/>
    <w:rsid w:val="00911B2B"/>
    <w:rsid w:val="00911F5F"/>
    <w:rsid w:val="00912247"/>
    <w:rsid w:val="00912A99"/>
    <w:rsid w:val="00915023"/>
    <w:rsid w:val="00922D6F"/>
    <w:rsid w:val="00926016"/>
    <w:rsid w:val="009263D1"/>
    <w:rsid w:val="00930236"/>
    <w:rsid w:val="00931702"/>
    <w:rsid w:val="00931BB2"/>
    <w:rsid w:val="00931BC9"/>
    <w:rsid w:val="0093256F"/>
    <w:rsid w:val="0093284B"/>
    <w:rsid w:val="00933B6D"/>
    <w:rsid w:val="009341CE"/>
    <w:rsid w:val="0093712F"/>
    <w:rsid w:val="00937C51"/>
    <w:rsid w:val="009400FC"/>
    <w:rsid w:val="00940E8C"/>
    <w:rsid w:val="009430F8"/>
    <w:rsid w:val="0094734A"/>
    <w:rsid w:val="00947850"/>
    <w:rsid w:val="009505AE"/>
    <w:rsid w:val="009534BB"/>
    <w:rsid w:val="0095455E"/>
    <w:rsid w:val="00956806"/>
    <w:rsid w:val="0095789D"/>
    <w:rsid w:val="009611DC"/>
    <w:rsid w:val="00962729"/>
    <w:rsid w:val="0096696D"/>
    <w:rsid w:val="00970C2B"/>
    <w:rsid w:val="00972E29"/>
    <w:rsid w:val="00972FB8"/>
    <w:rsid w:val="00973931"/>
    <w:rsid w:val="0097586A"/>
    <w:rsid w:val="00975890"/>
    <w:rsid w:val="00980685"/>
    <w:rsid w:val="00982796"/>
    <w:rsid w:val="00982C42"/>
    <w:rsid w:val="00984D36"/>
    <w:rsid w:val="00986746"/>
    <w:rsid w:val="00986F62"/>
    <w:rsid w:val="00987C64"/>
    <w:rsid w:val="009A1AE6"/>
    <w:rsid w:val="009A35BF"/>
    <w:rsid w:val="009A46D6"/>
    <w:rsid w:val="009A4D62"/>
    <w:rsid w:val="009A50DB"/>
    <w:rsid w:val="009A7CFA"/>
    <w:rsid w:val="009A7DA0"/>
    <w:rsid w:val="009B0DC1"/>
    <w:rsid w:val="009B7D9D"/>
    <w:rsid w:val="009C12B9"/>
    <w:rsid w:val="009C1BE8"/>
    <w:rsid w:val="009C6C1B"/>
    <w:rsid w:val="009C7A23"/>
    <w:rsid w:val="009C7B66"/>
    <w:rsid w:val="009D1822"/>
    <w:rsid w:val="009D2645"/>
    <w:rsid w:val="009D4AA8"/>
    <w:rsid w:val="009D6E6F"/>
    <w:rsid w:val="009D77EF"/>
    <w:rsid w:val="009D7978"/>
    <w:rsid w:val="009E063D"/>
    <w:rsid w:val="009E5DFD"/>
    <w:rsid w:val="009F0515"/>
    <w:rsid w:val="009F11F1"/>
    <w:rsid w:val="009F19F8"/>
    <w:rsid w:val="009F74E7"/>
    <w:rsid w:val="00A0046A"/>
    <w:rsid w:val="00A0146F"/>
    <w:rsid w:val="00A02EE0"/>
    <w:rsid w:val="00A055C5"/>
    <w:rsid w:val="00A10665"/>
    <w:rsid w:val="00A178A3"/>
    <w:rsid w:val="00A17992"/>
    <w:rsid w:val="00A17B7B"/>
    <w:rsid w:val="00A17D9F"/>
    <w:rsid w:val="00A2332A"/>
    <w:rsid w:val="00A23E41"/>
    <w:rsid w:val="00A24C60"/>
    <w:rsid w:val="00A260C4"/>
    <w:rsid w:val="00A26BC1"/>
    <w:rsid w:val="00A27CC2"/>
    <w:rsid w:val="00A3038C"/>
    <w:rsid w:val="00A31854"/>
    <w:rsid w:val="00A31ECA"/>
    <w:rsid w:val="00A32882"/>
    <w:rsid w:val="00A409BC"/>
    <w:rsid w:val="00A41167"/>
    <w:rsid w:val="00A4689D"/>
    <w:rsid w:val="00A475E8"/>
    <w:rsid w:val="00A50273"/>
    <w:rsid w:val="00A50F98"/>
    <w:rsid w:val="00A53AA6"/>
    <w:rsid w:val="00A54AAC"/>
    <w:rsid w:val="00A54B55"/>
    <w:rsid w:val="00A610A8"/>
    <w:rsid w:val="00A61FB1"/>
    <w:rsid w:val="00A62E6A"/>
    <w:rsid w:val="00A63246"/>
    <w:rsid w:val="00A63B86"/>
    <w:rsid w:val="00A66452"/>
    <w:rsid w:val="00A66D1F"/>
    <w:rsid w:val="00A70621"/>
    <w:rsid w:val="00A70F1E"/>
    <w:rsid w:val="00A71B4F"/>
    <w:rsid w:val="00A71F49"/>
    <w:rsid w:val="00A7577F"/>
    <w:rsid w:val="00A7650A"/>
    <w:rsid w:val="00A765A1"/>
    <w:rsid w:val="00A76A37"/>
    <w:rsid w:val="00A80B78"/>
    <w:rsid w:val="00A814E2"/>
    <w:rsid w:val="00A82A5A"/>
    <w:rsid w:val="00A83105"/>
    <w:rsid w:val="00A83695"/>
    <w:rsid w:val="00A86640"/>
    <w:rsid w:val="00A87B08"/>
    <w:rsid w:val="00A91614"/>
    <w:rsid w:val="00A92623"/>
    <w:rsid w:val="00A92F75"/>
    <w:rsid w:val="00A94CFA"/>
    <w:rsid w:val="00A9702D"/>
    <w:rsid w:val="00AA02DC"/>
    <w:rsid w:val="00AA0371"/>
    <w:rsid w:val="00AA057E"/>
    <w:rsid w:val="00AA354A"/>
    <w:rsid w:val="00AA3A3D"/>
    <w:rsid w:val="00AB0593"/>
    <w:rsid w:val="00AB1995"/>
    <w:rsid w:val="00AB5333"/>
    <w:rsid w:val="00AB794D"/>
    <w:rsid w:val="00AB7B50"/>
    <w:rsid w:val="00AC0128"/>
    <w:rsid w:val="00AC182D"/>
    <w:rsid w:val="00AC224B"/>
    <w:rsid w:val="00AC4709"/>
    <w:rsid w:val="00AC483E"/>
    <w:rsid w:val="00AC524C"/>
    <w:rsid w:val="00AC54C9"/>
    <w:rsid w:val="00AC778A"/>
    <w:rsid w:val="00AD166C"/>
    <w:rsid w:val="00AD20D4"/>
    <w:rsid w:val="00AD216F"/>
    <w:rsid w:val="00AD336D"/>
    <w:rsid w:val="00AD6FC2"/>
    <w:rsid w:val="00AE0D41"/>
    <w:rsid w:val="00AE1427"/>
    <w:rsid w:val="00AE2BB8"/>
    <w:rsid w:val="00AE3474"/>
    <w:rsid w:val="00AE4335"/>
    <w:rsid w:val="00AE4A1C"/>
    <w:rsid w:val="00AE5E29"/>
    <w:rsid w:val="00AE68DF"/>
    <w:rsid w:val="00AF0A66"/>
    <w:rsid w:val="00AF0B70"/>
    <w:rsid w:val="00AF1924"/>
    <w:rsid w:val="00AF1B1F"/>
    <w:rsid w:val="00AF4D7A"/>
    <w:rsid w:val="00B01458"/>
    <w:rsid w:val="00B03864"/>
    <w:rsid w:val="00B04905"/>
    <w:rsid w:val="00B05790"/>
    <w:rsid w:val="00B05BF0"/>
    <w:rsid w:val="00B061FB"/>
    <w:rsid w:val="00B073C8"/>
    <w:rsid w:val="00B10874"/>
    <w:rsid w:val="00B114B8"/>
    <w:rsid w:val="00B11EBC"/>
    <w:rsid w:val="00B12379"/>
    <w:rsid w:val="00B134C0"/>
    <w:rsid w:val="00B1356F"/>
    <w:rsid w:val="00B146A9"/>
    <w:rsid w:val="00B153FC"/>
    <w:rsid w:val="00B16368"/>
    <w:rsid w:val="00B17E29"/>
    <w:rsid w:val="00B203FF"/>
    <w:rsid w:val="00B216DB"/>
    <w:rsid w:val="00B21F82"/>
    <w:rsid w:val="00B227C6"/>
    <w:rsid w:val="00B258C7"/>
    <w:rsid w:val="00B26BE1"/>
    <w:rsid w:val="00B275BE"/>
    <w:rsid w:val="00B30F80"/>
    <w:rsid w:val="00B345B5"/>
    <w:rsid w:val="00B365AF"/>
    <w:rsid w:val="00B47090"/>
    <w:rsid w:val="00B54119"/>
    <w:rsid w:val="00B5423C"/>
    <w:rsid w:val="00B5425F"/>
    <w:rsid w:val="00B54C0A"/>
    <w:rsid w:val="00B54DEC"/>
    <w:rsid w:val="00B54E3D"/>
    <w:rsid w:val="00B55934"/>
    <w:rsid w:val="00B56B6D"/>
    <w:rsid w:val="00B61118"/>
    <w:rsid w:val="00B6113F"/>
    <w:rsid w:val="00B61DD7"/>
    <w:rsid w:val="00B64E4A"/>
    <w:rsid w:val="00B65E8C"/>
    <w:rsid w:val="00B67DC9"/>
    <w:rsid w:val="00B71ACD"/>
    <w:rsid w:val="00B71D88"/>
    <w:rsid w:val="00B72E3E"/>
    <w:rsid w:val="00B73468"/>
    <w:rsid w:val="00B75565"/>
    <w:rsid w:val="00B775D9"/>
    <w:rsid w:val="00B81927"/>
    <w:rsid w:val="00B8325C"/>
    <w:rsid w:val="00B83598"/>
    <w:rsid w:val="00B83B87"/>
    <w:rsid w:val="00B84DEA"/>
    <w:rsid w:val="00B866F5"/>
    <w:rsid w:val="00B950B0"/>
    <w:rsid w:val="00B95302"/>
    <w:rsid w:val="00B95F39"/>
    <w:rsid w:val="00B9668E"/>
    <w:rsid w:val="00BA04FD"/>
    <w:rsid w:val="00BA15E9"/>
    <w:rsid w:val="00BA1A1D"/>
    <w:rsid w:val="00BA3795"/>
    <w:rsid w:val="00BA45AB"/>
    <w:rsid w:val="00BA6D9C"/>
    <w:rsid w:val="00BB06ED"/>
    <w:rsid w:val="00BB0AE3"/>
    <w:rsid w:val="00BB1FD7"/>
    <w:rsid w:val="00BB75CF"/>
    <w:rsid w:val="00BB762C"/>
    <w:rsid w:val="00BC1104"/>
    <w:rsid w:val="00BC1B2F"/>
    <w:rsid w:val="00BC28A7"/>
    <w:rsid w:val="00BC393B"/>
    <w:rsid w:val="00BC4223"/>
    <w:rsid w:val="00BC4294"/>
    <w:rsid w:val="00BC59AC"/>
    <w:rsid w:val="00BC7B55"/>
    <w:rsid w:val="00BD0D18"/>
    <w:rsid w:val="00BD0D90"/>
    <w:rsid w:val="00BD3470"/>
    <w:rsid w:val="00BD38DD"/>
    <w:rsid w:val="00BD3B36"/>
    <w:rsid w:val="00BD405C"/>
    <w:rsid w:val="00BD5650"/>
    <w:rsid w:val="00BD5BCF"/>
    <w:rsid w:val="00BE05DA"/>
    <w:rsid w:val="00BE0A20"/>
    <w:rsid w:val="00BE2B7C"/>
    <w:rsid w:val="00BE2EBA"/>
    <w:rsid w:val="00BE4AFB"/>
    <w:rsid w:val="00BE585E"/>
    <w:rsid w:val="00BF0CD6"/>
    <w:rsid w:val="00BF2E99"/>
    <w:rsid w:val="00BF5443"/>
    <w:rsid w:val="00C0043B"/>
    <w:rsid w:val="00C064AE"/>
    <w:rsid w:val="00C0768B"/>
    <w:rsid w:val="00C1104A"/>
    <w:rsid w:val="00C11EA6"/>
    <w:rsid w:val="00C1549F"/>
    <w:rsid w:val="00C15DC9"/>
    <w:rsid w:val="00C16391"/>
    <w:rsid w:val="00C16EF9"/>
    <w:rsid w:val="00C17718"/>
    <w:rsid w:val="00C17722"/>
    <w:rsid w:val="00C21281"/>
    <w:rsid w:val="00C21B5A"/>
    <w:rsid w:val="00C23182"/>
    <w:rsid w:val="00C24D3D"/>
    <w:rsid w:val="00C263CC"/>
    <w:rsid w:val="00C30FAD"/>
    <w:rsid w:val="00C3194D"/>
    <w:rsid w:val="00C3277B"/>
    <w:rsid w:val="00C32C40"/>
    <w:rsid w:val="00C35BDB"/>
    <w:rsid w:val="00C36636"/>
    <w:rsid w:val="00C36820"/>
    <w:rsid w:val="00C37532"/>
    <w:rsid w:val="00C4097F"/>
    <w:rsid w:val="00C42A53"/>
    <w:rsid w:val="00C43643"/>
    <w:rsid w:val="00C44CAC"/>
    <w:rsid w:val="00C4583C"/>
    <w:rsid w:val="00C45DCA"/>
    <w:rsid w:val="00C511AE"/>
    <w:rsid w:val="00C51796"/>
    <w:rsid w:val="00C51911"/>
    <w:rsid w:val="00C51F0F"/>
    <w:rsid w:val="00C53C50"/>
    <w:rsid w:val="00C56226"/>
    <w:rsid w:val="00C56483"/>
    <w:rsid w:val="00C579AA"/>
    <w:rsid w:val="00C6031E"/>
    <w:rsid w:val="00C641C7"/>
    <w:rsid w:val="00C7071C"/>
    <w:rsid w:val="00C71DFF"/>
    <w:rsid w:val="00C72BBC"/>
    <w:rsid w:val="00C75B19"/>
    <w:rsid w:val="00C768CD"/>
    <w:rsid w:val="00C76DA2"/>
    <w:rsid w:val="00C8067C"/>
    <w:rsid w:val="00C81D9A"/>
    <w:rsid w:val="00C834A6"/>
    <w:rsid w:val="00C852FD"/>
    <w:rsid w:val="00C86633"/>
    <w:rsid w:val="00C87F7B"/>
    <w:rsid w:val="00C9051E"/>
    <w:rsid w:val="00C9079B"/>
    <w:rsid w:val="00C93456"/>
    <w:rsid w:val="00C94D42"/>
    <w:rsid w:val="00C95198"/>
    <w:rsid w:val="00C96233"/>
    <w:rsid w:val="00C962BD"/>
    <w:rsid w:val="00C96CBD"/>
    <w:rsid w:val="00C97768"/>
    <w:rsid w:val="00CA1779"/>
    <w:rsid w:val="00CA212C"/>
    <w:rsid w:val="00CA2B86"/>
    <w:rsid w:val="00CA37E8"/>
    <w:rsid w:val="00CA41DE"/>
    <w:rsid w:val="00CB193E"/>
    <w:rsid w:val="00CB2457"/>
    <w:rsid w:val="00CB4049"/>
    <w:rsid w:val="00CB44F0"/>
    <w:rsid w:val="00CB45A3"/>
    <w:rsid w:val="00CC35CE"/>
    <w:rsid w:val="00CC361E"/>
    <w:rsid w:val="00CC3A34"/>
    <w:rsid w:val="00CC3C11"/>
    <w:rsid w:val="00CC4E4A"/>
    <w:rsid w:val="00CC5536"/>
    <w:rsid w:val="00CC67CB"/>
    <w:rsid w:val="00CC7CEE"/>
    <w:rsid w:val="00CC7E64"/>
    <w:rsid w:val="00CD0857"/>
    <w:rsid w:val="00CD0954"/>
    <w:rsid w:val="00CD3948"/>
    <w:rsid w:val="00CD3FF4"/>
    <w:rsid w:val="00CE40F8"/>
    <w:rsid w:val="00CE4BCF"/>
    <w:rsid w:val="00CE66EF"/>
    <w:rsid w:val="00CE737F"/>
    <w:rsid w:val="00CE7E98"/>
    <w:rsid w:val="00CF02AF"/>
    <w:rsid w:val="00CF054F"/>
    <w:rsid w:val="00CF16D4"/>
    <w:rsid w:val="00CF1EDC"/>
    <w:rsid w:val="00CF20CE"/>
    <w:rsid w:val="00CF2484"/>
    <w:rsid w:val="00CF3507"/>
    <w:rsid w:val="00CF47A5"/>
    <w:rsid w:val="00D01F03"/>
    <w:rsid w:val="00D02571"/>
    <w:rsid w:val="00D03214"/>
    <w:rsid w:val="00D0566E"/>
    <w:rsid w:val="00D11BB2"/>
    <w:rsid w:val="00D12F5A"/>
    <w:rsid w:val="00D13E3B"/>
    <w:rsid w:val="00D15B64"/>
    <w:rsid w:val="00D16AAF"/>
    <w:rsid w:val="00D16B9D"/>
    <w:rsid w:val="00D21D61"/>
    <w:rsid w:val="00D23FDC"/>
    <w:rsid w:val="00D240F8"/>
    <w:rsid w:val="00D260ED"/>
    <w:rsid w:val="00D273D3"/>
    <w:rsid w:val="00D3087A"/>
    <w:rsid w:val="00D30C77"/>
    <w:rsid w:val="00D33F1F"/>
    <w:rsid w:val="00D3417B"/>
    <w:rsid w:val="00D34E97"/>
    <w:rsid w:val="00D35CD5"/>
    <w:rsid w:val="00D40D3E"/>
    <w:rsid w:val="00D427E8"/>
    <w:rsid w:val="00D44061"/>
    <w:rsid w:val="00D45EBF"/>
    <w:rsid w:val="00D47056"/>
    <w:rsid w:val="00D5084D"/>
    <w:rsid w:val="00D5173A"/>
    <w:rsid w:val="00D53503"/>
    <w:rsid w:val="00D54514"/>
    <w:rsid w:val="00D55784"/>
    <w:rsid w:val="00D566F8"/>
    <w:rsid w:val="00D57A51"/>
    <w:rsid w:val="00D604EE"/>
    <w:rsid w:val="00D60935"/>
    <w:rsid w:val="00D61A65"/>
    <w:rsid w:val="00D62A08"/>
    <w:rsid w:val="00D63D10"/>
    <w:rsid w:val="00D65535"/>
    <w:rsid w:val="00D678A8"/>
    <w:rsid w:val="00D7013B"/>
    <w:rsid w:val="00D7116A"/>
    <w:rsid w:val="00D71E8D"/>
    <w:rsid w:val="00D71EC0"/>
    <w:rsid w:val="00D73B25"/>
    <w:rsid w:val="00D74DEC"/>
    <w:rsid w:val="00D750CD"/>
    <w:rsid w:val="00D750FD"/>
    <w:rsid w:val="00D75CD4"/>
    <w:rsid w:val="00D768FD"/>
    <w:rsid w:val="00D76E64"/>
    <w:rsid w:val="00D8088D"/>
    <w:rsid w:val="00D81F36"/>
    <w:rsid w:val="00D83F1B"/>
    <w:rsid w:val="00D84BB5"/>
    <w:rsid w:val="00D90CE4"/>
    <w:rsid w:val="00D91A1B"/>
    <w:rsid w:val="00D9339F"/>
    <w:rsid w:val="00D93533"/>
    <w:rsid w:val="00D93E6B"/>
    <w:rsid w:val="00D94F1A"/>
    <w:rsid w:val="00DA35BD"/>
    <w:rsid w:val="00DA3EF5"/>
    <w:rsid w:val="00DA4529"/>
    <w:rsid w:val="00DA62F7"/>
    <w:rsid w:val="00DA6D37"/>
    <w:rsid w:val="00DB0C8E"/>
    <w:rsid w:val="00DB4C9A"/>
    <w:rsid w:val="00DB52E2"/>
    <w:rsid w:val="00DB6487"/>
    <w:rsid w:val="00DB660A"/>
    <w:rsid w:val="00DB721B"/>
    <w:rsid w:val="00DC0A8F"/>
    <w:rsid w:val="00DC61C4"/>
    <w:rsid w:val="00DC693F"/>
    <w:rsid w:val="00DC7B14"/>
    <w:rsid w:val="00DD0CBB"/>
    <w:rsid w:val="00DD4C96"/>
    <w:rsid w:val="00DD4D0F"/>
    <w:rsid w:val="00DD4EA2"/>
    <w:rsid w:val="00DD5AF1"/>
    <w:rsid w:val="00DD6CC3"/>
    <w:rsid w:val="00DE1CE1"/>
    <w:rsid w:val="00DE2A29"/>
    <w:rsid w:val="00DE734E"/>
    <w:rsid w:val="00DF4A4B"/>
    <w:rsid w:val="00E007F9"/>
    <w:rsid w:val="00E008AC"/>
    <w:rsid w:val="00E069F5"/>
    <w:rsid w:val="00E06A98"/>
    <w:rsid w:val="00E10AB6"/>
    <w:rsid w:val="00E113FE"/>
    <w:rsid w:val="00E115F3"/>
    <w:rsid w:val="00E13894"/>
    <w:rsid w:val="00E14021"/>
    <w:rsid w:val="00E2013B"/>
    <w:rsid w:val="00E208CD"/>
    <w:rsid w:val="00E214D5"/>
    <w:rsid w:val="00E216E0"/>
    <w:rsid w:val="00E217AE"/>
    <w:rsid w:val="00E23545"/>
    <w:rsid w:val="00E23AC5"/>
    <w:rsid w:val="00E23BCB"/>
    <w:rsid w:val="00E23C11"/>
    <w:rsid w:val="00E2625B"/>
    <w:rsid w:val="00E2638E"/>
    <w:rsid w:val="00E269AD"/>
    <w:rsid w:val="00E27758"/>
    <w:rsid w:val="00E27BC7"/>
    <w:rsid w:val="00E27BE4"/>
    <w:rsid w:val="00E332F7"/>
    <w:rsid w:val="00E33F6A"/>
    <w:rsid w:val="00E342C0"/>
    <w:rsid w:val="00E34D6C"/>
    <w:rsid w:val="00E357DE"/>
    <w:rsid w:val="00E360FC"/>
    <w:rsid w:val="00E363B3"/>
    <w:rsid w:val="00E43DFB"/>
    <w:rsid w:val="00E4465A"/>
    <w:rsid w:val="00E459CF"/>
    <w:rsid w:val="00E46507"/>
    <w:rsid w:val="00E52521"/>
    <w:rsid w:val="00E53C59"/>
    <w:rsid w:val="00E5515A"/>
    <w:rsid w:val="00E56593"/>
    <w:rsid w:val="00E57B77"/>
    <w:rsid w:val="00E617D6"/>
    <w:rsid w:val="00E61870"/>
    <w:rsid w:val="00E62E10"/>
    <w:rsid w:val="00E62E83"/>
    <w:rsid w:val="00E630EA"/>
    <w:rsid w:val="00E6385D"/>
    <w:rsid w:val="00E642C9"/>
    <w:rsid w:val="00E66D02"/>
    <w:rsid w:val="00E7317B"/>
    <w:rsid w:val="00E73565"/>
    <w:rsid w:val="00E75BE5"/>
    <w:rsid w:val="00E76541"/>
    <w:rsid w:val="00E76B0A"/>
    <w:rsid w:val="00E775C1"/>
    <w:rsid w:val="00E80DEC"/>
    <w:rsid w:val="00E81CBB"/>
    <w:rsid w:val="00E82DCB"/>
    <w:rsid w:val="00E83E66"/>
    <w:rsid w:val="00E84C7B"/>
    <w:rsid w:val="00E866FA"/>
    <w:rsid w:val="00E8762C"/>
    <w:rsid w:val="00E9242B"/>
    <w:rsid w:val="00E930A6"/>
    <w:rsid w:val="00E934AA"/>
    <w:rsid w:val="00E94ACC"/>
    <w:rsid w:val="00E955A0"/>
    <w:rsid w:val="00E96C56"/>
    <w:rsid w:val="00E97F5B"/>
    <w:rsid w:val="00EA1B19"/>
    <w:rsid w:val="00EA3743"/>
    <w:rsid w:val="00EA3EF9"/>
    <w:rsid w:val="00EB16C6"/>
    <w:rsid w:val="00EB1C71"/>
    <w:rsid w:val="00EB643D"/>
    <w:rsid w:val="00EB72A7"/>
    <w:rsid w:val="00EC0E13"/>
    <w:rsid w:val="00EC223E"/>
    <w:rsid w:val="00EC2FF7"/>
    <w:rsid w:val="00EC4244"/>
    <w:rsid w:val="00EC42C8"/>
    <w:rsid w:val="00EC6336"/>
    <w:rsid w:val="00ED08F1"/>
    <w:rsid w:val="00ED156E"/>
    <w:rsid w:val="00ED2078"/>
    <w:rsid w:val="00ED6A67"/>
    <w:rsid w:val="00ED700F"/>
    <w:rsid w:val="00EE1618"/>
    <w:rsid w:val="00EE1A9D"/>
    <w:rsid w:val="00EE1BF7"/>
    <w:rsid w:val="00EE3AC0"/>
    <w:rsid w:val="00EE45E3"/>
    <w:rsid w:val="00EE4CC6"/>
    <w:rsid w:val="00EE52CB"/>
    <w:rsid w:val="00EE6D1D"/>
    <w:rsid w:val="00EF0A92"/>
    <w:rsid w:val="00EF0BE3"/>
    <w:rsid w:val="00EF2CBD"/>
    <w:rsid w:val="00EF63AF"/>
    <w:rsid w:val="00EF7123"/>
    <w:rsid w:val="00EF7498"/>
    <w:rsid w:val="00EF768C"/>
    <w:rsid w:val="00F00E79"/>
    <w:rsid w:val="00F01B57"/>
    <w:rsid w:val="00F02007"/>
    <w:rsid w:val="00F03042"/>
    <w:rsid w:val="00F05174"/>
    <w:rsid w:val="00F061AF"/>
    <w:rsid w:val="00F064A0"/>
    <w:rsid w:val="00F06DA0"/>
    <w:rsid w:val="00F0795B"/>
    <w:rsid w:val="00F108DA"/>
    <w:rsid w:val="00F118CE"/>
    <w:rsid w:val="00F1616D"/>
    <w:rsid w:val="00F172E7"/>
    <w:rsid w:val="00F20604"/>
    <w:rsid w:val="00F20E38"/>
    <w:rsid w:val="00F2414B"/>
    <w:rsid w:val="00F24DAD"/>
    <w:rsid w:val="00F25F9F"/>
    <w:rsid w:val="00F26476"/>
    <w:rsid w:val="00F26AFF"/>
    <w:rsid w:val="00F26BFD"/>
    <w:rsid w:val="00F26E25"/>
    <w:rsid w:val="00F328EA"/>
    <w:rsid w:val="00F33237"/>
    <w:rsid w:val="00F338E1"/>
    <w:rsid w:val="00F34153"/>
    <w:rsid w:val="00F35771"/>
    <w:rsid w:val="00F35FEC"/>
    <w:rsid w:val="00F370DF"/>
    <w:rsid w:val="00F37477"/>
    <w:rsid w:val="00F376C2"/>
    <w:rsid w:val="00F40FE4"/>
    <w:rsid w:val="00F428B0"/>
    <w:rsid w:val="00F43282"/>
    <w:rsid w:val="00F44392"/>
    <w:rsid w:val="00F52238"/>
    <w:rsid w:val="00F524A0"/>
    <w:rsid w:val="00F525A4"/>
    <w:rsid w:val="00F52FC7"/>
    <w:rsid w:val="00F5547B"/>
    <w:rsid w:val="00F55E32"/>
    <w:rsid w:val="00F55F07"/>
    <w:rsid w:val="00F572DA"/>
    <w:rsid w:val="00F57514"/>
    <w:rsid w:val="00F5762A"/>
    <w:rsid w:val="00F6015C"/>
    <w:rsid w:val="00F60C37"/>
    <w:rsid w:val="00F623DD"/>
    <w:rsid w:val="00F633E9"/>
    <w:rsid w:val="00F63FE6"/>
    <w:rsid w:val="00F6563F"/>
    <w:rsid w:val="00F6751A"/>
    <w:rsid w:val="00F67B38"/>
    <w:rsid w:val="00F7073B"/>
    <w:rsid w:val="00F70EAF"/>
    <w:rsid w:val="00F71E8D"/>
    <w:rsid w:val="00F7234B"/>
    <w:rsid w:val="00F75A69"/>
    <w:rsid w:val="00F81631"/>
    <w:rsid w:val="00F84F5C"/>
    <w:rsid w:val="00F8593E"/>
    <w:rsid w:val="00F85A79"/>
    <w:rsid w:val="00F861DD"/>
    <w:rsid w:val="00F8711B"/>
    <w:rsid w:val="00F91041"/>
    <w:rsid w:val="00F91475"/>
    <w:rsid w:val="00F92484"/>
    <w:rsid w:val="00F961B6"/>
    <w:rsid w:val="00F9671F"/>
    <w:rsid w:val="00FA095B"/>
    <w:rsid w:val="00FA0A94"/>
    <w:rsid w:val="00FA0D4A"/>
    <w:rsid w:val="00FA165A"/>
    <w:rsid w:val="00FA3101"/>
    <w:rsid w:val="00FA5B2F"/>
    <w:rsid w:val="00FA7924"/>
    <w:rsid w:val="00FB08AA"/>
    <w:rsid w:val="00FB4082"/>
    <w:rsid w:val="00FB6FC0"/>
    <w:rsid w:val="00FB708B"/>
    <w:rsid w:val="00FB7683"/>
    <w:rsid w:val="00FC160A"/>
    <w:rsid w:val="00FC307D"/>
    <w:rsid w:val="00FC407D"/>
    <w:rsid w:val="00FC45E1"/>
    <w:rsid w:val="00FC4A5C"/>
    <w:rsid w:val="00FC5B97"/>
    <w:rsid w:val="00FC74E0"/>
    <w:rsid w:val="00FD0756"/>
    <w:rsid w:val="00FD179E"/>
    <w:rsid w:val="00FD1B5D"/>
    <w:rsid w:val="00FD2390"/>
    <w:rsid w:val="00FD605D"/>
    <w:rsid w:val="00FD69D3"/>
    <w:rsid w:val="00FD6D2F"/>
    <w:rsid w:val="00FD7FC0"/>
    <w:rsid w:val="00FE0622"/>
    <w:rsid w:val="00FE0B83"/>
    <w:rsid w:val="00FE14F1"/>
    <w:rsid w:val="00FE3459"/>
    <w:rsid w:val="00FE4348"/>
    <w:rsid w:val="00FE527D"/>
    <w:rsid w:val="00FF071C"/>
    <w:rsid w:val="00FF1BBD"/>
    <w:rsid w:val="00FF2481"/>
    <w:rsid w:val="00FF2EE6"/>
    <w:rsid w:val="00FF42F4"/>
    <w:rsid w:val="00FF44F0"/>
    <w:rsid w:val="00FF4FF2"/>
    <w:rsid w:val="00FF59CC"/>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BC478B"/>
  <w15:docId w15:val="{BE068AB7-8045-4771-8DA3-8540367D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E434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D3470"/>
    <w:rPr>
      <w:b/>
      <w:bCs/>
    </w:rPr>
  </w:style>
  <w:style w:type="character" w:customStyle="1" w:styleId="CommentSubjectChar">
    <w:name w:val="Comment Subject Char"/>
    <w:basedOn w:val="CommentTextChar"/>
    <w:link w:val="CommentSubject"/>
    <w:uiPriority w:val="99"/>
    <w:semiHidden/>
    <w:rsid w:val="00BD3470"/>
    <w:rPr>
      <w:b/>
      <w:bCs/>
      <w:sz w:val="20"/>
      <w:szCs w:val="20"/>
    </w:rPr>
  </w:style>
  <w:style w:type="table" w:styleId="LightShading">
    <w:name w:val="Light Shading"/>
    <w:basedOn w:val="TableNormal"/>
    <w:uiPriority w:val="60"/>
    <w:rsid w:val="00EF2CBD"/>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5">
    <w:name w:val="Medium List 2 Accent 5"/>
    <w:basedOn w:val="TableNormal"/>
    <w:uiPriority w:val="66"/>
    <w:rsid w:val="00EF2C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7Colorful">
    <w:name w:val="Grid Table 7 Colorful"/>
    <w:basedOn w:val="TableNormal"/>
    <w:uiPriority w:val="52"/>
    <w:rsid w:val="006664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next w:val="GridTable7Colorful"/>
    <w:uiPriority w:val="52"/>
    <w:rsid w:val="00490933"/>
    <w:pPr>
      <w:spacing w:after="0" w:line="240" w:lineRule="auto"/>
      <w:jc w:val="both"/>
    </w:pPr>
    <w:rPr>
      <w:rFonts w:ascii="Calibri" w:eastAsia="Calibri" w:hAnsi="Calibri" w:cs="Times New Roman"/>
      <w:color w:val="000000"/>
      <w:lang w:val="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4-Accent1">
    <w:name w:val="Grid Table 4 Accent 1"/>
    <w:basedOn w:val="TableNormal"/>
    <w:uiPriority w:val="49"/>
    <w:rsid w:val="008C30A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11">
    <w:name w:val="Grid Table 7 Colorful11"/>
    <w:basedOn w:val="TableNormal"/>
    <w:uiPriority w:val="52"/>
    <w:rsid w:val="00395430"/>
    <w:pPr>
      <w:spacing w:after="0" w:line="240" w:lineRule="auto"/>
    </w:pPr>
    <w:rPr>
      <w:rFonts w:ascii="Calibri" w:eastAsia="Calibri" w:hAnsi="Calibri" w:cs="Times New Roman"/>
      <w:color w:val="000000"/>
      <w:lang w:val="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style>
  <w:style w:type="character" w:customStyle="1" w:styleId="Heading7Char">
    <w:name w:val="Heading 7 Char"/>
    <w:basedOn w:val="DefaultParagraphFont"/>
    <w:link w:val="Heading7"/>
    <w:uiPriority w:val="9"/>
    <w:semiHidden/>
    <w:rsid w:val="00FE434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7304">
      <w:bodyDiv w:val="1"/>
      <w:marLeft w:val="0"/>
      <w:marRight w:val="0"/>
      <w:marTop w:val="0"/>
      <w:marBottom w:val="0"/>
      <w:divBdr>
        <w:top w:val="none" w:sz="0" w:space="0" w:color="auto"/>
        <w:left w:val="none" w:sz="0" w:space="0" w:color="auto"/>
        <w:bottom w:val="none" w:sz="0" w:space="0" w:color="auto"/>
        <w:right w:val="none" w:sz="0" w:space="0" w:color="auto"/>
      </w:divBdr>
    </w:div>
    <w:div w:id="7585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2130-9668-4AB2-B2A5-98E41D64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12968</Words>
  <Characters>73918</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Jenny Singh</cp:lastModifiedBy>
  <cp:revision>2</cp:revision>
  <cp:lastPrinted>2016-11-22T09:16:00Z</cp:lastPrinted>
  <dcterms:created xsi:type="dcterms:W3CDTF">2023-12-04T08:00:00Z</dcterms:created>
  <dcterms:modified xsi:type="dcterms:W3CDTF">2023-12-04T08:00:00Z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2023-11-17T18:10:01Z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32e8744c-db2c-4a53-a037-c997df937df7</vt:lpwstr>
  </property>
  <property fmtid="{D5CDD505-2E9C-101B-9397-08002B2CF9AE}" pid="9" name="MSIP_Label_41a00853-e5cc-480d-8b74-afcdbe2c705a_ContentBits">
    <vt:lpwstr>0</vt:lpwstr>
  </property>
</Properties>
</file>