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8F5EE"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p>
    <w:p w14:paraId="20DFA06D"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r w:rsidRPr="00B72EA2">
        <w:rPr>
          <w:rFonts w:ascii="Arial" w:eastAsia="Times New Roman" w:hAnsi="Arial" w:cs="Times New Roman"/>
          <w:sz w:val="20"/>
          <w:szCs w:val="24"/>
          <w:lang w:val="en-GB" w:eastAsia="en-US"/>
        </w:rPr>
        <w:t>No.217 - 2022: Fourth Session, Sixth Legislature</w:t>
      </w:r>
    </w:p>
    <w:p w14:paraId="3E1A3DD4"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p>
    <w:p w14:paraId="0FC2CBC1"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p>
    <w:p w14:paraId="3F0F6782"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p>
    <w:p w14:paraId="4D02A923" w14:textId="77777777" w:rsidR="00B72EA2" w:rsidRPr="00B72EA2" w:rsidRDefault="00B72EA2" w:rsidP="00B72EA2">
      <w:pPr>
        <w:spacing w:after="0" w:line="240" w:lineRule="auto"/>
        <w:jc w:val="both"/>
        <w:rPr>
          <w:rFonts w:ascii="Arial" w:eastAsia="Times New Roman" w:hAnsi="Arial" w:cs="Times New Roman"/>
          <w:sz w:val="20"/>
          <w:szCs w:val="24"/>
          <w:lang w:val="en-GB" w:eastAsia="en-US"/>
        </w:rPr>
      </w:pPr>
    </w:p>
    <w:p w14:paraId="7A1F856B" w14:textId="77777777" w:rsidR="00B72EA2" w:rsidRPr="00B72EA2" w:rsidRDefault="00B72EA2" w:rsidP="00B72EA2">
      <w:pPr>
        <w:spacing w:after="0" w:line="240" w:lineRule="auto"/>
        <w:jc w:val="center"/>
        <w:rPr>
          <w:rFonts w:ascii="Times New Roman" w:eastAsia="Times New Roman" w:hAnsi="Times New Roman" w:cs="Times New Roman"/>
          <w:sz w:val="28"/>
          <w:szCs w:val="24"/>
          <w:lang w:val="en-GB" w:eastAsia="en-US"/>
        </w:rPr>
      </w:pPr>
      <w:r w:rsidRPr="00B72EA2">
        <w:rPr>
          <w:rFonts w:ascii="Times New Roman" w:eastAsia="Times New Roman" w:hAnsi="Times New Roman" w:cs="Times New Roman"/>
          <w:b/>
          <w:sz w:val="33"/>
          <w:szCs w:val="24"/>
          <w:lang w:val="en-GB" w:eastAsia="en-US"/>
        </w:rPr>
        <w:t>GAUTENG PROVINCIAL LEGISLATURE</w:t>
      </w:r>
    </w:p>
    <w:p w14:paraId="264E54AE" w14:textId="77777777" w:rsidR="00B72EA2" w:rsidRPr="00B72EA2" w:rsidRDefault="00B72EA2" w:rsidP="00B72EA2">
      <w:pPr>
        <w:spacing w:after="0" w:line="240" w:lineRule="auto"/>
        <w:jc w:val="center"/>
        <w:rPr>
          <w:rFonts w:ascii="Times New Roman" w:eastAsia="Times New Roman" w:hAnsi="Times New Roman" w:cs="Times New Roman"/>
          <w:sz w:val="28"/>
          <w:szCs w:val="24"/>
          <w:lang w:val="en-GB" w:eastAsia="en-US"/>
        </w:rPr>
      </w:pPr>
    </w:p>
    <w:p w14:paraId="261365F6" w14:textId="77777777" w:rsidR="00B72EA2" w:rsidRPr="00B72EA2" w:rsidRDefault="00B72EA2" w:rsidP="00B72EA2">
      <w:pPr>
        <w:spacing w:after="0" w:line="240" w:lineRule="auto"/>
        <w:jc w:val="center"/>
        <w:rPr>
          <w:rFonts w:ascii="Times New Roman" w:eastAsia="Times New Roman" w:hAnsi="Times New Roman" w:cs="Times New Roman"/>
          <w:sz w:val="28"/>
          <w:szCs w:val="24"/>
          <w:lang w:val="en-GB" w:eastAsia="en-US"/>
        </w:rPr>
      </w:pPr>
    </w:p>
    <w:p w14:paraId="513B6489" w14:textId="77777777" w:rsidR="00B72EA2" w:rsidRPr="00B72EA2" w:rsidRDefault="00B72EA2" w:rsidP="00B72EA2">
      <w:pPr>
        <w:spacing w:after="0" w:line="240" w:lineRule="auto"/>
        <w:jc w:val="center"/>
        <w:rPr>
          <w:rFonts w:ascii="Times New Roman" w:eastAsia="Times New Roman" w:hAnsi="Times New Roman" w:cs="Times New Roman"/>
          <w:b/>
          <w:spacing w:val="-20"/>
          <w:sz w:val="24"/>
          <w:szCs w:val="24"/>
          <w:lang w:val="en-GB" w:eastAsia="en-US"/>
        </w:rPr>
      </w:pPr>
      <w:r w:rsidRPr="00B72EA2">
        <w:rPr>
          <w:rFonts w:ascii="Times New Roman" w:eastAsia="Times New Roman" w:hAnsi="Times New Roman" w:cs="Times New Roman"/>
          <w:b/>
          <w:spacing w:val="-20"/>
          <w:sz w:val="24"/>
          <w:szCs w:val="24"/>
          <w:lang w:val="en-GB" w:eastAsia="en-US"/>
        </w:rPr>
        <w:t xml:space="preserve">======================== </w:t>
      </w:r>
    </w:p>
    <w:p w14:paraId="6E8CB143" w14:textId="77777777" w:rsidR="00B72EA2" w:rsidRPr="00B72EA2" w:rsidRDefault="00B72EA2" w:rsidP="00B72EA2">
      <w:pPr>
        <w:spacing w:after="0" w:line="240" w:lineRule="auto"/>
        <w:jc w:val="center"/>
        <w:rPr>
          <w:rFonts w:ascii="Times New Roman" w:eastAsia="Times New Roman" w:hAnsi="Times New Roman" w:cs="Times New Roman"/>
          <w:sz w:val="28"/>
          <w:szCs w:val="24"/>
          <w:lang w:val="en-GB" w:eastAsia="en-US"/>
        </w:rPr>
      </w:pPr>
    </w:p>
    <w:p w14:paraId="26793AD9" w14:textId="77777777" w:rsidR="00B72EA2" w:rsidRPr="00B72EA2" w:rsidRDefault="00B72EA2" w:rsidP="00B72EA2">
      <w:pPr>
        <w:spacing w:after="0" w:line="240" w:lineRule="auto"/>
        <w:jc w:val="center"/>
        <w:rPr>
          <w:rFonts w:ascii="Times New Roman" w:eastAsia="Times New Roman" w:hAnsi="Times New Roman" w:cs="Times New Roman"/>
          <w:b/>
          <w:sz w:val="56"/>
          <w:szCs w:val="24"/>
          <w:lang w:val="en-GB" w:eastAsia="en-US"/>
        </w:rPr>
      </w:pPr>
      <w:r w:rsidRPr="00B72EA2">
        <w:rPr>
          <w:rFonts w:ascii="Times New Roman" w:eastAsia="Times New Roman" w:hAnsi="Times New Roman" w:cs="Times New Roman"/>
          <w:b/>
          <w:sz w:val="56"/>
          <w:szCs w:val="24"/>
          <w:lang w:val="en-GB" w:eastAsia="en-US"/>
        </w:rPr>
        <w:t>ANNOUNCEMENTS,</w:t>
      </w:r>
    </w:p>
    <w:p w14:paraId="13D352B4" w14:textId="77777777" w:rsidR="00B72EA2" w:rsidRPr="00B72EA2" w:rsidRDefault="00B72EA2" w:rsidP="00B72EA2">
      <w:pPr>
        <w:spacing w:after="0" w:line="240" w:lineRule="auto"/>
        <w:jc w:val="center"/>
        <w:rPr>
          <w:rFonts w:ascii="Times New Roman" w:eastAsia="Times New Roman" w:hAnsi="Times New Roman" w:cs="Times New Roman"/>
          <w:b/>
          <w:sz w:val="56"/>
          <w:szCs w:val="24"/>
          <w:lang w:val="en-GB" w:eastAsia="en-US"/>
        </w:rPr>
      </w:pPr>
      <w:r w:rsidRPr="00B72EA2">
        <w:rPr>
          <w:rFonts w:ascii="Times New Roman" w:eastAsia="Times New Roman" w:hAnsi="Times New Roman" w:cs="Times New Roman"/>
          <w:b/>
          <w:sz w:val="56"/>
          <w:szCs w:val="24"/>
          <w:lang w:val="en-GB" w:eastAsia="en-US"/>
        </w:rPr>
        <w:t>TABLINGS AND</w:t>
      </w:r>
    </w:p>
    <w:p w14:paraId="2D187BE3" w14:textId="77777777" w:rsidR="00B72EA2" w:rsidRPr="00B72EA2" w:rsidRDefault="00B72EA2" w:rsidP="00B72EA2">
      <w:pPr>
        <w:spacing w:after="0" w:line="240" w:lineRule="auto"/>
        <w:jc w:val="center"/>
        <w:rPr>
          <w:rFonts w:ascii="Times New Roman" w:eastAsia="Times New Roman" w:hAnsi="Times New Roman" w:cs="Times New Roman"/>
          <w:b/>
          <w:sz w:val="56"/>
          <w:szCs w:val="24"/>
          <w:lang w:val="en-GB" w:eastAsia="en-US"/>
        </w:rPr>
      </w:pPr>
      <w:r w:rsidRPr="00B72EA2">
        <w:rPr>
          <w:rFonts w:ascii="Times New Roman" w:eastAsia="Times New Roman" w:hAnsi="Times New Roman" w:cs="Times New Roman"/>
          <w:b/>
          <w:sz w:val="56"/>
          <w:szCs w:val="24"/>
          <w:lang w:val="en-GB" w:eastAsia="en-US"/>
        </w:rPr>
        <w:t>COMMITTEE REPORTS</w:t>
      </w:r>
    </w:p>
    <w:p w14:paraId="1F558BA8" w14:textId="77777777" w:rsidR="00B72EA2" w:rsidRPr="00B72EA2" w:rsidRDefault="00B72EA2" w:rsidP="00B72EA2">
      <w:pPr>
        <w:spacing w:after="0" w:line="240" w:lineRule="auto"/>
        <w:jc w:val="center"/>
        <w:rPr>
          <w:rFonts w:ascii="Times New Roman" w:eastAsia="Times New Roman" w:hAnsi="Times New Roman" w:cs="Times New Roman"/>
          <w:b/>
          <w:spacing w:val="-20"/>
          <w:sz w:val="24"/>
          <w:szCs w:val="24"/>
          <w:lang w:val="en-GB" w:eastAsia="en-US"/>
        </w:rPr>
      </w:pPr>
    </w:p>
    <w:p w14:paraId="2FDB7DDB" w14:textId="77777777" w:rsidR="00B72EA2" w:rsidRPr="00B72EA2" w:rsidRDefault="00B72EA2" w:rsidP="00B72EA2">
      <w:pPr>
        <w:spacing w:after="0" w:line="240" w:lineRule="auto"/>
        <w:jc w:val="center"/>
        <w:rPr>
          <w:rFonts w:ascii="Times New Roman" w:eastAsia="Times New Roman" w:hAnsi="Times New Roman" w:cs="Times New Roman"/>
          <w:b/>
          <w:spacing w:val="-20"/>
          <w:sz w:val="24"/>
          <w:szCs w:val="24"/>
          <w:lang w:val="en-GB" w:eastAsia="en-US"/>
        </w:rPr>
      </w:pPr>
      <w:r w:rsidRPr="00B72EA2">
        <w:rPr>
          <w:rFonts w:ascii="Times New Roman" w:eastAsia="Times New Roman" w:hAnsi="Times New Roman" w:cs="Times New Roman"/>
          <w:b/>
          <w:spacing w:val="-20"/>
          <w:sz w:val="24"/>
          <w:szCs w:val="24"/>
          <w:lang w:val="en-GB" w:eastAsia="en-US"/>
        </w:rPr>
        <w:t>========================</w:t>
      </w:r>
    </w:p>
    <w:p w14:paraId="1277FB86" w14:textId="77777777" w:rsidR="00B72EA2" w:rsidRPr="00B72EA2" w:rsidRDefault="00B72EA2" w:rsidP="00B72EA2">
      <w:pPr>
        <w:spacing w:after="0" w:line="240" w:lineRule="auto"/>
        <w:jc w:val="center"/>
        <w:rPr>
          <w:rFonts w:ascii="Arial" w:eastAsia="Times New Roman" w:hAnsi="Arial" w:cs="Times New Roman"/>
          <w:sz w:val="20"/>
          <w:szCs w:val="24"/>
          <w:lang w:val="en-GB" w:eastAsia="en-US"/>
        </w:rPr>
      </w:pPr>
    </w:p>
    <w:p w14:paraId="1FF909AA" w14:textId="77777777" w:rsidR="00B72EA2" w:rsidRPr="00B72EA2" w:rsidRDefault="00B72EA2" w:rsidP="00B72EA2">
      <w:pPr>
        <w:spacing w:after="0" w:line="240" w:lineRule="auto"/>
        <w:jc w:val="center"/>
        <w:rPr>
          <w:rFonts w:ascii="Arial" w:eastAsia="Times New Roman" w:hAnsi="Arial" w:cs="Times New Roman"/>
          <w:sz w:val="20"/>
          <w:szCs w:val="24"/>
          <w:lang w:val="en-GB" w:eastAsia="en-US"/>
        </w:rPr>
      </w:pPr>
      <w:r w:rsidRPr="00B72EA2">
        <w:rPr>
          <w:rFonts w:ascii="Arial" w:eastAsia="Times New Roman" w:hAnsi="Arial" w:cs="Times New Roman"/>
          <w:sz w:val="20"/>
          <w:szCs w:val="24"/>
          <w:lang w:val="en-GB" w:eastAsia="en-US"/>
        </w:rPr>
        <w:t>Monday, 20 June 2022</w:t>
      </w:r>
    </w:p>
    <w:p w14:paraId="2FF48B43" w14:textId="77777777" w:rsidR="00B72EA2" w:rsidRPr="00B72EA2" w:rsidRDefault="00B72EA2" w:rsidP="00B72EA2">
      <w:pPr>
        <w:spacing w:after="0" w:line="240" w:lineRule="auto"/>
        <w:jc w:val="center"/>
        <w:rPr>
          <w:rFonts w:ascii="Arial" w:eastAsia="Times New Roman" w:hAnsi="Arial" w:cs="Times New Roman"/>
          <w:sz w:val="20"/>
          <w:szCs w:val="24"/>
          <w:lang w:val="en-GB" w:eastAsia="en-US"/>
        </w:rPr>
      </w:pPr>
    </w:p>
    <w:p w14:paraId="538F4E46" w14:textId="77777777" w:rsidR="00B72EA2" w:rsidRPr="00B72EA2" w:rsidRDefault="00B72EA2" w:rsidP="00B72EA2">
      <w:pPr>
        <w:tabs>
          <w:tab w:val="left" w:pos="2127"/>
        </w:tabs>
        <w:spacing w:after="0" w:line="240" w:lineRule="auto"/>
        <w:jc w:val="center"/>
        <w:rPr>
          <w:rFonts w:ascii="Arial" w:eastAsia="Times New Roman" w:hAnsi="Arial" w:cs="Times New Roman"/>
          <w:sz w:val="20"/>
          <w:szCs w:val="24"/>
          <w:lang w:val="en-GB" w:eastAsia="en-US"/>
        </w:rPr>
      </w:pPr>
    </w:p>
    <w:p w14:paraId="3BBAB177" w14:textId="77777777" w:rsidR="00B72EA2" w:rsidRPr="00B72EA2" w:rsidRDefault="00B72EA2" w:rsidP="00B72EA2">
      <w:pPr>
        <w:keepNext/>
        <w:widowControl w:val="0"/>
        <w:tabs>
          <w:tab w:val="center" w:pos="4489"/>
        </w:tabs>
        <w:spacing w:after="0" w:line="240" w:lineRule="auto"/>
        <w:outlineLvl w:val="0"/>
        <w:rPr>
          <w:rFonts w:ascii="Arial" w:eastAsia="Times New Roman" w:hAnsi="Arial" w:cs="Arial"/>
          <w:b/>
          <w:snapToGrid w:val="0"/>
          <w:sz w:val="24"/>
          <w:szCs w:val="24"/>
          <w:lang w:val="en-GB" w:eastAsia="en-US"/>
        </w:rPr>
      </w:pPr>
      <w:r w:rsidRPr="00B72EA2">
        <w:rPr>
          <w:rFonts w:ascii="Arial" w:eastAsia="Times New Roman" w:hAnsi="Arial" w:cs="Arial"/>
          <w:b/>
          <w:snapToGrid w:val="0"/>
          <w:sz w:val="24"/>
          <w:szCs w:val="24"/>
          <w:lang w:val="en-GB" w:eastAsia="en-US"/>
        </w:rPr>
        <w:t>ANNOUNCEMENTS</w:t>
      </w:r>
    </w:p>
    <w:p w14:paraId="0436FA80" w14:textId="77777777" w:rsidR="00B72EA2" w:rsidRPr="00B72EA2" w:rsidRDefault="00B72EA2" w:rsidP="00B72EA2">
      <w:pPr>
        <w:spacing w:after="0" w:line="240" w:lineRule="auto"/>
        <w:ind w:firstLine="720"/>
        <w:rPr>
          <w:rFonts w:ascii="Arial" w:eastAsia="Times New Roman" w:hAnsi="Arial" w:cs="Arial"/>
          <w:bCs/>
          <w:i/>
          <w:sz w:val="20"/>
          <w:szCs w:val="24"/>
          <w:lang w:val="en-GB" w:eastAsia="en-US"/>
        </w:rPr>
      </w:pPr>
      <w:r w:rsidRPr="00B72EA2">
        <w:rPr>
          <w:rFonts w:ascii="Arial" w:eastAsia="Times New Roman" w:hAnsi="Arial" w:cs="Arial"/>
          <w:bCs/>
          <w:sz w:val="20"/>
          <w:szCs w:val="20"/>
          <w:lang w:val="en-GB" w:eastAsia="en-US"/>
        </w:rPr>
        <w:t>none</w:t>
      </w:r>
    </w:p>
    <w:p w14:paraId="4C34B2ED" w14:textId="77777777" w:rsidR="00B72EA2" w:rsidRPr="00B72EA2" w:rsidRDefault="00B72EA2" w:rsidP="00B72EA2">
      <w:pPr>
        <w:keepNext/>
        <w:widowControl w:val="0"/>
        <w:tabs>
          <w:tab w:val="center" w:pos="4489"/>
        </w:tabs>
        <w:spacing w:after="0" w:line="240" w:lineRule="auto"/>
        <w:outlineLvl w:val="0"/>
        <w:rPr>
          <w:rFonts w:ascii="Arial" w:eastAsia="Times New Roman" w:hAnsi="Arial" w:cs="Times New Roman"/>
          <w:b/>
          <w:snapToGrid w:val="0"/>
          <w:sz w:val="24"/>
          <w:szCs w:val="20"/>
          <w:lang w:eastAsia="en-US"/>
        </w:rPr>
      </w:pPr>
    </w:p>
    <w:p w14:paraId="1CC1114E" w14:textId="77777777" w:rsidR="00B72EA2" w:rsidRPr="00B72EA2" w:rsidRDefault="00B72EA2" w:rsidP="00B72EA2">
      <w:pPr>
        <w:keepNext/>
        <w:widowControl w:val="0"/>
        <w:tabs>
          <w:tab w:val="center" w:pos="4489"/>
        </w:tabs>
        <w:spacing w:after="0" w:line="240" w:lineRule="auto"/>
        <w:outlineLvl w:val="0"/>
        <w:rPr>
          <w:rFonts w:ascii="Arial" w:eastAsia="Times New Roman" w:hAnsi="Arial" w:cs="Times New Roman"/>
          <w:b/>
          <w:snapToGrid w:val="0"/>
          <w:sz w:val="24"/>
          <w:szCs w:val="20"/>
          <w:lang w:val="en-GB" w:eastAsia="en-US"/>
        </w:rPr>
      </w:pPr>
    </w:p>
    <w:p w14:paraId="35C1A3B2" w14:textId="77777777" w:rsidR="00B72EA2" w:rsidRPr="00B72EA2" w:rsidRDefault="00B72EA2" w:rsidP="00B72EA2">
      <w:pPr>
        <w:keepNext/>
        <w:widowControl w:val="0"/>
        <w:tabs>
          <w:tab w:val="center" w:pos="4489"/>
        </w:tabs>
        <w:spacing w:after="0" w:line="240" w:lineRule="auto"/>
        <w:outlineLvl w:val="0"/>
        <w:rPr>
          <w:rFonts w:ascii="Arial" w:eastAsia="Times New Roman" w:hAnsi="Arial" w:cs="Times New Roman"/>
          <w:b/>
          <w:snapToGrid w:val="0"/>
          <w:sz w:val="24"/>
          <w:szCs w:val="20"/>
          <w:lang w:val="en-GB" w:eastAsia="en-US"/>
        </w:rPr>
      </w:pPr>
      <w:r w:rsidRPr="00B72EA2">
        <w:rPr>
          <w:rFonts w:ascii="Arial" w:eastAsia="Times New Roman" w:hAnsi="Arial" w:cs="Times New Roman"/>
          <w:b/>
          <w:snapToGrid w:val="0"/>
          <w:sz w:val="24"/>
          <w:szCs w:val="20"/>
          <w:lang w:val="en-GB" w:eastAsia="en-US"/>
        </w:rPr>
        <w:t>TABLINGS</w:t>
      </w:r>
    </w:p>
    <w:p w14:paraId="60B1ACA4" w14:textId="77777777" w:rsidR="00B72EA2" w:rsidRPr="00B72EA2" w:rsidRDefault="00B72EA2" w:rsidP="00B72EA2">
      <w:pPr>
        <w:spacing w:after="0" w:line="240" w:lineRule="auto"/>
        <w:ind w:firstLine="720"/>
        <w:rPr>
          <w:rFonts w:ascii="Arial" w:eastAsia="Times New Roman" w:hAnsi="Arial" w:cs="Arial"/>
          <w:sz w:val="20"/>
          <w:szCs w:val="20"/>
          <w:lang w:val="en-GB" w:eastAsia="en-US"/>
        </w:rPr>
      </w:pPr>
      <w:r w:rsidRPr="00B72EA2">
        <w:rPr>
          <w:rFonts w:ascii="Arial" w:eastAsia="Times New Roman" w:hAnsi="Arial" w:cs="Arial"/>
          <w:bCs/>
          <w:sz w:val="20"/>
          <w:szCs w:val="20"/>
          <w:lang w:val="en-GB" w:eastAsia="en-US"/>
        </w:rPr>
        <w:t>none</w:t>
      </w:r>
    </w:p>
    <w:p w14:paraId="1B390CA3" w14:textId="77777777" w:rsidR="00B72EA2" w:rsidRPr="00B72EA2" w:rsidRDefault="00B72EA2" w:rsidP="00B72EA2">
      <w:pPr>
        <w:keepNext/>
        <w:widowControl w:val="0"/>
        <w:spacing w:after="0" w:line="240" w:lineRule="auto"/>
        <w:jc w:val="both"/>
        <w:outlineLvl w:val="6"/>
        <w:rPr>
          <w:rFonts w:ascii="Arial" w:eastAsia="Times New Roman" w:hAnsi="Arial" w:cs="Arial"/>
          <w:b/>
          <w:snapToGrid w:val="0"/>
          <w:sz w:val="24"/>
          <w:szCs w:val="20"/>
          <w:lang w:eastAsia="en-US"/>
        </w:rPr>
      </w:pPr>
    </w:p>
    <w:p w14:paraId="76A682C2" w14:textId="77777777" w:rsidR="00B72EA2" w:rsidRPr="00B72EA2" w:rsidRDefault="00B72EA2" w:rsidP="00B72EA2">
      <w:pPr>
        <w:spacing w:after="0" w:line="240" w:lineRule="auto"/>
        <w:rPr>
          <w:rFonts w:ascii="Arial" w:eastAsia="Times New Roman" w:hAnsi="Arial" w:cs="Arial"/>
          <w:b/>
          <w:sz w:val="20"/>
          <w:szCs w:val="24"/>
          <w:lang w:val="en-GB" w:eastAsia="en-US"/>
        </w:rPr>
      </w:pPr>
    </w:p>
    <w:p w14:paraId="6CF3397F" w14:textId="77777777" w:rsidR="00B72EA2" w:rsidRPr="00B72EA2" w:rsidRDefault="00B72EA2" w:rsidP="00B72EA2">
      <w:pPr>
        <w:keepNext/>
        <w:widowControl w:val="0"/>
        <w:spacing w:after="0" w:line="240" w:lineRule="auto"/>
        <w:jc w:val="both"/>
        <w:outlineLvl w:val="6"/>
        <w:rPr>
          <w:rFonts w:ascii="Arial" w:eastAsia="Times New Roman" w:hAnsi="Arial" w:cs="Arial"/>
          <w:b/>
          <w:snapToGrid w:val="0"/>
          <w:sz w:val="24"/>
          <w:szCs w:val="20"/>
          <w:lang w:eastAsia="en-US"/>
        </w:rPr>
      </w:pPr>
      <w:r w:rsidRPr="00B72EA2">
        <w:rPr>
          <w:rFonts w:ascii="Arial" w:eastAsia="Times New Roman" w:hAnsi="Arial" w:cs="Arial"/>
          <w:b/>
          <w:snapToGrid w:val="0"/>
          <w:sz w:val="24"/>
          <w:szCs w:val="20"/>
          <w:lang w:eastAsia="en-US"/>
        </w:rPr>
        <w:t>COMMITTEE REPORTS</w:t>
      </w:r>
    </w:p>
    <w:p w14:paraId="49F1A211" w14:textId="77777777" w:rsidR="00B72EA2" w:rsidRPr="00B72EA2" w:rsidRDefault="00B72EA2" w:rsidP="00B72EA2">
      <w:pPr>
        <w:spacing w:after="0" w:line="240" w:lineRule="auto"/>
        <w:ind w:left="720" w:hanging="720"/>
        <w:jc w:val="both"/>
        <w:rPr>
          <w:rFonts w:ascii="Arial" w:eastAsia="Times New Roman" w:hAnsi="Arial" w:cs="Arial"/>
          <w:b/>
          <w:bCs/>
          <w:sz w:val="20"/>
          <w:szCs w:val="20"/>
          <w:lang w:val="en-GB" w:eastAsia="en-US"/>
        </w:rPr>
      </w:pPr>
      <w:r w:rsidRPr="00B72EA2">
        <w:rPr>
          <w:rFonts w:ascii="Arial" w:eastAsia="Times New Roman" w:hAnsi="Arial" w:cs="Arial"/>
          <w:b/>
          <w:bCs/>
          <w:snapToGrid w:val="0"/>
          <w:sz w:val="20"/>
          <w:szCs w:val="20"/>
          <w:lang w:val="en-GB" w:eastAsia="en-US"/>
        </w:rPr>
        <w:t>1.</w:t>
      </w:r>
      <w:r w:rsidRPr="00B72EA2">
        <w:rPr>
          <w:rFonts w:ascii="Arial" w:eastAsia="Times New Roman" w:hAnsi="Arial" w:cs="Arial"/>
          <w:b/>
          <w:bCs/>
          <w:snapToGrid w:val="0"/>
          <w:sz w:val="20"/>
          <w:szCs w:val="20"/>
          <w:lang w:val="en-GB" w:eastAsia="en-US"/>
        </w:rPr>
        <w:tab/>
      </w:r>
      <w:r w:rsidRPr="00B72EA2">
        <w:rPr>
          <w:rFonts w:ascii="Arial" w:eastAsia="Times New Roman" w:hAnsi="Arial" w:cs="Arial"/>
          <w:b/>
          <w:bCs/>
          <w:sz w:val="20"/>
          <w:szCs w:val="20"/>
          <w:lang w:val="en-GB" w:eastAsia="en-US"/>
        </w:rPr>
        <w:t>The Chairperson of the Finance Portfolio Committee, Hon. J Mpisi, tabled the Committee’s Focused Intervention Study (FIS) Report on Gauteng Provincial Government’s Compliance with Government’s 30-Day Payment to Service Providers</w:t>
      </w:r>
      <w:r w:rsidRPr="00B72EA2">
        <w:rPr>
          <w:rFonts w:ascii="Arial" w:eastAsia="Times New Roman" w:hAnsi="Arial" w:cs="Arial"/>
          <w:b/>
          <w:bCs/>
          <w:color w:val="000000"/>
          <w:sz w:val="20"/>
          <w:szCs w:val="20"/>
          <w:lang w:val="en-GB" w:eastAsia="en-US"/>
        </w:rPr>
        <w:t>, as attached.</w:t>
      </w:r>
    </w:p>
    <w:p w14:paraId="0855A779" w14:textId="5797CFD1" w:rsidR="00B72EA2" w:rsidRDefault="00B72EA2" w:rsidP="009D3B75">
      <w:pPr>
        <w:jc w:val="center"/>
        <w:rPr>
          <w:rFonts w:ascii="Arial" w:hAnsi="Arial" w:cs="Arial"/>
          <w:b/>
          <w:bCs/>
        </w:rPr>
      </w:pPr>
      <w:bookmarkStart w:id="0" w:name="_GoBack"/>
      <w:bookmarkEnd w:id="0"/>
    </w:p>
    <w:p w14:paraId="760C6761" w14:textId="77777777" w:rsidR="00B72EA2" w:rsidRDefault="00B72EA2">
      <w:pPr>
        <w:rPr>
          <w:rFonts w:ascii="Arial" w:hAnsi="Arial" w:cs="Arial"/>
          <w:b/>
          <w:bCs/>
        </w:rPr>
      </w:pPr>
      <w:r>
        <w:rPr>
          <w:rFonts w:ascii="Arial" w:hAnsi="Arial" w:cs="Arial"/>
          <w:b/>
          <w:bCs/>
        </w:rPr>
        <w:br w:type="page"/>
      </w:r>
    </w:p>
    <w:p w14:paraId="6AC30B5D" w14:textId="77777777" w:rsidR="00776F2E" w:rsidRPr="009D3B75" w:rsidRDefault="00776F2E" w:rsidP="009D3B75">
      <w:pPr>
        <w:jc w:val="center"/>
        <w:rPr>
          <w:rFonts w:ascii="Arial" w:hAnsi="Arial" w:cs="Arial"/>
          <w:b/>
          <w:bCs/>
        </w:rPr>
      </w:pPr>
    </w:p>
    <w:p w14:paraId="0855A77A" w14:textId="77777777" w:rsidR="00B25D94" w:rsidRPr="009D3B75" w:rsidRDefault="007C6A0B" w:rsidP="009D3B75">
      <w:pPr>
        <w:jc w:val="center"/>
        <w:rPr>
          <w:rFonts w:ascii="Arial" w:hAnsi="Arial" w:cs="Arial"/>
          <w:b/>
          <w:bCs/>
        </w:rPr>
      </w:pPr>
      <w:r>
        <w:rPr>
          <w:rFonts w:ascii="Arial" w:hAnsi="Arial" w:cs="Arial"/>
          <w:b/>
          <w:bCs/>
          <w:noProof/>
          <w:lang w:bidi="he-IL"/>
        </w:rPr>
        <w:object w:dxaOrig="1440" w:dyaOrig="1440" w14:anchorId="0855A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1027" DrawAspect="Content" ObjectID="_1717223394" r:id="rId9"/>
        </w:object>
      </w:r>
    </w:p>
    <w:p w14:paraId="0855A77B" w14:textId="77777777" w:rsidR="00B25D94" w:rsidRPr="009D3B75" w:rsidRDefault="00B25D94" w:rsidP="009D3B75">
      <w:pPr>
        <w:jc w:val="center"/>
        <w:rPr>
          <w:rFonts w:ascii="Arial" w:hAnsi="Arial" w:cs="Arial"/>
          <w:b/>
          <w:bCs/>
        </w:rPr>
      </w:pPr>
    </w:p>
    <w:p w14:paraId="0855A77C" w14:textId="77777777" w:rsidR="00B25D94" w:rsidRPr="009D3B75" w:rsidRDefault="00B25D94" w:rsidP="009D3B75">
      <w:pPr>
        <w:jc w:val="center"/>
        <w:rPr>
          <w:rFonts w:ascii="Arial" w:hAnsi="Arial" w:cs="Arial"/>
          <w:b/>
          <w:bCs/>
        </w:rPr>
      </w:pPr>
    </w:p>
    <w:p w14:paraId="0855A77D" w14:textId="77777777" w:rsidR="00B25D94" w:rsidRPr="009D3B75" w:rsidRDefault="00B25D94" w:rsidP="009D3B75">
      <w:pPr>
        <w:jc w:val="center"/>
        <w:rPr>
          <w:rFonts w:ascii="Arial" w:hAnsi="Arial" w:cs="Arial"/>
          <w:b/>
          <w:bCs/>
        </w:rPr>
      </w:pPr>
    </w:p>
    <w:p w14:paraId="0855A77E" w14:textId="77777777" w:rsidR="00B25D94" w:rsidRPr="009D3B75" w:rsidRDefault="00B25D94" w:rsidP="009D3B75">
      <w:pPr>
        <w:jc w:val="center"/>
        <w:rPr>
          <w:rFonts w:ascii="Arial" w:hAnsi="Arial" w:cs="Arial"/>
          <w:b/>
          <w:bCs/>
        </w:rPr>
      </w:pPr>
    </w:p>
    <w:p w14:paraId="0855A77F" w14:textId="77777777" w:rsidR="00B25D94" w:rsidRPr="009D3B75" w:rsidRDefault="00B25D94" w:rsidP="009D3B75">
      <w:pPr>
        <w:jc w:val="center"/>
        <w:rPr>
          <w:rFonts w:ascii="Arial" w:hAnsi="Arial" w:cs="Arial"/>
          <w:b/>
          <w:bCs/>
        </w:rPr>
      </w:pPr>
    </w:p>
    <w:p w14:paraId="024DD01C" w14:textId="77777777" w:rsidR="00277292" w:rsidRPr="009D3B75" w:rsidRDefault="00277292" w:rsidP="009D3B75">
      <w:pPr>
        <w:jc w:val="center"/>
        <w:rPr>
          <w:rFonts w:ascii="Arial" w:hAnsi="Arial" w:cs="Arial"/>
          <w:b/>
          <w:bCs/>
        </w:rPr>
      </w:pPr>
    </w:p>
    <w:p w14:paraId="30830163" w14:textId="7A2A9CCA" w:rsidR="00D171E1" w:rsidRPr="009D3B75" w:rsidRDefault="003940C9" w:rsidP="009D3B75">
      <w:pPr>
        <w:jc w:val="center"/>
        <w:rPr>
          <w:rFonts w:ascii="Arial" w:hAnsi="Arial" w:cs="Arial"/>
          <w:b/>
          <w:bCs/>
          <w:sz w:val="28"/>
          <w:szCs w:val="28"/>
        </w:rPr>
      </w:pPr>
      <w:r>
        <w:rPr>
          <w:rFonts w:ascii="Arial" w:hAnsi="Arial" w:cs="Arial"/>
          <w:b/>
          <w:bCs/>
        </w:rPr>
        <w:t>Adopted</w:t>
      </w:r>
      <w:r w:rsidR="00D171E1" w:rsidRPr="009D3B75">
        <w:rPr>
          <w:rFonts w:ascii="Arial" w:hAnsi="Arial" w:cs="Arial"/>
          <w:b/>
          <w:bCs/>
        </w:rPr>
        <w:t xml:space="preserve"> </w:t>
      </w:r>
      <w:r w:rsidR="00664411" w:rsidRPr="009D3B75">
        <w:rPr>
          <w:rFonts w:ascii="Arial" w:hAnsi="Arial" w:cs="Arial"/>
          <w:b/>
          <w:bCs/>
        </w:rPr>
        <w:t>Finance Portfolio Committee Oversight Report on the Focus</w:t>
      </w:r>
      <w:r w:rsidR="00B25D94" w:rsidRPr="009D3B75">
        <w:rPr>
          <w:rFonts w:ascii="Arial" w:hAnsi="Arial" w:cs="Arial"/>
          <w:b/>
          <w:bCs/>
        </w:rPr>
        <w:t xml:space="preserve"> Intervention Study</w:t>
      </w:r>
      <w:r w:rsidR="00A22432" w:rsidRPr="009D3B75">
        <w:rPr>
          <w:rFonts w:ascii="Arial" w:hAnsi="Arial" w:cs="Arial"/>
          <w:b/>
          <w:bCs/>
        </w:rPr>
        <w:t xml:space="preserve"> (FIS)</w:t>
      </w:r>
      <w:r w:rsidR="00277292" w:rsidRPr="009D3B75">
        <w:rPr>
          <w:rFonts w:ascii="Arial" w:hAnsi="Arial" w:cs="Arial"/>
          <w:b/>
          <w:bCs/>
        </w:rPr>
        <w:t xml:space="preserve">: </w:t>
      </w:r>
      <w:r w:rsidR="00D171E1" w:rsidRPr="009D3B75">
        <w:rPr>
          <w:rFonts w:ascii="Arial" w:hAnsi="Arial" w:cs="Arial"/>
          <w:b/>
          <w:bCs/>
        </w:rPr>
        <w:t>Gauteng Provincial Government’s Compliance with Government’s 30-Day Payment to Service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477"/>
        <w:gridCol w:w="2437"/>
        <w:gridCol w:w="95"/>
        <w:gridCol w:w="1816"/>
      </w:tblGrid>
      <w:tr w:rsidR="009D3B75" w:rsidRPr="009D3B75" w14:paraId="0855A784" w14:textId="77777777" w:rsidTr="00D171E1">
        <w:trPr>
          <w:tblHeader/>
        </w:trPr>
        <w:tc>
          <w:tcPr>
            <w:tcW w:w="4668" w:type="dxa"/>
            <w:gridSpan w:val="2"/>
            <w:shd w:val="clear" w:color="auto" w:fill="FDE9D9"/>
          </w:tcPr>
          <w:p w14:paraId="0855A782" w14:textId="77777777" w:rsidR="003B5145" w:rsidRPr="009D3B75" w:rsidRDefault="003B5145" w:rsidP="009D3B75">
            <w:pPr>
              <w:jc w:val="center"/>
              <w:rPr>
                <w:rFonts w:ascii="Arial" w:eastAsia="Times New Roman" w:hAnsi="Arial" w:cs="Arial"/>
                <w:b/>
                <w:bCs/>
                <w:lang w:val="en-GB"/>
              </w:rPr>
            </w:pPr>
            <w:r w:rsidRPr="009D3B75">
              <w:rPr>
                <w:rFonts w:ascii="Arial" w:eastAsia="Times New Roman" w:hAnsi="Arial" w:cs="Arial"/>
                <w:b/>
                <w:bCs/>
                <w:i/>
                <w:iCs/>
              </w:rPr>
              <w:br w:type="page"/>
            </w:r>
            <w:r w:rsidRPr="009D3B75">
              <w:rPr>
                <w:rFonts w:ascii="Arial" w:eastAsia="Times New Roman" w:hAnsi="Arial" w:cs="Arial"/>
                <w:b/>
                <w:bCs/>
                <w:lang w:val="en-GB"/>
              </w:rPr>
              <w:t>Committee Details</w:t>
            </w:r>
          </w:p>
        </w:tc>
        <w:tc>
          <w:tcPr>
            <w:tcW w:w="4348" w:type="dxa"/>
            <w:gridSpan w:val="3"/>
            <w:shd w:val="clear" w:color="auto" w:fill="FDE9D9"/>
          </w:tcPr>
          <w:p w14:paraId="0855A783" w14:textId="77777777" w:rsidR="003B5145" w:rsidRPr="009D3B75" w:rsidRDefault="003B5145" w:rsidP="009D3B75">
            <w:pPr>
              <w:jc w:val="center"/>
              <w:rPr>
                <w:rFonts w:ascii="Arial" w:eastAsia="Times New Roman" w:hAnsi="Arial" w:cs="Arial"/>
                <w:b/>
                <w:bCs/>
                <w:lang w:val="en-GB"/>
              </w:rPr>
            </w:pPr>
            <w:r w:rsidRPr="009D3B75">
              <w:rPr>
                <w:rFonts w:ascii="Arial" w:eastAsia="Times New Roman" w:hAnsi="Arial" w:cs="Arial"/>
                <w:b/>
                <w:bCs/>
                <w:lang w:val="en-GB"/>
              </w:rPr>
              <w:t>Department Details</w:t>
            </w:r>
          </w:p>
        </w:tc>
      </w:tr>
      <w:tr w:rsidR="009D3B75" w:rsidRPr="009D3B75" w14:paraId="0855A789" w14:textId="77777777" w:rsidTr="00D171E1">
        <w:trPr>
          <w:tblHeader/>
        </w:trPr>
        <w:tc>
          <w:tcPr>
            <w:tcW w:w="2191" w:type="dxa"/>
            <w:shd w:val="clear" w:color="auto" w:fill="F2F2F2"/>
          </w:tcPr>
          <w:p w14:paraId="0855A785"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Name of Committee</w:t>
            </w:r>
          </w:p>
        </w:tc>
        <w:tc>
          <w:tcPr>
            <w:tcW w:w="2477" w:type="dxa"/>
            <w:shd w:val="clear" w:color="auto" w:fill="auto"/>
          </w:tcPr>
          <w:p w14:paraId="0855A786" w14:textId="77777777" w:rsidR="003B5145" w:rsidRPr="009D3B75" w:rsidRDefault="00664411" w:rsidP="009D3B75">
            <w:pPr>
              <w:rPr>
                <w:rFonts w:ascii="Arial" w:eastAsia="Times New Roman" w:hAnsi="Arial" w:cs="Arial"/>
                <w:b/>
                <w:bCs/>
                <w:lang w:val="en-GB"/>
              </w:rPr>
            </w:pPr>
            <w:r w:rsidRPr="009D3B75">
              <w:rPr>
                <w:rFonts w:ascii="Arial" w:eastAsia="Times New Roman" w:hAnsi="Arial" w:cs="Arial"/>
                <w:b/>
                <w:bCs/>
                <w:lang w:val="en-GB"/>
              </w:rPr>
              <w:t>Finance Portfolio Committee</w:t>
            </w:r>
          </w:p>
        </w:tc>
        <w:tc>
          <w:tcPr>
            <w:tcW w:w="2437" w:type="dxa"/>
            <w:shd w:val="clear" w:color="auto" w:fill="F2F2F2"/>
          </w:tcPr>
          <w:p w14:paraId="0855A787"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Name of Department</w:t>
            </w:r>
          </w:p>
        </w:tc>
        <w:tc>
          <w:tcPr>
            <w:tcW w:w="1911" w:type="dxa"/>
            <w:gridSpan w:val="2"/>
            <w:shd w:val="clear" w:color="auto" w:fill="auto"/>
          </w:tcPr>
          <w:p w14:paraId="0855A788" w14:textId="77777777" w:rsidR="003B5145" w:rsidRPr="009D3B75" w:rsidRDefault="000053E6" w:rsidP="009D3B75">
            <w:pPr>
              <w:rPr>
                <w:rFonts w:ascii="Arial" w:eastAsia="Times New Roman" w:hAnsi="Arial" w:cs="Arial"/>
                <w:b/>
                <w:bCs/>
                <w:lang w:val="en-GB"/>
              </w:rPr>
            </w:pPr>
            <w:r w:rsidRPr="009D3B75">
              <w:rPr>
                <w:rFonts w:ascii="Arial" w:eastAsia="Times New Roman" w:hAnsi="Arial" w:cs="Arial"/>
                <w:b/>
                <w:bCs/>
                <w:lang w:val="en-GB"/>
              </w:rPr>
              <w:t>Gauteng Provincial Treasury</w:t>
            </w:r>
          </w:p>
        </w:tc>
      </w:tr>
      <w:tr w:rsidR="009D3B75" w:rsidRPr="009D3B75" w14:paraId="0855A78E" w14:textId="77777777" w:rsidTr="00D171E1">
        <w:trPr>
          <w:tblHeader/>
        </w:trPr>
        <w:tc>
          <w:tcPr>
            <w:tcW w:w="2191" w:type="dxa"/>
            <w:shd w:val="clear" w:color="auto" w:fill="F2F2F2"/>
          </w:tcPr>
          <w:p w14:paraId="0855A78A"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Which Financial Year</w:t>
            </w:r>
          </w:p>
        </w:tc>
        <w:tc>
          <w:tcPr>
            <w:tcW w:w="2477" w:type="dxa"/>
            <w:shd w:val="clear" w:color="auto" w:fill="auto"/>
          </w:tcPr>
          <w:p w14:paraId="0855A78B" w14:textId="4761F645" w:rsidR="003B5145" w:rsidRPr="009D3B75" w:rsidRDefault="005A6E85" w:rsidP="009D3B75">
            <w:pPr>
              <w:rPr>
                <w:rFonts w:ascii="Arial" w:eastAsia="Times New Roman" w:hAnsi="Arial" w:cs="Arial"/>
                <w:b/>
                <w:bCs/>
                <w:lang w:val="en-GB"/>
              </w:rPr>
            </w:pPr>
            <w:r w:rsidRPr="009D3B75">
              <w:rPr>
                <w:rFonts w:ascii="Arial" w:eastAsia="Times New Roman" w:hAnsi="Arial" w:cs="Arial"/>
                <w:b/>
                <w:bCs/>
                <w:lang w:val="en-GB"/>
              </w:rPr>
              <w:t>20</w:t>
            </w:r>
            <w:r w:rsidR="001F6A65" w:rsidRPr="009D3B75">
              <w:rPr>
                <w:rFonts w:ascii="Arial" w:eastAsia="Times New Roman" w:hAnsi="Arial" w:cs="Arial"/>
                <w:b/>
                <w:bCs/>
                <w:lang w:val="en-GB"/>
              </w:rPr>
              <w:t>2</w:t>
            </w:r>
            <w:r w:rsidR="00D171E1" w:rsidRPr="009D3B75">
              <w:rPr>
                <w:rFonts w:ascii="Arial" w:eastAsia="Times New Roman" w:hAnsi="Arial" w:cs="Arial"/>
                <w:b/>
                <w:bCs/>
                <w:lang w:val="en-GB"/>
              </w:rPr>
              <w:t>1</w:t>
            </w:r>
            <w:r w:rsidRPr="009D3B75">
              <w:rPr>
                <w:rFonts w:ascii="Arial" w:eastAsia="Times New Roman" w:hAnsi="Arial" w:cs="Arial"/>
                <w:b/>
                <w:bCs/>
                <w:lang w:val="en-GB"/>
              </w:rPr>
              <w:t>/</w:t>
            </w:r>
            <w:r w:rsidR="001F6A65" w:rsidRPr="009D3B75">
              <w:rPr>
                <w:rFonts w:ascii="Arial" w:eastAsia="Times New Roman" w:hAnsi="Arial" w:cs="Arial"/>
                <w:b/>
                <w:bCs/>
                <w:lang w:val="en-GB"/>
              </w:rPr>
              <w:t>2</w:t>
            </w:r>
            <w:r w:rsidR="00D171E1" w:rsidRPr="009D3B75">
              <w:rPr>
                <w:rFonts w:ascii="Arial" w:eastAsia="Times New Roman" w:hAnsi="Arial" w:cs="Arial"/>
                <w:b/>
                <w:bCs/>
                <w:lang w:val="en-GB"/>
              </w:rPr>
              <w:t>2</w:t>
            </w:r>
          </w:p>
        </w:tc>
        <w:tc>
          <w:tcPr>
            <w:tcW w:w="2437" w:type="dxa"/>
            <w:shd w:val="clear" w:color="auto" w:fill="F2F2F2"/>
          </w:tcPr>
          <w:p w14:paraId="0855A78C"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Dept. Budget Vote Nr.</w:t>
            </w:r>
          </w:p>
        </w:tc>
        <w:tc>
          <w:tcPr>
            <w:tcW w:w="1911" w:type="dxa"/>
            <w:gridSpan w:val="2"/>
            <w:shd w:val="clear" w:color="auto" w:fill="auto"/>
          </w:tcPr>
          <w:p w14:paraId="0855A78D" w14:textId="77777777" w:rsidR="003B5145" w:rsidRPr="009D3B75" w:rsidRDefault="00C554F2" w:rsidP="009D3B75">
            <w:pPr>
              <w:rPr>
                <w:rFonts w:ascii="Arial" w:eastAsia="Times New Roman" w:hAnsi="Arial" w:cs="Arial"/>
                <w:b/>
                <w:bCs/>
                <w:lang w:val="en-GB"/>
              </w:rPr>
            </w:pPr>
            <w:r w:rsidRPr="009D3B75">
              <w:rPr>
                <w:rFonts w:ascii="Arial" w:eastAsia="Times New Roman" w:hAnsi="Arial" w:cs="Arial"/>
                <w:b/>
                <w:bCs/>
                <w:lang w:val="en-GB"/>
              </w:rPr>
              <w:t>1</w:t>
            </w:r>
            <w:r w:rsidR="00664411" w:rsidRPr="009D3B75">
              <w:rPr>
                <w:rFonts w:ascii="Arial" w:eastAsia="Times New Roman" w:hAnsi="Arial" w:cs="Arial"/>
                <w:b/>
                <w:bCs/>
                <w:lang w:val="en-GB"/>
              </w:rPr>
              <w:t>4</w:t>
            </w:r>
          </w:p>
        </w:tc>
      </w:tr>
      <w:tr w:rsidR="009D3B75" w:rsidRPr="009D3B75" w14:paraId="0855A793" w14:textId="77777777" w:rsidTr="00D171E1">
        <w:trPr>
          <w:tblHeader/>
        </w:trPr>
        <w:tc>
          <w:tcPr>
            <w:tcW w:w="2191" w:type="dxa"/>
            <w:shd w:val="clear" w:color="auto" w:fill="F2F2F2"/>
          </w:tcPr>
          <w:p w14:paraId="0855A78F"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 xml:space="preserve">Which </w:t>
            </w:r>
            <w:r w:rsidR="0058161B" w:rsidRPr="009D3B75">
              <w:rPr>
                <w:rFonts w:ascii="Arial" w:eastAsia="Times New Roman" w:hAnsi="Arial" w:cs="Arial"/>
                <w:b/>
                <w:bCs/>
                <w:lang w:val="en-GB"/>
              </w:rPr>
              <w:t>Imperative</w:t>
            </w:r>
          </w:p>
        </w:tc>
        <w:tc>
          <w:tcPr>
            <w:tcW w:w="2477" w:type="dxa"/>
            <w:shd w:val="clear" w:color="auto" w:fill="auto"/>
          </w:tcPr>
          <w:p w14:paraId="0855A790" w14:textId="349B04F6" w:rsidR="003B5145" w:rsidRPr="009D3B75" w:rsidRDefault="00D171E1" w:rsidP="009D3B75">
            <w:pPr>
              <w:rPr>
                <w:rFonts w:ascii="Arial" w:eastAsia="Times New Roman" w:hAnsi="Arial" w:cs="Arial"/>
                <w:b/>
                <w:bCs/>
                <w:lang w:val="en-GB"/>
              </w:rPr>
            </w:pPr>
            <w:r w:rsidRPr="009D3B75">
              <w:rPr>
                <w:rFonts w:ascii="Arial" w:eastAsia="Times New Roman" w:hAnsi="Arial" w:cs="Arial"/>
                <w:b/>
                <w:bCs/>
                <w:lang w:val="en-GB"/>
              </w:rPr>
              <w:t>Annual Report</w:t>
            </w:r>
            <w:r w:rsidR="001F6A65" w:rsidRPr="009D3B75">
              <w:rPr>
                <w:rFonts w:ascii="Arial" w:eastAsia="Times New Roman" w:hAnsi="Arial" w:cs="Arial"/>
                <w:b/>
                <w:bCs/>
                <w:lang w:val="en-GB"/>
              </w:rPr>
              <w:t xml:space="preserve"> Pro</w:t>
            </w:r>
            <w:r w:rsidR="00C75763" w:rsidRPr="009D3B75">
              <w:rPr>
                <w:rFonts w:ascii="Arial" w:eastAsia="Times New Roman" w:hAnsi="Arial" w:cs="Arial"/>
                <w:b/>
                <w:bCs/>
                <w:lang w:val="en-GB"/>
              </w:rPr>
              <w:t>cess</w:t>
            </w:r>
            <w:r w:rsidR="00545D89" w:rsidRPr="009D3B75">
              <w:rPr>
                <w:rFonts w:ascii="Arial" w:eastAsia="Times New Roman" w:hAnsi="Arial" w:cs="Arial"/>
                <w:b/>
                <w:bCs/>
                <w:lang w:val="en-GB"/>
              </w:rPr>
              <w:t xml:space="preserve"> </w:t>
            </w:r>
          </w:p>
        </w:tc>
        <w:tc>
          <w:tcPr>
            <w:tcW w:w="2437" w:type="dxa"/>
            <w:shd w:val="clear" w:color="auto" w:fill="F2F2F2"/>
          </w:tcPr>
          <w:p w14:paraId="0855A791"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Hon. MEC</w:t>
            </w:r>
          </w:p>
        </w:tc>
        <w:tc>
          <w:tcPr>
            <w:tcW w:w="1911" w:type="dxa"/>
            <w:gridSpan w:val="2"/>
            <w:shd w:val="clear" w:color="auto" w:fill="auto"/>
          </w:tcPr>
          <w:p w14:paraId="0855A792" w14:textId="09321C63" w:rsidR="003B5145" w:rsidRPr="009D3B75" w:rsidRDefault="001F6A65" w:rsidP="009D3B75">
            <w:pPr>
              <w:rPr>
                <w:rFonts w:ascii="Arial" w:eastAsia="Times New Roman" w:hAnsi="Arial" w:cs="Arial"/>
                <w:b/>
                <w:bCs/>
                <w:lang w:val="en-GB"/>
              </w:rPr>
            </w:pPr>
            <w:r w:rsidRPr="009D3B75">
              <w:rPr>
                <w:rFonts w:ascii="Arial" w:eastAsia="Times New Roman" w:hAnsi="Arial" w:cs="Arial"/>
                <w:b/>
                <w:bCs/>
                <w:lang w:val="en-GB"/>
              </w:rPr>
              <w:t>N. Nkomo-Ralehoko</w:t>
            </w:r>
          </w:p>
        </w:tc>
      </w:tr>
      <w:tr w:rsidR="009D3B75" w:rsidRPr="009D3B75" w14:paraId="0855A795" w14:textId="77777777" w:rsidTr="00D171E1">
        <w:trPr>
          <w:tblHeader/>
        </w:trPr>
        <w:tc>
          <w:tcPr>
            <w:tcW w:w="9016" w:type="dxa"/>
            <w:gridSpan w:val="5"/>
            <w:shd w:val="clear" w:color="auto" w:fill="FDE9D9"/>
          </w:tcPr>
          <w:p w14:paraId="0855A794" w14:textId="77777777" w:rsidR="003B5145" w:rsidRPr="009D3B75" w:rsidRDefault="003B5145" w:rsidP="009D3B75">
            <w:pPr>
              <w:jc w:val="center"/>
              <w:rPr>
                <w:rFonts w:ascii="Arial" w:eastAsia="Times New Roman" w:hAnsi="Arial" w:cs="Arial"/>
                <w:b/>
                <w:bCs/>
                <w:lang w:val="en-GB"/>
              </w:rPr>
            </w:pPr>
            <w:r w:rsidRPr="009D3B75">
              <w:rPr>
                <w:rFonts w:ascii="Arial" w:eastAsia="Times New Roman" w:hAnsi="Arial" w:cs="Arial"/>
                <w:b/>
                <w:bCs/>
                <w:lang w:val="en-GB"/>
              </w:rPr>
              <w:t>Committee Approvals</w:t>
            </w:r>
          </w:p>
        </w:tc>
      </w:tr>
      <w:tr w:rsidR="009D3B75" w:rsidRPr="009D3B75" w14:paraId="0855A79A" w14:textId="77777777" w:rsidTr="00D171E1">
        <w:trPr>
          <w:tblHeader/>
        </w:trPr>
        <w:tc>
          <w:tcPr>
            <w:tcW w:w="2191" w:type="dxa"/>
            <w:shd w:val="clear" w:color="auto" w:fill="F2F2F2"/>
          </w:tcPr>
          <w:p w14:paraId="0855A796" w14:textId="77777777" w:rsidR="003B5145" w:rsidRPr="009D3B75" w:rsidRDefault="003B5145" w:rsidP="009D3B75">
            <w:pPr>
              <w:rPr>
                <w:rFonts w:ascii="Arial" w:eastAsia="Times New Roman" w:hAnsi="Arial" w:cs="Arial"/>
                <w:b/>
                <w:bCs/>
                <w:lang w:val="en-GB"/>
              </w:rPr>
            </w:pPr>
          </w:p>
        </w:tc>
        <w:tc>
          <w:tcPr>
            <w:tcW w:w="2477" w:type="dxa"/>
            <w:shd w:val="clear" w:color="auto" w:fill="F2F2F2"/>
          </w:tcPr>
          <w:p w14:paraId="0855A797"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Name</w:t>
            </w:r>
          </w:p>
        </w:tc>
        <w:tc>
          <w:tcPr>
            <w:tcW w:w="2532" w:type="dxa"/>
            <w:gridSpan w:val="2"/>
            <w:shd w:val="clear" w:color="auto" w:fill="F2F2F2"/>
          </w:tcPr>
          <w:p w14:paraId="0855A798"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Signed</w:t>
            </w:r>
          </w:p>
        </w:tc>
        <w:tc>
          <w:tcPr>
            <w:tcW w:w="1816" w:type="dxa"/>
            <w:shd w:val="clear" w:color="auto" w:fill="F2F2F2"/>
          </w:tcPr>
          <w:p w14:paraId="0855A799" w14:textId="77777777"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Date</w:t>
            </w:r>
          </w:p>
        </w:tc>
      </w:tr>
      <w:tr w:rsidR="009D3B75" w:rsidRPr="009D3B75" w14:paraId="0855A79F" w14:textId="77777777" w:rsidTr="00D171E1">
        <w:trPr>
          <w:tblHeader/>
        </w:trPr>
        <w:tc>
          <w:tcPr>
            <w:tcW w:w="2191" w:type="dxa"/>
            <w:shd w:val="clear" w:color="auto" w:fill="F2F2F2"/>
          </w:tcPr>
          <w:p w14:paraId="0855A79B" w14:textId="14876ACB" w:rsidR="003B5145" w:rsidRPr="009D3B75" w:rsidRDefault="003B5145" w:rsidP="009D3B75">
            <w:pPr>
              <w:rPr>
                <w:rFonts w:ascii="Arial" w:eastAsia="Times New Roman" w:hAnsi="Arial" w:cs="Arial"/>
                <w:b/>
                <w:bCs/>
                <w:lang w:val="en-GB"/>
              </w:rPr>
            </w:pPr>
            <w:r w:rsidRPr="009D3B75">
              <w:rPr>
                <w:rFonts w:ascii="Arial" w:eastAsia="Times New Roman" w:hAnsi="Arial" w:cs="Arial"/>
                <w:b/>
                <w:bCs/>
                <w:lang w:val="en-GB"/>
              </w:rPr>
              <w:t>Hon</w:t>
            </w:r>
            <w:r w:rsidR="00220FEF" w:rsidRPr="009D3B75">
              <w:rPr>
                <w:rFonts w:ascii="Arial" w:eastAsia="Times New Roman" w:hAnsi="Arial" w:cs="Arial"/>
                <w:b/>
                <w:bCs/>
                <w:lang w:val="en-GB"/>
              </w:rPr>
              <w:t xml:space="preserve"> </w:t>
            </w:r>
            <w:r w:rsidRPr="009D3B75">
              <w:rPr>
                <w:rFonts w:ascii="Arial" w:eastAsia="Times New Roman" w:hAnsi="Arial" w:cs="Arial"/>
                <w:b/>
                <w:bCs/>
                <w:lang w:val="en-GB"/>
              </w:rPr>
              <w:t>Chairperson</w:t>
            </w:r>
          </w:p>
        </w:tc>
        <w:tc>
          <w:tcPr>
            <w:tcW w:w="2477" w:type="dxa"/>
            <w:shd w:val="clear" w:color="auto" w:fill="auto"/>
          </w:tcPr>
          <w:p w14:paraId="0855A79C" w14:textId="6A08095C" w:rsidR="003B5145" w:rsidRPr="009D3B75" w:rsidRDefault="001F6A65" w:rsidP="009D3B75">
            <w:pPr>
              <w:rPr>
                <w:rFonts w:ascii="Arial" w:eastAsia="Times New Roman" w:hAnsi="Arial" w:cs="Arial"/>
              </w:rPr>
            </w:pPr>
            <w:r w:rsidRPr="009D3B75">
              <w:rPr>
                <w:rFonts w:ascii="Arial" w:eastAsia="Times New Roman" w:hAnsi="Arial" w:cs="Arial"/>
              </w:rPr>
              <w:t>Joe Mpisi</w:t>
            </w:r>
            <w:r w:rsidR="00C554F2" w:rsidRPr="009D3B75">
              <w:rPr>
                <w:rFonts w:ascii="Arial" w:eastAsia="Times New Roman" w:hAnsi="Arial" w:cs="Arial"/>
              </w:rPr>
              <w:t xml:space="preserve"> </w:t>
            </w:r>
          </w:p>
        </w:tc>
        <w:tc>
          <w:tcPr>
            <w:tcW w:w="2532" w:type="dxa"/>
            <w:gridSpan w:val="2"/>
            <w:shd w:val="clear" w:color="auto" w:fill="auto"/>
          </w:tcPr>
          <w:p w14:paraId="0855A79D" w14:textId="77777777" w:rsidR="003B5145" w:rsidRPr="009D3B75" w:rsidRDefault="003B5145" w:rsidP="009D3B75">
            <w:pPr>
              <w:rPr>
                <w:rFonts w:ascii="Arial" w:eastAsia="Times New Roman" w:hAnsi="Arial" w:cs="Arial"/>
              </w:rPr>
            </w:pPr>
          </w:p>
        </w:tc>
        <w:tc>
          <w:tcPr>
            <w:tcW w:w="1816" w:type="dxa"/>
            <w:shd w:val="clear" w:color="auto" w:fill="auto"/>
          </w:tcPr>
          <w:p w14:paraId="0855A79E" w14:textId="5FB671A4" w:rsidR="003B5145" w:rsidRPr="009D3B75" w:rsidRDefault="00E974CB" w:rsidP="009D3B75">
            <w:pPr>
              <w:rPr>
                <w:rFonts w:ascii="Arial" w:eastAsia="Times New Roman" w:hAnsi="Arial" w:cs="Arial"/>
              </w:rPr>
            </w:pPr>
            <w:r w:rsidRPr="009D3B75">
              <w:rPr>
                <w:rFonts w:ascii="Arial" w:eastAsia="Times New Roman" w:hAnsi="Arial" w:cs="Arial"/>
                <w:b/>
                <w:bCs/>
                <w:lang w:val="en-GB"/>
              </w:rPr>
              <w:t>01 June 2022</w:t>
            </w:r>
          </w:p>
        </w:tc>
      </w:tr>
      <w:tr w:rsidR="009D3B75" w:rsidRPr="009D3B75" w14:paraId="0855A7A1" w14:textId="77777777" w:rsidTr="00D171E1">
        <w:trPr>
          <w:tblHeader/>
        </w:trPr>
        <w:tc>
          <w:tcPr>
            <w:tcW w:w="9016" w:type="dxa"/>
            <w:gridSpan w:val="5"/>
            <w:shd w:val="clear" w:color="auto" w:fill="FDE9D9"/>
          </w:tcPr>
          <w:p w14:paraId="0855A7A0" w14:textId="77777777" w:rsidR="003B5145" w:rsidRPr="009D3B75" w:rsidRDefault="003B5145" w:rsidP="009D3B75">
            <w:pPr>
              <w:jc w:val="center"/>
              <w:rPr>
                <w:rFonts w:ascii="Arial" w:eastAsia="Times New Roman" w:hAnsi="Arial" w:cs="Arial"/>
                <w:b/>
                <w:bCs/>
                <w:lang w:val="en-GB"/>
              </w:rPr>
            </w:pPr>
            <w:r w:rsidRPr="009D3B75">
              <w:rPr>
                <w:rFonts w:ascii="Arial" w:eastAsia="Times New Roman" w:hAnsi="Arial" w:cs="Arial"/>
                <w:b/>
                <w:bCs/>
                <w:lang w:val="en-GB"/>
              </w:rPr>
              <w:t>Adoption and Tabling</w:t>
            </w:r>
          </w:p>
        </w:tc>
      </w:tr>
      <w:tr w:rsidR="009D3B75" w:rsidRPr="009D3B75" w14:paraId="0855A7A4" w14:textId="77777777" w:rsidTr="00D171E1">
        <w:trPr>
          <w:tblHeader/>
        </w:trPr>
        <w:tc>
          <w:tcPr>
            <w:tcW w:w="4668" w:type="dxa"/>
            <w:gridSpan w:val="2"/>
            <w:shd w:val="clear" w:color="auto" w:fill="F2F2F2"/>
          </w:tcPr>
          <w:p w14:paraId="0855A7A2" w14:textId="77777777" w:rsidR="003B5145" w:rsidRPr="009D3B75" w:rsidRDefault="003B5145" w:rsidP="009D3B75">
            <w:pPr>
              <w:rPr>
                <w:rFonts w:ascii="Arial" w:eastAsia="Times New Roman" w:hAnsi="Arial" w:cs="Arial"/>
              </w:rPr>
            </w:pPr>
            <w:r w:rsidRPr="009D3B75">
              <w:rPr>
                <w:rFonts w:ascii="Arial" w:eastAsia="Times New Roman" w:hAnsi="Arial" w:cs="Arial"/>
                <w:b/>
                <w:bCs/>
                <w:lang w:val="en-GB"/>
              </w:rPr>
              <w:t xml:space="preserve">Date of Final Adoption by Committee </w:t>
            </w:r>
          </w:p>
        </w:tc>
        <w:tc>
          <w:tcPr>
            <w:tcW w:w="4348" w:type="dxa"/>
            <w:gridSpan w:val="3"/>
            <w:shd w:val="clear" w:color="auto" w:fill="F2F2F2"/>
          </w:tcPr>
          <w:p w14:paraId="0855A7A3" w14:textId="77777777" w:rsidR="003B5145" w:rsidRPr="009D3B75" w:rsidRDefault="003B5145" w:rsidP="009D3B75">
            <w:pPr>
              <w:rPr>
                <w:rFonts w:ascii="Arial" w:eastAsia="Times New Roman" w:hAnsi="Arial" w:cs="Arial"/>
              </w:rPr>
            </w:pPr>
            <w:r w:rsidRPr="009D3B75">
              <w:rPr>
                <w:rFonts w:ascii="Arial" w:eastAsia="Times New Roman" w:hAnsi="Arial" w:cs="Arial"/>
                <w:b/>
              </w:rPr>
              <w:t>Scheduled date of House Tabling</w:t>
            </w:r>
          </w:p>
        </w:tc>
      </w:tr>
      <w:tr w:rsidR="009D3B75" w:rsidRPr="009D3B75" w14:paraId="0855A7A7" w14:textId="77777777" w:rsidTr="00D171E1">
        <w:trPr>
          <w:tblHeader/>
        </w:trPr>
        <w:tc>
          <w:tcPr>
            <w:tcW w:w="4668" w:type="dxa"/>
            <w:gridSpan w:val="2"/>
            <w:shd w:val="clear" w:color="auto" w:fill="auto"/>
          </w:tcPr>
          <w:p w14:paraId="0855A7A5" w14:textId="3B6668A5" w:rsidR="00D171E1" w:rsidRPr="009D3B75" w:rsidRDefault="00D171E1" w:rsidP="009D3B75">
            <w:pPr>
              <w:rPr>
                <w:rFonts w:ascii="Arial" w:eastAsia="Times New Roman" w:hAnsi="Arial" w:cs="Arial"/>
                <w:b/>
                <w:bCs/>
                <w:lang w:val="en-GB"/>
              </w:rPr>
            </w:pPr>
            <w:r w:rsidRPr="009D3B75">
              <w:rPr>
                <w:rFonts w:ascii="Arial" w:eastAsia="Times New Roman" w:hAnsi="Arial" w:cs="Arial"/>
                <w:b/>
                <w:bCs/>
                <w:lang w:val="en-GB"/>
              </w:rPr>
              <w:t>0</w:t>
            </w:r>
            <w:r w:rsidR="00E974CB" w:rsidRPr="009D3B75">
              <w:rPr>
                <w:rFonts w:ascii="Arial" w:eastAsia="Times New Roman" w:hAnsi="Arial" w:cs="Arial"/>
                <w:b/>
                <w:bCs/>
                <w:lang w:val="en-GB"/>
              </w:rPr>
              <w:t>1 June</w:t>
            </w:r>
            <w:r w:rsidRPr="009D3B75">
              <w:rPr>
                <w:rFonts w:ascii="Arial" w:eastAsia="Times New Roman" w:hAnsi="Arial" w:cs="Arial"/>
                <w:b/>
                <w:bCs/>
                <w:lang w:val="en-GB"/>
              </w:rPr>
              <w:t xml:space="preserve"> 2022</w:t>
            </w:r>
          </w:p>
        </w:tc>
        <w:tc>
          <w:tcPr>
            <w:tcW w:w="4348" w:type="dxa"/>
            <w:gridSpan w:val="3"/>
            <w:shd w:val="clear" w:color="auto" w:fill="auto"/>
          </w:tcPr>
          <w:p w14:paraId="0855A7A6" w14:textId="30636AB7" w:rsidR="00D171E1" w:rsidRPr="009D3B75" w:rsidRDefault="00E974CB" w:rsidP="009D3B75">
            <w:pPr>
              <w:rPr>
                <w:rFonts w:ascii="Arial" w:eastAsia="Times New Roman" w:hAnsi="Arial" w:cs="Arial"/>
                <w:b/>
              </w:rPr>
            </w:pPr>
            <w:r w:rsidRPr="009D3B75">
              <w:rPr>
                <w:rFonts w:ascii="Arial" w:eastAsia="Times New Roman" w:hAnsi="Arial" w:cs="Arial"/>
                <w:b/>
                <w:bCs/>
                <w:lang w:val="en-GB"/>
              </w:rPr>
              <w:t>2</w:t>
            </w:r>
            <w:r w:rsidR="00D171E1" w:rsidRPr="009D3B75">
              <w:rPr>
                <w:rFonts w:ascii="Arial" w:eastAsia="Times New Roman" w:hAnsi="Arial" w:cs="Arial"/>
                <w:b/>
                <w:bCs/>
                <w:lang w:val="en-GB"/>
              </w:rPr>
              <w:t xml:space="preserve">1 </w:t>
            </w:r>
            <w:r w:rsidRPr="009D3B75">
              <w:rPr>
                <w:rFonts w:ascii="Arial" w:eastAsia="Times New Roman" w:hAnsi="Arial" w:cs="Arial"/>
                <w:b/>
                <w:bCs/>
                <w:lang w:val="en-GB"/>
              </w:rPr>
              <w:t>June</w:t>
            </w:r>
            <w:r w:rsidR="00D171E1" w:rsidRPr="009D3B75">
              <w:rPr>
                <w:rFonts w:ascii="Arial" w:eastAsia="Times New Roman" w:hAnsi="Arial" w:cs="Arial"/>
                <w:b/>
                <w:bCs/>
                <w:lang w:val="en-GB"/>
              </w:rPr>
              <w:t xml:space="preserve"> 2022</w:t>
            </w:r>
          </w:p>
        </w:tc>
      </w:tr>
    </w:tbl>
    <w:p w14:paraId="0855A7A8" w14:textId="77777777" w:rsidR="00486532" w:rsidRPr="009D3B75" w:rsidRDefault="00486532" w:rsidP="009D3B75">
      <w:pPr>
        <w:pStyle w:val="TOCHeading"/>
        <w:rPr>
          <w:rFonts w:ascii="Arial" w:eastAsia="Times New Roman" w:hAnsi="Arial" w:cs="Arial"/>
          <w:color w:val="auto"/>
          <w:sz w:val="22"/>
          <w:szCs w:val="22"/>
          <w:lang w:val="en-ZA" w:eastAsia="en-ZA"/>
        </w:rPr>
      </w:pPr>
    </w:p>
    <w:p w14:paraId="0855A7A9" w14:textId="2E6F5236" w:rsidR="00E955B1" w:rsidRPr="009D3B75" w:rsidRDefault="00E955B1" w:rsidP="009D3B75">
      <w:pPr>
        <w:rPr>
          <w:rFonts w:ascii="Arial" w:hAnsi="Arial" w:cs="Arial"/>
        </w:rPr>
      </w:pPr>
    </w:p>
    <w:p w14:paraId="7FB19E61" w14:textId="5C15FB5A" w:rsidR="00277292" w:rsidRPr="009D3B75" w:rsidRDefault="00277292" w:rsidP="009D3B75">
      <w:pPr>
        <w:rPr>
          <w:rFonts w:ascii="Arial" w:hAnsi="Arial" w:cs="Arial"/>
        </w:rPr>
      </w:pPr>
    </w:p>
    <w:p w14:paraId="52589F4F" w14:textId="77777777" w:rsidR="00277292" w:rsidRPr="009D3B75" w:rsidRDefault="00277292" w:rsidP="009D3B75">
      <w:pPr>
        <w:rPr>
          <w:rFonts w:ascii="Arial" w:hAnsi="Arial" w:cs="Arial"/>
        </w:rPr>
      </w:pPr>
    </w:p>
    <w:p w14:paraId="0855A7AA" w14:textId="77777777" w:rsidR="00E955B1" w:rsidRPr="009D3B75" w:rsidRDefault="00E955B1" w:rsidP="009D3B75">
      <w:pPr>
        <w:rPr>
          <w:rFonts w:ascii="Arial" w:hAnsi="Arial" w:cs="Arial"/>
        </w:rPr>
      </w:pPr>
    </w:p>
    <w:p w14:paraId="0855A7AB" w14:textId="77777777" w:rsidR="005A56E5" w:rsidRPr="009D3B75" w:rsidRDefault="005A56E5" w:rsidP="009D3B75">
      <w:pPr>
        <w:rPr>
          <w:rFonts w:ascii="Arial" w:hAnsi="Arial" w:cs="Arial"/>
        </w:rPr>
      </w:pPr>
    </w:p>
    <w:p w14:paraId="0855A7AC" w14:textId="77777777" w:rsidR="000553E3" w:rsidRPr="009D3B75" w:rsidRDefault="000553E3" w:rsidP="009D3B75">
      <w:pPr>
        <w:rPr>
          <w:rFonts w:ascii="Arial" w:hAnsi="Arial" w:cs="Arial"/>
          <w:b/>
          <w:bCs/>
        </w:rPr>
      </w:pPr>
      <w:r w:rsidRPr="009D3B75">
        <w:rPr>
          <w:rFonts w:ascii="Arial" w:hAnsi="Arial" w:cs="Arial"/>
          <w:b/>
          <w:bCs/>
        </w:rPr>
        <w:lastRenderedPageBreak/>
        <w:t>Table of Contents</w:t>
      </w:r>
    </w:p>
    <w:tbl>
      <w:tblPr>
        <w:tblStyle w:val="TableGrid"/>
        <w:tblW w:w="0" w:type="auto"/>
        <w:tblLook w:val="04A0" w:firstRow="1" w:lastRow="0" w:firstColumn="1" w:lastColumn="0" w:noHBand="0" w:noVBand="1"/>
      </w:tblPr>
      <w:tblGrid>
        <w:gridCol w:w="522"/>
        <w:gridCol w:w="7156"/>
        <w:gridCol w:w="1338"/>
      </w:tblGrid>
      <w:tr w:rsidR="009D3B75" w:rsidRPr="009D3B75" w14:paraId="0855A7B0" w14:textId="77777777" w:rsidTr="007C01FD">
        <w:tc>
          <w:tcPr>
            <w:tcW w:w="468" w:type="dxa"/>
          </w:tcPr>
          <w:p w14:paraId="0855A7AD" w14:textId="77777777" w:rsidR="007C01FD" w:rsidRPr="009D3B75" w:rsidRDefault="007C01FD" w:rsidP="009D3B75">
            <w:pPr>
              <w:spacing w:line="276" w:lineRule="auto"/>
              <w:rPr>
                <w:rFonts w:ascii="Arial" w:hAnsi="Arial" w:cs="Arial"/>
                <w:b/>
                <w:bCs/>
              </w:rPr>
            </w:pPr>
          </w:p>
        </w:tc>
        <w:tc>
          <w:tcPr>
            <w:tcW w:w="7405" w:type="dxa"/>
          </w:tcPr>
          <w:p w14:paraId="0855A7AE"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Topic</w:t>
            </w:r>
          </w:p>
        </w:tc>
        <w:tc>
          <w:tcPr>
            <w:tcW w:w="1369" w:type="dxa"/>
          </w:tcPr>
          <w:p w14:paraId="0855A7AF"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Page</w:t>
            </w:r>
          </w:p>
        </w:tc>
      </w:tr>
      <w:tr w:rsidR="009D3B75" w:rsidRPr="009D3B75" w14:paraId="0855A7B4" w14:textId="77777777" w:rsidTr="007C01FD">
        <w:tc>
          <w:tcPr>
            <w:tcW w:w="468" w:type="dxa"/>
          </w:tcPr>
          <w:p w14:paraId="0855A7B1" w14:textId="77777777" w:rsidR="007C01FD" w:rsidRPr="009D3B75" w:rsidRDefault="007C01FD" w:rsidP="009D3B75">
            <w:pPr>
              <w:spacing w:line="276" w:lineRule="auto"/>
              <w:rPr>
                <w:rFonts w:ascii="Arial" w:hAnsi="Arial" w:cs="Arial"/>
                <w:b/>
                <w:bCs/>
              </w:rPr>
            </w:pPr>
            <w:r w:rsidRPr="009D3B75">
              <w:rPr>
                <w:rFonts w:ascii="Arial" w:hAnsi="Arial" w:cs="Arial"/>
                <w:b/>
                <w:bCs/>
              </w:rPr>
              <w:t>1.</w:t>
            </w:r>
          </w:p>
        </w:tc>
        <w:tc>
          <w:tcPr>
            <w:tcW w:w="7405" w:type="dxa"/>
          </w:tcPr>
          <w:p w14:paraId="0855A7B2"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Abbreviations</w:t>
            </w:r>
          </w:p>
        </w:tc>
        <w:tc>
          <w:tcPr>
            <w:tcW w:w="1369" w:type="dxa"/>
          </w:tcPr>
          <w:p w14:paraId="0855A7B3"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3</w:t>
            </w:r>
          </w:p>
        </w:tc>
      </w:tr>
      <w:tr w:rsidR="009D3B75" w:rsidRPr="009D3B75" w14:paraId="0855A7B8" w14:textId="77777777" w:rsidTr="007C01FD">
        <w:tc>
          <w:tcPr>
            <w:tcW w:w="468" w:type="dxa"/>
          </w:tcPr>
          <w:p w14:paraId="0855A7B5" w14:textId="77777777" w:rsidR="007C01FD" w:rsidRPr="009D3B75" w:rsidRDefault="007C01FD" w:rsidP="009D3B75">
            <w:pPr>
              <w:spacing w:line="276" w:lineRule="auto"/>
              <w:rPr>
                <w:rFonts w:ascii="Arial" w:hAnsi="Arial" w:cs="Arial"/>
                <w:b/>
                <w:bCs/>
              </w:rPr>
            </w:pPr>
            <w:r w:rsidRPr="009D3B75">
              <w:rPr>
                <w:rFonts w:ascii="Arial" w:hAnsi="Arial" w:cs="Arial"/>
                <w:b/>
                <w:bCs/>
              </w:rPr>
              <w:t>2.</w:t>
            </w:r>
          </w:p>
        </w:tc>
        <w:tc>
          <w:tcPr>
            <w:tcW w:w="7405" w:type="dxa"/>
          </w:tcPr>
          <w:p w14:paraId="0855A7B6"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Executive Summary</w:t>
            </w:r>
          </w:p>
        </w:tc>
        <w:tc>
          <w:tcPr>
            <w:tcW w:w="1369" w:type="dxa"/>
          </w:tcPr>
          <w:p w14:paraId="0855A7B7"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4</w:t>
            </w:r>
          </w:p>
        </w:tc>
      </w:tr>
      <w:tr w:rsidR="009D3B75" w:rsidRPr="009D3B75" w14:paraId="0855A7BC" w14:textId="77777777" w:rsidTr="007C01FD">
        <w:tc>
          <w:tcPr>
            <w:tcW w:w="468" w:type="dxa"/>
          </w:tcPr>
          <w:p w14:paraId="0855A7B9" w14:textId="77777777" w:rsidR="007C01FD" w:rsidRPr="009D3B75" w:rsidRDefault="007C01FD" w:rsidP="009D3B75">
            <w:pPr>
              <w:spacing w:line="276" w:lineRule="auto"/>
              <w:rPr>
                <w:rFonts w:ascii="Arial" w:hAnsi="Arial" w:cs="Arial"/>
                <w:b/>
                <w:bCs/>
              </w:rPr>
            </w:pPr>
            <w:r w:rsidRPr="009D3B75">
              <w:rPr>
                <w:rFonts w:ascii="Arial" w:hAnsi="Arial" w:cs="Arial"/>
                <w:b/>
                <w:bCs/>
              </w:rPr>
              <w:t>3.</w:t>
            </w:r>
          </w:p>
        </w:tc>
        <w:tc>
          <w:tcPr>
            <w:tcW w:w="7405" w:type="dxa"/>
          </w:tcPr>
          <w:p w14:paraId="0855A7BA"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Introduction</w:t>
            </w:r>
          </w:p>
        </w:tc>
        <w:tc>
          <w:tcPr>
            <w:tcW w:w="1369" w:type="dxa"/>
          </w:tcPr>
          <w:p w14:paraId="0855A7BB"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5</w:t>
            </w:r>
          </w:p>
        </w:tc>
      </w:tr>
      <w:tr w:rsidR="009D3B75" w:rsidRPr="009D3B75" w14:paraId="0855A7C0" w14:textId="77777777" w:rsidTr="007C01FD">
        <w:tc>
          <w:tcPr>
            <w:tcW w:w="468" w:type="dxa"/>
          </w:tcPr>
          <w:p w14:paraId="0855A7BD" w14:textId="77777777" w:rsidR="007C01FD" w:rsidRPr="009D3B75" w:rsidRDefault="007C01FD" w:rsidP="009D3B75">
            <w:pPr>
              <w:spacing w:line="276" w:lineRule="auto"/>
              <w:rPr>
                <w:rFonts w:ascii="Arial" w:hAnsi="Arial" w:cs="Arial"/>
                <w:b/>
                <w:bCs/>
              </w:rPr>
            </w:pPr>
            <w:r w:rsidRPr="009D3B75">
              <w:rPr>
                <w:rFonts w:ascii="Arial" w:hAnsi="Arial" w:cs="Arial"/>
                <w:b/>
                <w:bCs/>
              </w:rPr>
              <w:t>4.</w:t>
            </w:r>
          </w:p>
        </w:tc>
        <w:tc>
          <w:tcPr>
            <w:tcW w:w="7405" w:type="dxa"/>
          </w:tcPr>
          <w:p w14:paraId="0855A7BE"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Process Followed</w:t>
            </w:r>
          </w:p>
        </w:tc>
        <w:tc>
          <w:tcPr>
            <w:tcW w:w="1369" w:type="dxa"/>
          </w:tcPr>
          <w:p w14:paraId="0855A7BF" w14:textId="1399B221" w:rsidR="007C01FD" w:rsidRPr="009D3B75" w:rsidRDefault="00990F11" w:rsidP="009D3B75">
            <w:pPr>
              <w:spacing w:after="200" w:line="276" w:lineRule="auto"/>
              <w:rPr>
                <w:rFonts w:ascii="Arial" w:hAnsi="Arial" w:cs="Arial"/>
                <w:b/>
                <w:bCs/>
              </w:rPr>
            </w:pPr>
            <w:r w:rsidRPr="009D3B75">
              <w:rPr>
                <w:rFonts w:ascii="Arial" w:hAnsi="Arial" w:cs="Arial"/>
                <w:b/>
                <w:bCs/>
              </w:rPr>
              <w:t>6</w:t>
            </w:r>
          </w:p>
        </w:tc>
      </w:tr>
      <w:tr w:rsidR="009D3B75" w:rsidRPr="009D3B75" w14:paraId="0855A7C4" w14:textId="77777777" w:rsidTr="007C01FD">
        <w:tc>
          <w:tcPr>
            <w:tcW w:w="468" w:type="dxa"/>
          </w:tcPr>
          <w:p w14:paraId="0855A7C1" w14:textId="77777777" w:rsidR="007C01FD" w:rsidRPr="009D3B75" w:rsidRDefault="0007078F" w:rsidP="009D3B75">
            <w:pPr>
              <w:spacing w:line="276" w:lineRule="auto"/>
              <w:rPr>
                <w:rFonts w:ascii="Arial" w:hAnsi="Arial" w:cs="Arial"/>
                <w:b/>
                <w:bCs/>
              </w:rPr>
            </w:pPr>
            <w:r w:rsidRPr="009D3B75">
              <w:rPr>
                <w:rFonts w:ascii="Arial" w:hAnsi="Arial" w:cs="Arial"/>
                <w:b/>
                <w:bCs/>
              </w:rPr>
              <w:t>5</w:t>
            </w:r>
            <w:r w:rsidR="007C01FD" w:rsidRPr="009D3B75">
              <w:rPr>
                <w:rFonts w:ascii="Arial" w:hAnsi="Arial" w:cs="Arial"/>
                <w:b/>
                <w:bCs/>
              </w:rPr>
              <w:t>.</w:t>
            </w:r>
          </w:p>
        </w:tc>
        <w:tc>
          <w:tcPr>
            <w:tcW w:w="7405" w:type="dxa"/>
          </w:tcPr>
          <w:p w14:paraId="0855A7C2"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Compliance and Quality</w:t>
            </w:r>
          </w:p>
        </w:tc>
        <w:tc>
          <w:tcPr>
            <w:tcW w:w="1369" w:type="dxa"/>
          </w:tcPr>
          <w:p w14:paraId="0855A7C3" w14:textId="77777777" w:rsidR="007C01FD" w:rsidRPr="009D3B75" w:rsidRDefault="000A301F" w:rsidP="009D3B75">
            <w:pPr>
              <w:spacing w:after="200" w:line="276" w:lineRule="auto"/>
              <w:rPr>
                <w:rFonts w:ascii="Arial" w:hAnsi="Arial" w:cs="Arial"/>
                <w:b/>
                <w:bCs/>
              </w:rPr>
            </w:pPr>
            <w:r w:rsidRPr="009D3B75">
              <w:rPr>
                <w:rFonts w:ascii="Arial" w:hAnsi="Arial" w:cs="Arial"/>
                <w:b/>
                <w:bCs/>
              </w:rPr>
              <w:t>6</w:t>
            </w:r>
          </w:p>
        </w:tc>
      </w:tr>
      <w:tr w:rsidR="009D3B75" w:rsidRPr="009D3B75" w14:paraId="0855A7C8" w14:textId="77777777" w:rsidTr="007C01FD">
        <w:tc>
          <w:tcPr>
            <w:tcW w:w="468" w:type="dxa"/>
          </w:tcPr>
          <w:p w14:paraId="0855A7C5" w14:textId="77777777" w:rsidR="007C01FD" w:rsidRPr="009D3B75" w:rsidRDefault="0007078F" w:rsidP="009D3B75">
            <w:pPr>
              <w:spacing w:line="276" w:lineRule="auto"/>
              <w:rPr>
                <w:rFonts w:ascii="Arial" w:hAnsi="Arial" w:cs="Arial"/>
                <w:b/>
                <w:bCs/>
              </w:rPr>
            </w:pPr>
            <w:r w:rsidRPr="009D3B75">
              <w:rPr>
                <w:rFonts w:ascii="Arial" w:hAnsi="Arial" w:cs="Arial"/>
                <w:b/>
                <w:bCs/>
              </w:rPr>
              <w:t>6</w:t>
            </w:r>
            <w:r w:rsidR="007C01FD" w:rsidRPr="009D3B75">
              <w:rPr>
                <w:rFonts w:ascii="Arial" w:hAnsi="Arial" w:cs="Arial"/>
                <w:b/>
                <w:bCs/>
              </w:rPr>
              <w:t>.</w:t>
            </w:r>
          </w:p>
        </w:tc>
        <w:tc>
          <w:tcPr>
            <w:tcW w:w="7405" w:type="dxa"/>
          </w:tcPr>
          <w:p w14:paraId="0855A7C6"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Oversight on Strategic Priorities</w:t>
            </w:r>
          </w:p>
        </w:tc>
        <w:tc>
          <w:tcPr>
            <w:tcW w:w="1369" w:type="dxa"/>
          </w:tcPr>
          <w:p w14:paraId="0855A7C7" w14:textId="272BD342" w:rsidR="007C01FD" w:rsidRPr="009D3B75" w:rsidRDefault="00990F11" w:rsidP="009D3B75">
            <w:pPr>
              <w:spacing w:after="200" w:line="276" w:lineRule="auto"/>
              <w:rPr>
                <w:rFonts w:ascii="Arial" w:hAnsi="Arial" w:cs="Arial"/>
                <w:b/>
                <w:bCs/>
              </w:rPr>
            </w:pPr>
            <w:r w:rsidRPr="009D3B75">
              <w:rPr>
                <w:rFonts w:ascii="Arial" w:hAnsi="Arial" w:cs="Arial"/>
                <w:b/>
                <w:bCs/>
              </w:rPr>
              <w:t>6</w:t>
            </w:r>
          </w:p>
        </w:tc>
      </w:tr>
      <w:tr w:rsidR="009D3B75" w:rsidRPr="009D3B75" w14:paraId="0855A7CC" w14:textId="77777777" w:rsidTr="007C01FD">
        <w:tc>
          <w:tcPr>
            <w:tcW w:w="468" w:type="dxa"/>
          </w:tcPr>
          <w:p w14:paraId="0855A7C9" w14:textId="77777777" w:rsidR="007C01FD" w:rsidRPr="009D3B75" w:rsidRDefault="0007078F" w:rsidP="009D3B75">
            <w:pPr>
              <w:spacing w:line="276" w:lineRule="auto"/>
              <w:rPr>
                <w:rFonts w:ascii="Arial" w:hAnsi="Arial" w:cs="Arial"/>
                <w:b/>
                <w:bCs/>
              </w:rPr>
            </w:pPr>
            <w:r w:rsidRPr="009D3B75">
              <w:rPr>
                <w:rFonts w:ascii="Arial" w:hAnsi="Arial" w:cs="Arial"/>
                <w:b/>
                <w:bCs/>
              </w:rPr>
              <w:t>7</w:t>
            </w:r>
            <w:r w:rsidR="007C01FD" w:rsidRPr="009D3B75">
              <w:rPr>
                <w:rFonts w:ascii="Arial" w:hAnsi="Arial" w:cs="Arial"/>
                <w:b/>
                <w:bCs/>
              </w:rPr>
              <w:t>.</w:t>
            </w:r>
          </w:p>
        </w:tc>
        <w:tc>
          <w:tcPr>
            <w:tcW w:w="7405" w:type="dxa"/>
          </w:tcPr>
          <w:p w14:paraId="0855A7CA"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Oversight on Public Involvement</w:t>
            </w:r>
          </w:p>
        </w:tc>
        <w:tc>
          <w:tcPr>
            <w:tcW w:w="1369" w:type="dxa"/>
          </w:tcPr>
          <w:p w14:paraId="0855A7CB" w14:textId="77777777" w:rsidR="007C01FD" w:rsidRPr="009D3B75" w:rsidRDefault="000A301F" w:rsidP="009D3B75">
            <w:pPr>
              <w:spacing w:after="200" w:line="276" w:lineRule="auto"/>
              <w:rPr>
                <w:rFonts w:ascii="Arial" w:hAnsi="Arial" w:cs="Arial"/>
                <w:b/>
                <w:bCs/>
              </w:rPr>
            </w:pPr>
            <w:r w:rsidRPr="009D3B75">
              <w:rPr>
                <w:rFonts w:ascii="Arial" w:hAnsi="Arial" w:cs="Arial"/>
                <w:b/>
                <w:bCs/>
              </w:rPr>
              <w:t>7</w:t>
            </w:r>
          </w:p>
        </w:tc>
      </w:tr>
      <w:tr w:rsidR="009D3B75" w:rsidRPr="009D3B75" w14:paraId="0855A7D1" w14:textId="77777777" w:rsidTr="007C01FD">
        <w:tc>
          <w:tcPr>
            <w:tcW w:w="468" w:type="dxa"/>
          </w:tcPr>
          <w:p w14:paraId="0855A7CD" w14:textId="77777777" w:rsidR="007C01FD" w:rsidRPr="009D3B75" w:rsidRDefault="0007078F" w:rsidP="009D3B75">
            <w:pPr>
              <w:spacing w:line="276" w:lineRule="auto"/>
              <w:rPr>
                <w:rFonts w:ascii="Arial" w:hAnsi="Arial" w:cs="Arial"/>
                <w:b/>
                <w:bCs/>
              </w:rPr>
            </w:pPr>
            <w:r w:rsidRPr="009D3B75">
              <w:rPr>
                <w:rFonts w:ascii="Arial" w:hAnsi="Arial" w:cs="Arial"/>
                <w:b/>
                <w:bCs/>
              </w:rPr>
              <w:t>8</w:t>
            </w:r>
            <w:r w:rsidR="007C01FD" w:rsidRPr="009D3B75">
              <w:rPr>
                <w:rFonts w:ascii="Arial" w:hAnsi="Arial" w:cs="Arial"/>
                <w:b/>
                <w:bCs/>
              </w:rPr>
              <w:t>.</w:t>
            </w:r>
          </w:p>
        </w:tc>
        <w:tc>
          <w:tcPr>
            <w:tcW w:w="7405" w:type="dxa"/>
            <w:shd w:val="clear" w:color="auto" w:fill="auto"/>
          </w:tcPr>
          <w:p w14:paraId="0855A7CE" w14:textId="77777777" w:rsidR="007C01FD" w:rsidRPr="009D3B75" w:rsidRDefault="007C01FD" w:rsidP="009D3B75">
            <w:pPr>
              <w:spacing w:line="276" w:lineRule="auto"/>
              <w:rPr>
                <w:rFonts w:ascii="Arial" w:hAnsi="Arial" w:cs="Arial"/>
                <w:b/>
                <w:bCs/>
              </w:rPr>
            </w:pPr>
            <w:r w:rsidRPr="009D3B75">
              <w:rPr>
                <w:rFonts w:ascii="Arial" w:hAnsi="Arial" w:cs="Arial"/>
                <w:b/>
                <w:bCs/>
              </w:rPr>
              <w:t>Oversight on Any Other Committee Focus Area</w:t>
            </w:r>
          </w:p>
          <w:p w14:paraId="0855A7CF" w14:textId="77777777" w:rsidR="007C01FD" w:rsidRPr="009D3B75" w:rsidRDefault="007C01FD" w:rsidP="009D3B75">
            <w:pPr>
              <w:spacing w:line="276" w:lineRule="auto"/>
              <w:rPr>
                <w:rFonts w:ascii="Arial" w:hAnsi="Arial" w:cs="Arial"/>
                <w:b/>
                <w:bCs/>
              </w:rPr>
            </w:pPr>
          </w:p>
        </w:tc>
        <w:tc>
          <w:tcPr>
            <w:tcW w:w="1369" w:type="dxa"/>
            <w:shd w:val="clear" w:color="auto" w:fill="auto"/>
          </w:tcPr>
          <w:p w14:paraId="0855A7D0" w14:textId="5AB542B8" w:rsidR="007C01FD" w:rsidRPr="009D3B75" w:rsidRDefault="00990F11" w:rsidP="009D3B75">
            <w:pPr>
              <w:spacing w:line="276" w:lineRule="auto"/>
              <w:rPr>
                <w:rFonts w:ascii="Arial" w:hAnsi="Arial" w:cs="Arial"/>
                <w:b/>
                <w:bCs/>
              </w:rPr>
            </w:pPr>
            <w:r w:rsidRPr="009D3B75">
              <w:rPr>
                <w:rFonts w:ascii="Arial" w:hAnsi="Arial" w:cs="Arial"/>
                <w:b/>
                <w:bCs/>
              </w:rPr>
              <w:t>8</w:t>
            </w:r>
          </w:p>
        </w:tc>
      </w:tr>
      <w:tr w:rsidR="009D3B75" w:rsidRPr="009D3B75" w14:paraId="0855A7D5" w14:textId="77777777" w:rsidTr="007C01FD">
        <w:tc>
          <w:tcPr>
            <w:tcW w:w="468" w:type="dxa"/>
          </w:tcPr>
          <w:p w14:paraId="0855A7D2" w14:textId="77777777" w:rsidR="007C01FD" w:rsidRPr="009D3B75" w:rsidRDefault="0007078F" w:rsidP="009D3B75">
            <w:pPr>
              <w:spacing w:line="276" w:lineRule="auto"/>
              <w:rPr>
                <w:rFonts w:ascii="Arial" w:hAnsi="Arial" w:cs="Arial"/>
                <w:b/>
                <w:bCs/>
              </w:rPr>
            </w:pPr>
            <w:r w:rsidRPr="009D3B75">
              <w:rPr>
                <w:rFonts w:ascii="Arial" w:hAnsi="Arial" w:cs="Arial"/>
                <w:b/>
                <w:bCs/>
              </w:rPr>
              <w:t>9</w:t>
            </w:r>
            <w:r w:rsidR="007C01FD" w:rsidRPr="009D3B75">
              <w:rPr>
                <w:rFonts w:ascii="Arial" w:hAnsi="Arial" w:cs="Arial"/>
                <w:b/>
                <w:bCs/>
              </w:rPr>
              <w:t>.</w:t>
            </w:r>
          </w:p>
        </w:tc>
        <w:tc>
          <w:tcPr>
            <w:tcW w:w="7405" w:type="dxa"/>
          </w:tcPr>
          <w:p w14:paraId="0855A7D3"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Findings, Recommendations and Implications on Law Making</w:t>
            </w:r>
          </w:p>
        </w:tc>
        <w:tc>
          <w:tcPr>
            <w:tcW w:w="1369" w:type="dxa"/>
          </w:tcPr>
          <w:p w14:paraId="0855A7D4" w14:textId="6332B712" w:rsidR="007C01FD" w:rsidRPr="009D3B75" w:rsidRDefault="000A301F" w:rsidP="009D3B75">
            <w:pPr>
              <w:spacing w:after="200" w:line="276" w:lineRule="auto"/>
              <w:rPr>
                <w:rFonts w:ascii="Arial" w:hAnsi="Arial" w:cs="Arial"/>
                <w:b/>
                <w:bCs/>
              </w:rPr>
            </w:pPr>
            <w:r w:rsidRPr="009D3B75">
              <w:rPr>
                <w:rFonts w:ascii="Arial" w:hAnsi="Arial" w:cs="Arial"/>
                <w:b/>
                <w:bCs/>
              </w:rPr>
              <w:t>1</w:t>
            </w:r>
            <w:r w:rsidR="009D3B75">
              <w:rPr>
                <w:rFonts w:ascii="Arial" w:hAnsi="Arial" w:cs="Arial"/>
                <w:b/>
                <w:bCs/>
              </w:rPr>
              <w:t>3</w:t>
            </w:r>
          </w:p>
        </w:tc>
      </w:tr>
      <w:tr w:rsidR="009D3B75" w:rsidRPr="009D3B75" w14:paraId="0855A7D9" w14:textId="77777777" w:rsidTr="007C01FD">
        <w:tc>
          <w:tcPr>
            <w:tcW w:w="468" w:type="dxa"/>
          </w:tcPr>
          <w:p w14:paraId="0855A7D6" w14:textId="77777777" w:rsidR="007C01FD" w:rsidRPr="009D3B75" w:rsidRDefault="007C01FD" w:rsidP="009D3B75">
            <w:pPr>
              <w:spacing w:line="276" w:lineRule="auto"/>
              <w:rPr>
                <w:rFonts w:ascii="Arial" w:hAnsi="Arial" w:cs="Arial"/>
                <w:b/>
                <w:bCs/>
              </w:rPr>
            </w:pPr>
            <w:r w:rsidRPr="009D3B75">
              <w:rPr>
                <w:rFonts w:ascii="Arial" w:hAnsi="Arial" w:cs="Arial"/>
                <w:b/>
                <w:bCs/>
              </w:rPr>
              <w:t>10.</w:t>
            </w:r>
          </w:p>
        </w:tc>
        <w:tc>
          <w:tcPr>
            <w:tcW w:w="7405" w:type="dxa"/>
          </w:tcPr>
          <w:p w14:paraId="0855A7D7"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Acknowledgements</w:t>
            </w:r>
          </w:p>
        </w:tc>
        <w:tc>
          <w:tcPr>
            <w:tcW w:w="1369" w:type="dxa"/>
          </w:tcPr>
          <w:p w14:paraId="0855A7D8" w14:textId="01684DBB" w:rsidR="007C01FD" w:rsidRPr="009D3B75" w:rsidRDefault="007C01FD" w:rsidP="009D3B75">
            <w:pPr>
              <w:spacing w:after="200" w:line="276" w:lineRule="auto"/>
              <w:rPr>
                <w:rFonts w:ascii="Arial" w:hAnsi="Arial" w:cs="Arial"/>
                <w:b/>
                <w:bCs/>
              </w:rPr>
            </w:pPr>
            <w:r w:rsidRPr="009D3B75">
              <w:rPr>
                <w:rFonts w:ascii="Arial" w:hAnsi="Arial" w:cs="Arial"/>
                <w:b/>
                <w:bCs/>
              </w:rPr>
              <w:t>1</w:t>
            </w:r>
            <w:r w:rsidR="00990F11" w:rsidRPr="009D3B75">
              <w:rPr>
                <w:rFonts w:ascii="Arial" w:hAnsi="Arial" w:cs="Arial"/>
                <w:b/>
                <w:bCs/>
              </w:rPr>
              <w:t>5</w:t>
            </w:r>
          </w:p>
        </w:tc>
      </w:tr>
      <w:tr w:rsidR="009D3B75" w:rsidRPr="009D3B75" w14:paraId="0855A7DD" w14:textId="77777777" w:rsidTr="007C01FD">
        <w:tc>
          <w:tcPr>
            <w:tcW w:w="468" w:type="dxa"/>
          </w:tcPr>
          <w:p w14:paraId="0855A7DA" w14:textId="77777777" w:rsidR="007C01FD" w:rsidRPr="009D3B75" w:rsidRDefault="007C01FD" w:rsidP="009D3B75">
            <w:pPr>
              <w:spacing w:line="276" w:lineRule="auto"/>
              <w:rPr>
                <w:rFonts w:ascii="Arial" w:hAnsi="Arial" w:cs="Arial"/>
                <w:b/>
                <w:bCs/>
              </w:rPr>
            </w:pPr>
            <w:r w:rsidRPr="009D3B75">
              <w:rPr>
                <w:rFonts w:ascii="Arial" w:hAnsi="Arial" w:cs="Arial"/>
                <w:b/>
                <w:bCs/>
              </w:rPr>
              <w:t>11.</w:t>
            </w:r>
          </w:p>
        </w:tc>
        <w:tc>
          <w:tcPr>
            <w:tcW w:w="7405" w:type="dxa"/>
          </w:tcPr>
          <w:p w14:paraId="0855A7DB" w14:textId="77777777" w:rsidR="007C01FD" w:rsidRPr="009D3B75" w:rsidRDefault="007C01FD" w:rsidP="009D3B75">
            <w:pPr>
              <w:spacing w:after="200" w:line="276" w:lineRule="auto"/>
              <w:rPr>
                <w:rFonts w:ascii="Arial" w:hAnsi="Arial" w:cs="Arial"/>
                <w:b/>
                <w:bCs/>
              </w:rPr>
            </w:pPr>
            <w:r w:rsidRPr="009D3B75">
              <w:rPr>
                <w:rFonts w:ascii="Arial" w:hAnsi="Arial" w:cs="Arial"/>
                <w:b/>
                <w:bCs/>
              </w:rPr>
              <w:t>Adoption</w:t>
            </w:r>
          </w:p>
        </w:tc>
        <w:tc>
          <w:tcPr>
            <w:tcW w:w="1369" w:type="dxa"/>
          </w:tcPr>
          <w:p w14:paraId="0855A7DC" w14:textId="1C02D694" w:rsidR="007C01FD" w:rsidRPr="009D3B75" w:rsidRDefault="007C01FD" w:rsidP="009D3B75">
            <w:pPr>
              <w:spacing w:after="200" w:line="276" w:lineRule="auto"/>
              <w:rPr>
                <w:rFonts w:ascii="Arial" w:hAnsi="Arial" w:cs="Arial"/>
                <w:b/>
                <w:bCs/>
              </w:rPr>
            </w:pPr>
            <w:r w:rsidRPr="009D3B75">
              <w:rPr>
                <w:rFonts w:ascii="Arial" w:hAnsi="Arial" w:cs="Arial"/>
                <w:b/>
                <w:bCs/>
              </w:rPr>
              <w:t>1</w:t>
            </w:r>
            <w:r w:rsidR="009D3B75">
              <w:rPr>
                <w:rFonts w:ascii="Arial" w:hAnsi="Arial" w:cs="Arial"/>
                <w:b/>
                <w:bCs/>
              </w:rPr>
              <w:t>5</w:t>
            </w:r>
          </w:p>
        </w:tc>
      </w:tr>
    </w:tbl>
    <w:p w14:paraId="0855A7DE" w14:textId="77777777" w:rsidR="000553E3" w:rsidRPr="009D3B75" w:rsidRDefault="000553E3" w:rsidP="009D3B75">
      <w:pPr>
        <w:rPr>
          <w:rFonts w:ascii="Arial" w:hAnsi="Arial" w:cs="Arial"/>
          <w:b/>
          <w:bCs/>
        </w:rPr>
      </w:pPr>
    </w:p>
    <w:p w14:paraId="0855A7DF" w14:textId="77777777" w:rsidR="005A56E5" w:rsidRPr="009D3B75" w:rsidRDefault="005A56E5" w:rsidP="009D3B75">
      <w:pPr>
        <w:rPr>
          <w:rFonts w:ascii="Arial" w:hAnsi="Arial" w:cs="Arial"/>
        </w:rPr>
      </w:pPr>
    </w:p>
    <w:p w14:paraId="0855A7E0" w14:textId="77777777" w:rsidR="000553E3" w:rsidRPr="009D3B75" w:rsidRDefault="000553E3" w:rsidP="009D3B75">
      <w:pPr>
        <w:rPr>
          <w:rFonts w:ascii="Arial" w:hAnsi="Arial" w:cs="Arial"/>
        </w:rPr>
      </w:pPr>
    </w:p>
    <w:p w14:paraId="0855A7E1" w14:textId="77777777" w:rsidR="00486532" w:rsidRPr="009D3B75" w:rsidRDefault="00486532" w:rsidP="009D3B75">
      <w:pPr>
        <w:rPr>
          <w:rFonts w:ascii="Arial" w:hAnsi="Arial" w:cs="Arial"/>
          <w:bCs/>
          <w:i/>
        </w:rPr>
      </w:pPr>
      <w:r w:rsidRPr="009D3B75">
        <w:rPr>
          <w:rFonts w:ascii="Arial" w:hAnsi="Arial" w:cs="Arial"/>
          <w:bCs/>
          <w:i/>
        </w:rPr>
        <w:br w:type="page"/>
      </w:r>
    </w:p>
    <w:p w14:paraId="0855A7E2" w14:textId="77777777" w:rsidR="00634D8A" w:rsidRPr="009D3B75" w:rsidRDefault="00634D8A" w:rsidP="009D3B75">
      <w:pPr>
        <w:pStyle w:val="Heading1"/>
        <w:numPr>
          <w:ilvl w:val="0"/>
          <w:numId w:val="1"/>
        </w:numPr>
        <w:shd w:val="clear" w:color="auto" w:fill="F2F2F2" w:themeFill="background1" w:themeFillShade="F2"/>
        <w:spacing w:line="276" w:lineRule="auto"/>
        <w:ind w:left="567" w:hanging="567"/>
        <w:rPr>
          <w:rFonts w:ascii="Arial" w:hAnsi="Arial" w:cs="Arial"/>
          <w:color w:val="auto"/>
          <w:sz w:val="22"/>
          <w:szCs w:val="22"/>
        </w:rPr>
      </w:pPr>
      <w:bookmarkStart w:id="1" w:name="_Toc395007631"/>
      <w:bookmarkStart w:id="2" w:name="_Toc401138925"/>
      <w:r w:rsidRPr="009D3B75">
        <w:rPr>
          <w:rFonts w:ascii="Arial" w:hAnsi="Arial" w:cs="Arial"/>
          <w:color w:val="auto"/>
          <w:sz w:val="22"/>
          <w:szCs w:val="22"/>
        </w:rPr>
        <w:lastRenderedPageBreak/>
        <w:t>ABBREVIATIONS</w:t>
      </w:r>
      <w:bookmarkEnd w:id="1"/>
      <w:bookmarkEnd w:id="2"/>
    </w:p>
    <w:p w14:paraId="0855A7E3" w14:textId="77777777" w:rsidR="002127FE" w:rsidRPr="009D3B75" w:rsidRDefault="002127FE" w:rsidP="009D3B75">
      <w:pPr>
        <w:rPr>
          <w:rFonts w:ascii="Arial" w:hAnsi="Arial" w:cs="Arial"/>
        </w:rPr>
      </w:pPr>
    </w:p>
    <w:tbl>
      <w:tblPr>
        <w:tblStyle w:val="TableGrid"/>
        <w:tblW w:w="0" w:type="auto"/>
        <w:tblLook w:val="04A0" w:firstRow="1" w:lastRow="0" w:firstColumn="1" w:lastColumn="0" w:noHBand="0" w:noVBand="1"/>
      </w:tblPr>
      <w:tblGrid>
        <w:gridCol w:w="3039"/>
        <w:gridCol w:w="5977"/>
      </w:tblGrid>
      <w:tr w:rsidR="009D3B75" w:rsidRPr="009D3B75" w14:paraId="0855A7E6" w14:textId="77777777" w:rsidTr="00343FBF">
        <w:tc>
          <w:tcPr>
            <w:tcW w:w="3039" w:type="dxa"/>
            <w:shd w:val="clear" w:color="auto" w:fill="F2F2F2" w:themeFill="background1" w:themeFillShade="F2"/>
          </w:tcPr>
          <w:p w14:paraId="0855A7E4" w14:textId="77777777" w:rsidR="002127FE" w:rsidRPr="009D3B75" w:rsidRDefault="002127FE" w:rsidP="009D3B75">
            <w:pPr>
              <w:spacing w:line="276" w:lineRule="auto"/>
              <w:rPr>
                <w:rFonts w:ascii="Arial" w:hAnsi="Arial" w:cs="Arial"/>
                <w:b/>
                <w:bCs/>
              </w:rPr>
            </w:pPr>
            <w:r w:rsidRPr="009D3B75">
              <w:rPr>
                <w:rFonts w:ascii="Arial" w:hAnsi="Arial" w:cs="Arial"/>
                <w:b/>
                <w:bCs/>
              </w:rPr>
              <w:t>Abbreviation</w:t>
            </w:r>
          </w:p>
        </w:tc>
        <w:tc>
          <w:tcPr>
            <w:tcW w:w="5977" w:type="dxa"/>
            <w:shd w:val="clear" w:color="auto" w:fill="F2F2F2" w:themeFill="background1" w:themeFillShade="F2"/>
          </w:tcPr>
          <w:p w14:paraId="0855A7E5" w14:textId="77777777" w:rsidR="002127FE" w:rsidRPr="009D3B75" w:rsidRDefault="002127FE" w:rsidP="009D3B75">
            <w:pPr>
              <w:spacing w:line="276" w:lineRule="auto"/>
              <w:rPr>
                <w:rFonts w:ascii="Arial" w:hAnsi="Arial" w:cs="Arial"/>
                <w:b/>
                <w:bCs/>
              </w:rPr>
            </w:pPr>
            <w:r w:rsidRPr="009D3B75">
              <w:rPr>
                <w:rFonts w:ascii="Arial" w:hAnsi="Arial" w:cs="Arial"/>
                <w:b/>
                <w:bCs/>
              </w:rPr>
              <w:t>Full Wording</w:t>
            </w:r>
          </w:p>
        </w:tc>
      </w:tr>
      <w:tr w:rsidR="009D3B75" w:rsidRPr="009D3B75" w14:paraId="0855A7E9" w14:textId="77777777" w:rsidTr="00343FBF">
        <w:tc>
          <w:tcPr>
            <w:tcW w:w="3039" w:type="dxa"/>
          </w:tcPr>
          <w:p w14:paraId="0855A7E7" w14:textId="77777777" w:rsidR="00343FBF" w:rsidRPr="009D3B75" w:rsidRDefault="00343FBF" w:rsidP="009D3B75">
            <w:pPr>
              <w:spacing w:line="276" w:lineRule="auto"/>
              <w:rPr>
                <w:rFonts w:ascii="Arial" w:hAnsi="Arial" w:cs="Arial"/>
                <w:bCs/>
              </w:rPr>
            </w:pPr>
            <w:r w:rsidRPr="009D3B75">
              <w:rPr>
                <w:rFonts w:ascii="Arial" w:hAnsi="Arial" w:cs="Arial"/>
                <w:bCs/>
              </w:rPr>
              <w:t>AFS</w:t>
            </w:r>
          </w:p>
        </w:tc>
        <w:tc>
          <w:tcPr>
            <w:tcW w:w="5977" w:type="dxa"/>
          </w:tcPr>
          <w:p w14:paraId="0855A7E8" w14:textId="77777777" w:rsidR="00343FBF" w:rsidRPr="009D3B75" w:rsidRDefault="00343FBF" w:rsidP="009D3B75">
            <w:pPr>
              <w:spacing w:line="276" w:lineRule="auto"/>
              <w:rPr>
                <w:rFonts w:ascii="Arial" w:hAnsi="Arial" w:cs="Arial"/>
                <w:lang w:val="en"/>
              </w:rPr>
            </w:pPr>
            <w:r w:rsidRPr="009D3B75">
              <w:rPr>
                <w:rFonts w:ascii="Arial" w:hAnsi="Arial" w:cs="Arial"/>
                <w:lang w:val="en"/>
              </w:rPr>
              <w:t>Annual Financial Statements</w:t>
            </w:r>
          </w:p>
        </w:tc>
      </w:tr>
      <w:tr w:rsidR="009D3B75" w:rsidRPr="009D3B75" w14:paraId="0855A7EC" w14:textId="77777777" w:rsidTr="00343FBF">
        <w:tc>
          <w:tcPr>
            <w:tcW w:w="3039" w:type="dxa"/>
          </w:tcPr>
          <w:p w14:paraId="0855A7EA" w14:textId="77777777" w:rsidR="00343FBF" w:rsidRPr="009D3B75" w:rsidRDefault="00343FBF" w:rsidP="009D3B75">
            <w:pPr>
              <w:spacing w:line="276" w:lineRule="auto"/>
              <w:rPr>
                <w:rFonts w:ascii="Arial" w:hAnsi="Arial" w:cs="Arial"/>
                <w:bCs/>
              </w:rPr>
            </w:pPr>
            <w:r w:rsidRPr="009D3B75">
              <w:rPr>
                <w:rFonts w:ascii="Arial" w:hAnsi="Arial" w:cs="Arial"/>
                <w:bCs/>
              </w:rPr>
              <w:t>AG</w:t>
            </w:r>
          </w:p>
        </w:tc>
        <w:tc>
          <w:tcPr>
            <w:tcW w:w="5977" w:type="dxa"/>
          </w:tcPr>
          <w:p w14:paraId="0855A7EB" w14:textId="77777777" w:rsidR="00343FBF" w:rsidRPr="009D3B75" w:rsidRDefault="00343FBF" w:rsidP="009D3B75">
            <w:pPr>
              <w:spacing w:line="276" w:lineRule="auto"/>
              <w:rPr>
                <w:rFonts w:ascii="Arial" w:hAnsi="Arial" w:cs="Arial"/>
                <w:lang w:val="en"/>
              </w:rPr>
            </w:pPr>
            <w:r w:rsidRPr="009D3B75">
              <w:rPr>
                <w:rFonts w:ascii="Arial" w:hAnsi="Arial" w:cs="Arial"/>
                <w:lang w:val="en"/>
              </w:rPr>
              <w:t>Auditor General</w:t>
            </w:r>
          </w:p>
        </w:tc>
      </w:tr>
      <w:tr w:rsidR="009D3B75" w:rsidRPr="009D3B75" w14:paraId="0855A7F2" w14:textId="77777777" w:rsidTr="00343FBF">
        <w:tc>
          <w:tcPr>
            <w:tcW w:w="3039" w:type="dxa"/>
          </w:tcPr>
          <w:p w14:paraId="0855A7F0" w14:textId="77777777" w:rsidR="0004251A" w:rsidRPr="009D3B75" w:rsidRDefault="00343FBF" w:rsidP="009D3B75">
            <w:pPr>
              <w:spacing w:line="276" w:lineRule="auto"/>
              <w:rPr>
                <w:rFonts w:ascii="Arial" w:hAnsi="Arial" w:cs="Arial"/>
                <w:bCs/>
              </w:rPr>
            </w:pPr>
            <w:r w:rsidRPr="009D3B75">
              <w:rPr>
                <w:rFonts w:ascii="Arial" w:hAnsi="Arial" w:cs="Arial"/>
                <w:bCs/>
              </w:rPr>
              <w:t>CFO</w:t>
            </w:r>
          </w:p>
        </w:tc>
        <w:tc>
          <w:tcPr>
            <w:tcW w:w="5977" w:type="dxa"/>
          </w:tcPr>
          <w:p w14:paraId="0855A7F1" w14:textId="77777777" w:rsidR="0004251A" w:rsidRPr="009D3B75" w:rsidRDefault="00343FBF" w:rsidP="009D3B75">
            <w:pPr>
              <w:spacing w:line="276" w:lineRule="auto"/>
              <w:rPr>
                <w:rFonts w:ascii="Arial" w:hAnsi="Arial" w:cs="Arial"/>
                <w:bCs/>
              </w:rPr>
            </w:pPr>
            <w:r w:rsidRPr="009D3B75">
              <w:rPr>
                <w:rFonts w:ascii="Arial" w:hAnsi="Arial" w:cs="Arial"/>
                <w:lang w:val="en"/>
              </w:rPr>
              <w:t>Chief Financial Officer</w:t>
            </w:r>
          </w:p>
        </w:tc>
      </w:tr>
      <w:tr w:rsidR="009D3B75" w:rsidRPr="009D3B75" w14:paraId="239D9665" w14:textId="77777777" w:rsidTr="00343FBF">
        <w:tc>
          <w:tcPr>
            <w:tcW w:w="3039" w:type="dxa"/>
          </w:tcPr>
          <w:p w14:paraId="70BDCDA4" w14:textId="31A5035E" w:rsidR="009D3B75" w:rsidRPr="009D3B75" w:rsidRDefault="009D3B75" w:rsidP="009D3B75">
            <w:pPr>
              <w:rPr>
                <w:rFonts w:ascii="Arial" w:hAnsi="Arial" w:cs="Arial"/>
                <w:bCs/>
              </w:rPr>
            </w:pPr>
            <w:r>
              <w:rPr>
                <w:rFonts w:ascii="Arial" w:hAnsi="Arial" w:cs="Arial"/>
                <w:bCs/>
              </w:rPr>
              <w:t>DID</w:t>
            </w:r>
          </w:p>
        </w:tc>
        <w:tc>
          <w:tcPr>
            <w:tcW w:w="5977" w:type="dxa"/>
          </w:tcPr>
          <w:p w14:paraId="3C870A29" w14:textId="36D0C3DA" w:rsidR="009D3B75" w:rsidRPr="009D3B75" w:rsidRDefault="009D3B75" w:rsidP="009D3B75">
            <w:pPr>
              <w:rPr>
                <w:rFonts w:ascii="Arial" w:hAnsi="Arial" w:cs="Arial"/>
                <w:lang w:val="en"/>
              </w:rPr>
            </w:pPr>
            <w:r>
              <w:rPr>
                <w:rFonts w:ascii="Arial" w:hAnsi="Arial" w:cs="Arial"/>
                <w:lang w:val="en"/>
              </w:rPr>
              <w:t>Department of Infrastructure Development</w:t>
            </w:r>
          </w:p>
        </w:tc>
      </w:tr>
      <w:tr w:rsidR="009D3B75" w:rsidRPr="009D3B75" w14:paraId="0855A7F5" w14:textId="77777777" w:rsidTr="00343FBF">
        <w:tc>
          <w:tcPr>
            <w:tcW w:w="3039" w:type="dxa"/>
          </w:tcPr>
          <w:p w14:paraId="0855A7F3" w14:textId="77777777" w:rsidR="00343FBF" w:rsidRPr="009D3B75" w:rsidRDefault="00343FBF" w:rsidP="009D3B75">
            <w:pPr>
              <w:spacing w:line="276" w:lineRule="auto"/>
              <w:rPr>
                <w:rFonts w:ascii="Arial" w:hAnsi="Arial" w:cs="Arial"/>
                <w:bCs/>
              </w:rPr>
            </w:pPr>
            <w:r w:rsidRPr="009D3B75">
              <w:rPr>
                <w:rFonts w:ascii="Arial" w:hAnsi="Arial" w:cs="Arial"/>
                <w:bCs/>
              </w:rPr>
              <w:t xml:space="preserve">FIS </w:t>
            </w:r>
          </w:p>
        </w:tc>
        <w:tc>
          <w:tcPr>
            <w:tcW w:w="5977" w:type="dxa"/>
          </w:tcPr>
          <w:p w14:paraId="0855A7F4" w14:textId="77777777" w:rsidR="00343FBF" w:rsidRPr="009D3B75" w:rsidRDefault="00343FBF" w:rsidP="009D3B75">
            <w:pPr>
              <w:spacing w:line="276" w:lineRule="auto"/>
              <w:rPr>
                <w:rFonts w:ascii="Arial" w:hAnsi="Arial" w:cs="Arial"/>
                <w:bCs/>
              </w:rPr>
            </w:pPr>
            <w:r w:rsidRPr="009D3B75">
              <w:rPr>
                <w:rFonts w:ascii="Arial" w:hAnsi="Arial" w:cs="Arial"/>
                <w:bCs/>
              </w:rPr>
              <w:t xml:space="preserve">Focus Intervention Study </w:t>
            </w:r>
          </w:p>
        </w:tc>
      </w:tr>
      <w:tr w:rsidR="004E3FD8" w:rsidRPr="009D3B75" w14:paraId="2A18BBFC" w14:textId="77777777" w:rsidTr="00343FBF">
        <w:tc>
          <w:tcPr>
            <w:tcW w:w="3039" w:type="dxa"/>
          </w:tcPr>
          <w:p w14:paraId="1D0EA9E4" w14:textId="3D8999E4" w:rsidR="004E3FD8" w:rsidRPr="009D3B75" w:rsidRDefault="004E3FD8" w:rsidP="009D3B75">
            <w:pPr>
              <w:rPr>
                <w:rFonts w:ascii="Arial" w:hAnsi="Arial" w:cs="Arial"/>
                <w:bCs/>
              </w:rPr>
            </w:pPr>
            <w:bookmarkStart w:id="3" w:name="_Hlk106544100"/>
            <w:r>
              <w:rPr>
                <w:rFonts w:ascii="Arial" w:hAnsi="Arial" w:cs="Arial"/>
                <w:bCs/>
              </w:rPr>
              <w:t>FOSAD</w:t>
            </w:r>
          </w:p>
        </w:tc>
        <w:tc>
          <w:tcPr>
            <w:tcW w:w="5977" w:type="dxa"/>
          </w:tcPr>
          <w:p w14:paraId="56984194" w14:textId="6795632F" w:rsidR="004E3FD8" w:rsidRPr="009D3B75" w:rsidRDefault="004E3FD8" w:rsidP="009D3B75">
            <w:pPr>
              <w:rPr>
                <w:rFonts w:ascii="Arial" w:hAnsi="Arial" w:cs="Arial"/>
                <w:bCs/>
              </w:rPr>
            </w:pPr>
            <w:r>
              <w:rPr>
                <w:rFonts w:ascii="Arial" w:hAnsi="Arial" w:cs="Arial"/>
                <w:bCs/>
              </w:rPr>
              <w:t>Forum of South African Director</w:t>
            </w:r>
            <w:r w:rsidR="00B0768E">
              <w:rPr>
                <w:rFonts w:ascii="Arial" w:hAnsi="Arial" w:cs="Arial"/>
                <w:bCs/>
              </w:rPr>
              <w:t>s</w:t>
            </w:r>
            <w:r>
              <w:rPr>
                <w:rFonts w:ascii="Arial" w:hAnsi="Arial" w:cs="Arial"/>
                <w:bCs/>
              </w:rPr>
              <w:t xml:space="preserve"> General</w:t>
            </w:r>
          </w:p>
        </w:tc>
      </w:tr>
      <w:bookmarkEnd w:id="3"/>
      <w:tr w:rsidR="009D3B75" w:rsidRPr="009D3B75" w14:paraId="0855A7FB" w14:textId="77777777" w:rsidTr="00343FBF">
        <w:tc>
          <w:tcPr>
            <w:tcW w:w="3039" w:type="dxa"/>
          </w:tcPr>
          <w:p w14:paraId="0855A7F9" w14:textId="77777777" w:rsidR="007371A5" w:rsidRPr="009D3B75" w:rsidRDefault="007371A5" w:rsidP="009D3B75">
            <w:pPr>
              <w:spacing w:line="276" w:lineRule="auto"/>
              <w:rPr>
                <w:rFonts w:ascii="Arial" w:hAnsi="Arial" w:cs="Arial"/>
                <w:bCs/>
              </w:rPr>
            </w:pPr>
            <w:r w:rsidRPr="009D3B75">
              <w:rPr>
                <w:rFonts w:ascii="Arial" w:hAnsi="Arial" w:cs="Arial"/>
                <w:bCs/>
              </w:rPr>
              <w:t>GPL</w:t>
            </w:r>
          </w:p>
        </w:tc>
        <w:tc>
          <w:tcPr>
            <w:tcW w:w="5977" w:type="dxa"/>
          </w:tcPr>
          <w:p w14:paraId="0855A7FA" w14:textId="77777777" w:rsidR="007371A5" w:rsidRPr="009D3B75" w:rsidRDefault="007371A5" w:rsidP="009D3B75">
            <w:pPr>
              <w:spacing w:line="276" w:lineRule="auto"/>
              <w:rPr>
                <w:rFonts w:ascii="Arial" w:hAnsi="Arial" w:cs="Arial"/>
                <w:bCs/>
              </w:rPr>
            </w:pPr>
            <w:r w:rsidRPr="009D3B75">
              <w:rPr>
                <w:rFonts w:ascii="Arial" w:hAnsi="Arial" w:cs="Arial"/>
                <w:shd w:val="clear" w:color="auto" w:fill="FFFFFF"/>
              </w:rPr>
              <w:t>Gauteng Provincial Legislature</w:t>
            </w:r>
          </w:p>
        </w:tc>
      </w:tr>
      <w:tr w:rsidR="009D3B75" w:rsidRPr="009D3B75" w14:paraId="0855A7FE" w14:textId="77777777" w:rsidTr="00343FBF">
        <w:tc>
          <w:tcPr>
            <w:tcW w:w="3039" w:type="dxa"/>
          </w:tcPr>
          <w:p w14:paraId="0855A7FC" w14:textId="77777777" w:rsidR="007371A5" w:rsidRPr="009D3B75" w:rsidRDefault="007371A5" w:rsidP="009D3B75">
            <w:pPr>
              <w:spacing w:line="276" w:lineRule="auto"/>
              <w:rPr>
                <w:rFonts w:ascii="Arial" w:hAnsi="Arial" w:cs="Arial"/>
                <w:bCs/>
              </w:rPr>
            </w:pPr>
            <w:r w:rsidRPr="009D3B75">
              <w:rPr>
                <w:rFonts w:ascii="Arial" w:hAnsi="Arial" w:cs="Arial"/>
                <w:bCs/>
              </w:rPr>
              <w:t>GPT</w:t>
            </w:r>
          </w:p>
        </w:tc>
        <w:tc>
          <w:tcPr>
            <w:tcW w:w="5977" w:type="dxa"/>
          </w:tcPr>
          <w:p w14:paraId="0855A7FD" w14:textId="77777777" w:rsidR="007371A5" w:rsidRPr="009D3B75" w:rsidRDefault="007371A5" w:rsidP="009D3B75">
            <w:pPr>
              <w:spacing w:line="276" w:lineRule="auto"/>
              <w:rPr>
                <w:rFonts w:ascii="Arial" w:hAnsi="Arial" w:cs="Arial"/>
                <w:bCs/>
              </w:rPr>
            </w:pPr>
            <w:r w:rsidRPr="009D3B75">
              <w:rPr>
                <w:rFonts w:ascii="Arial" w:hAnsi="Arial" w:cs="Arial"/>
                <w:shd w:val="clear" w:color="auto" w:fill="FFFFFF"/>
              </w:rPr>
              <w:t>Gauteng Provincial Treasury</w:t>
            </w:r>
          </w:p>
        </w:tc>
      </w:tr>
      <w:tr w:rsidR="009D3B75" w:rsidRPr="009D3B75" w14:paraId="0855A804" w14:textId="77777777" w:rsidTr="00343FBF">
        <w:tc>
          <w:tcPr>
            <w:tcW w:w="3039" w:type="dxa"/>
          </w:tcPr>
          <w:p w14:paraId="0855A802" w14:textId="77777777" w:rsidR="007371A5" w:rsidRPr="009D3B75" w:rsidRDefault="007371A5" w:rsidP="009D3B75">
            <w:pPr>
              <w:spacing w:line="276" w:lineRule="auto"/>
              <w:rPr>
                <w:rFonts w:ascii="Arial" w:hAnsi="Arial" w:cs="Arial"/>
                <w:bCs/>
              </w:rPr>
            </w:pPr>
            <w:r w:rsidRPr="009D3B75">
              <w:rPr>
                <w:rFonts w:ascii="Arial" w:hAnsi="Arial" w:cs="Arial"/>
                <w:bCs/>
              </w:rPr>
              <w:t xml:space="preserve">FIS </w:t>
            </w:r>
          </w:p>
        </w:tc>
        <w:tc>
          <w:tcPr>
            <w:tcW w:w="5977" w:type="dxa"/>
          </w:tcPr>
          <w:p w14:paraId="0855A803" w14:textId="77777777" w:rsidR="007371A5" w:rsidRPr="009D3B75" w:rsidRDefault="007371A5" w:rsidP="009D3B75">
            <w:pPr>
              <w:spacing w:line="276" w:lineRule="auto"/>
              <w:rPr>
                <w:rFonts w:ascii="Arial" w:hAnsi="Arial" w:cs="Arial"/>
                <w:bCs/>
              </w:rPr>
            </w:pPr>
            <w:r w:rsidRPr="009D3B75">
              <w:rPr>
                <w:rFonts w:ascii="Arial" w:hAnsi="Arial" w:cs="Arial"/>
                <w:bCs/>
              </w:rPr>
              <w:t xml:space="preserve">Focus Intervention Study </w:t>
            </w:r>
          </w:p>
        </w:tc>
      </w:tr>
      <w:tr w:rsidR="009D3B75" w:rsidRPr="009D3B75" w14:paraId="0855A807" w14:textId="77777777" w:rsidTr="00343FBF">
        <w:tc>
          <w:tcPr>
            <w:tcW w:w="3039" w:type="dxa"/>
          </w:tcPr>
          <w:p w14:paraId="0855A805" w14:textId="77777777" w:rsidR="007371A5" w:rsidRPr="009D3B75" w:rsidRDefault="007371A5" w:rsidP="009D3B75">
            <w:pPr>
              <w:spacing w:line="276" w:lineRule="auto"/>
              <w:rPr>
                <w:rFonts w:ascii="Arial" w:hAnsi="Arial" w:cs="Arial"/>
                <w:bCs/>
              </w:rPr>
            </w:pPr>
            <w:r w:rsidRPr="009D3B75">
              <w:rPr>
                <w:rFonts w:ascii="Arial" w:hAnsi="Arial" w:cs="Arial"/>
                <w:bCs/>
              </w:rPr>
              <w:t>GPT</w:t>
            </w:r>
          </w:p>
        </w:tc>
        <w:tc>
          <w:tcPr>
            <w:tcW w:w="5977" w:type="dxa"/>
          </w:tcPr>
          <w:p w14:paraId="0855A806" w14:textId="77777777" w:rsidR="007371A5" w:rsidRPr="009D3B75" w:rsidRDefault="007371A5" w:rsidP="009D3B75">
            <w:pPr>
              <w:spacing w:line="276" w:lineRule="auto"/>
              <w:rPr>
                <w:rFonts w:ascii="Arial" w:hAnsi="Arial" w:cs="Arial"/>
                <w:bCs/>
              </w:rPr>
            </w:pPr>
            <w:r w:rsidRPr="009D3B75">
              <w:rPr>
                <w:rFonts w:ascii="Arial" w:hAnsi="Arial" w:cs="Arial"/>
                <w:shd w:val="clear" w:color="auto" w:fill="FFFFFF"/>
              </w:rPr>
              <w:t xml:space="preserve">Gauteng Provincial Treasury </w:t>
            </w:r>
          </w:p>
        </w:tc>
      </w:tr>
      <w:tr w:rsidR="009D3B75" w:rsidRPr="009D3B75" w14:paraId="0855A80A" w14:textId="77777777" w:rsidTr="00343FBF">
        <w:tc>
          <w:tcPr>
            <w:tcW w:w="3039" w:type="dxa"/>
          </w:tcPr>
          <w:p w14:paraId="0855A808" w14:textId="77777777" w:rsidR="007371A5" w:rsidRPr="009D3B75" w:rsidRDefault="007371A5" w:rsidP="009D3B75">
            <w:pPr>
              <w:spacing w:line="276" w:lineRule="auto"/>
              <w:rPr>
                <w:rFonts w:ascii="Arial" w:hAnsi="Arial" w:cs="Arial"/>
                <w:bCs/>
              </w:rPr>
            </w:pPr>
            <w:r w:rsidRPr="009D3B75">
              <w:rPr>
                <w:rFonts w:ascii="Arial" w:hAnsi="Arial" w:cs="Arial"/>
                <w:bCs/>
              </w:rPr>
              <w:t>MEC</w:t>
            </w:r>
          </w:p>
        </w:tc>
        <w:tc>
          <w:tcPr>
            <w:tcW w:w="5977" w:type="dxa"/>
          </w:tcPr>
          <w:p w14:paraId="0855A809" w14:textId="77777777" w:rsidR="007371A5" w:rsidRPr="009D3B75" w:rsidRDefault="007371A5" w:rsidP="009D3B75">
            <w:pPr>
              <w:spacing w:line="276" w:lineRule="auto"/>
              <w:rPr>
                <w:rFonts w:ascii="Arial" w:hAnsi="Arial" w:cs="Arial"/>
                <w:lang w:val="en-US"/>
              </w:rPr>
            </w:pPr>
            <w:r w:rsidRPr="009D3B75">
              <w:rPr>
                <w:rFonts w:ascii="Arial" w:hAnsi="Arial" w:cs="Arial"/>
                <w:lang w:val="en-US"/>
              </w:rPr>
              <w:t>Member of Executive Council</w:t>
            </w:r>
          </w:p>
        </w:tc>
      </w:tr>
      <w:tr w:rsidR="009D3B75" w:rsidRPr="009D3B75" w14:paraId="0855A80D" w14:textId="77777777" w:rsidTr="00343FBF">
        <w:tc>
          <w:tcPr>
            <w:tcW w:w="3039" w:type="dxa"/>
          </w:tcPr>
          <w:p w14:paraId="0855A80B" w14:textId="77777777" w:rsidR="007371A5" w:rsidRPr="009D3B75" w:rsidRDefault="007371A5" w:rsidP="009D3B75">
            <w:pPr>
              <w:spacing w:line="276" w:lineRule="auto"/>
              <w:rPr>
                <w:rFonts w:ascii="Arial" w:hAnsi="Arial" w:cs="Arial"/>
                <w:bCs/>
              </w:rPr>
            </w:pPr>
            <w:r w:rsidRPr="009D3B75">
              <w:rPr>
                <w:rFonts w:ascii="Arial" w:hAnsi="Arial" w:cs="Arial"/>
                <w:bCs/>
              </w:rPr>
              <w:t>MFMA</w:t>
            </w:r>
          </w:p>
        </w:tc>
        <w:tc>
          <w:tcPr>
            <w:tcW w:w="5977" w:type="dxa"/>
          </w:tcPr>
          <w:p w14:paraId="0855A80C" w14:textId="77777777" w:rsidR="007371A5" w:rsidRPr="009D3B75" w:rsidRDefault="007371A5" w:rsidP="009D3B75">
            <w:pPr>
              <w:spacing w:line="276" w:lineRule="auto"/>
              <w:rPr>
                <w:rFonts w:ascii="Arial" w:hAnsi="Arial" w:cs="Arial"/>
                <w:lang w:val="en-US"/>
              </w:rPr>
            </w:pPr>
            <w:r w:rsidRPr="009D3B75">
              <w:rPr>
                <w:rFonts w:ascii="Arial" w:hAnsi="Arial" w:cs="Arial"/>
                <w:lang w:val="en-US"/>
              </w:rPr>
              <w:t>Municipal Finance Management Act</w:t>
            </w:r>
          </w:p>
        </w:tc>
      </w:tr>
      <w:tr w:rsidR="009D3B75" w:rsidRPr="009D3B75" w14:paraId="0855A813" w14:textId="77777777" w:rsidTr="00343FBF">
        <w:tc>
          <w:tcPr>
            <w:tcW w:w="3039" w:type="dxa"/>
          </w:tcPr>
          <w:p w14:paraId="0855A811" w14:textId="77777777" w:rsidR="007371A5" w:rsidRPr="009D3B75" w:rsidRDefault="007371A5" w:rsidP="009D3B75">
            <w:pPr>
              <w:spacing w:line="276" w:lineRule="auto"/>
              <w:rPr>
                <w:rFonts w:ascii="Arial" w:hAnsi="Arial" w:cs="Arial"/>
                <w:bCs/>
              </w:rPr>
            </w:pPr>
            <w:r w:rsidRPr="009D3B75">
              <w:rPr>
                <w:rFonts w:ascii="Arial" w:hAnsi="Arial" w:cs="Arial"/>
                <w:bCs/>
              </w:rPr>
              <w:t>MTSF</w:t>
            </w:r>
          </w:p>
        </w:tc>
        <w:tc>
          <w:tcPr>
            <w:tcW w:w="5977" w:type="dxa"/>
          </w:tcPr>
          <w:p w14:paraId="0855A812" w14:textId="77777777" w:rsidR="007371A5" w:rsidRPr="009D3B75" w:rsidRDefault="007371A5" w:rsidP="009D3B75">
            <w:pPr>
              <w:spacing w:line="276" w:lineRule="auto"/>
              <w:rPr>
                <w:rFonts w:ascii="Arial" w:hAnsi="Arial" w:cs="Arial"/>
                <w:shd w:val="clear" w:color="auto" w:fill="FFFFFF"/>
              </w:rPr>
            </w:pPr>
            <w:r w:rsidRPr="009D3B75">
              <w:rPr>
                <w:rFonts w:ascii="Arial" w:hAnsi="Arial" w:cs="Arial"/>
                <w:lang w:val="en-US"/>
              </w:rPr>
              <w:t>Medium Term Strategic Framework</w:t>
            </w:r>
          </w:p>
        </w:tc>
      </w:tr>
      <w:tr w:rsidR="009D3B75" w:rsidRPr="009D3B75" w14:paraId="0855A816" w14:textId="77777777" w:rsidTr="00343FBF">
        <w:tc>
          <w:tcPr>
            <w:tcW w:w="3039" w:type="dxa"/>
          </w:tcPr>
          <w:p w14:paraId="0855A814" w14:textId="77777777" w:rsidR="007371A5" w:rsidRPr="009D3B75" w:rsidRDefault="007371A5" w:rsidP="009D3B75">
            <w:pPr>
              <w:spacing w:line="276" w:lineRule="auto"/>
              <w:rPr>
                <w:rFonts w:ascii="Arial" w:hAnsi="Arial" w:cs="Arial"/>
                <w:bCs/>
              </w:rPr>
            </w:pPr>
            <w:r w:rsidRPr="009D3B75">
              <w:rPr>
                <w:rFonts w:ascii="Arial" w:hAnsi="Arial" w:cs="Arial"/>
                <w:bCs/>
              </w:rPr>
              <w:t>NPD</w:t>
            </w:r>
          </w:p>
        </w:tc>
        <w:tc>
          <w:tcPr>
            <w:tcW w:w="5977" w:type="dxa"/>
          </w:tcPr>
          <w:p w14:paraId="0855A815" w14:textId="77777777" w:rsidR="007371A5" w:rsidRPr="009D3B75" w:rsidRDefault="007371A5" w:rsidP="009D3B75">
            <w:pPr>
              <w:spacing w:line="276" w:lineRule="auto"/>
              <w:rPr>
                <w:rFonts w:ascii="Arial" w:hAnsi="Arial" w:cs="Arial"/>
                <w:lang w:val="en"/>
              </w:rPr>
            </w:pPr>
            <w:r w:rsidRPr="009D3B75">
              <w:rPr>
                <w:rFonts w:ascii="Arial" w:hAnsi="Arial" w:cs="Arial"/>
                <w:lang w:val="en"/>
              </w:rPr>
              <w:t>National Development Plan</w:t>
            </w:r>
          </w:p>
        </w:tc>
      </w:tr>
      <w:tr w:rsidR="009D3B75" w:rsidRPr="009D3B75" w14:paraId="0855A822" w14:textId="77777777" w:rsidTr="00343FBF">
        <w:tc>
          <w:tcPr>
            <w:tcW w:w="3039" w:type="dxa"/>
          </w:tcPr>
          <w:p w14:paraId="0855A820" w14:textId="77777777" w:rsidR="007371A5" w:rsidRPr="009D3B75" w:rsidRDefault="007371A5" w:rsidP="009D3B75">
            <w:pPr>
              <w:spacing w:line="276" w:lineRule="auto"/>
              <w:rPr>
                <w:rFonts w:ascii="Arial" w:hAnsi="Arial" w:cs="Arial"/>
                <w:bCs/>
              </w:rPr>
            </w:pPr>
            <w:r w:rsidRPr="009D3B75">
              <w:rPr>
                <w:rFonts w:ascii="Arial" w:hAnsi="Arial" w:cs="Arial"/>
                <w:bCs/>
              </w:rPr>
              <w:t>PFMA</w:t>
            </w:r>
          </w:p>
        </w:tc>
        <w:tc>
          <w:tcPr>
            <w:tcW w:w="5977" w:type="dxa"/>
          </w:tcPr>
          <w:p w14:paraId="0855A821" w14:textId="77777777" w:rsidR="007371A5" w:rsidRPr="009D3B75" w:rsidRDefault="007371A5" w:rsidP="009D3B75">
            <w:pPr>
              <w:spacing w:line="276" w:lineRule="auto"/>
              <w:rPr>
                <w:rFonts w:ascii="Arial" w:hAnsi="Arial" w:cs="Arial"/>
                <w:shd w:val="clear" w:color="auto" w:fill="FFFFFF"/>
              </w:rPr>
            </w:pPr>
            <w:r w:rsidRPr="009D3B75">
              <w:rPr>
                <w:rFonts w:ascii="Arial" w:hAnsi="Arial" w:cs="Arial"/>
                <w:lang w:val="en"/>
              </w:rPr>
              <w:t>Public Finance Management Act</w:t>
            </w:r>
          </w:p>
        </w:tc>
      </w:tr>
      <w:tr w:rsidR="009D3B75" w:rsidRPr="009D3B75" w14:paraId="0855A828" w14:textId="77777777" w:rsidTr="00343FBF">
        <w:tc>
          <w:tcPr>
            <w:tcW w:w="3039" w:type="dxa"/>
          </w:tcPr>
          <w:p w14:paraId="0855A826" w14:textId="77777777" w:rsidR="007371A5" w:rsidRPr="009D3B75" w:rsidRDefault="007371A5" w:rsidP="009D3B75">
            <w:pPr>
              <w:spacing w:line="276" w:lineRule="auto"/>
              <w:rPr>
                <w:rFonts w:ascii="Arial" w:hAnsi="Arial" w:cs="Arial"/>
                <w:bCs/>
              </w:rPr>
            </w:pPr>
            <w:r w:rsidRPr="009D3B75">
              <w:rPr>
                <w:rFonts w:ascii="Arial" w:hAnsi="Arial" w:cs="Arial"/>
                <w:bCs/>
              </w:rPr>
              <w:t>SCM</w:t>
            </w:r>
          </w:p>
        </w:tc>
        <w:tc>
          <w:tcPr>
            <w:tcW w:w="5977" w:type="dxa"/>
          </w:tcPr>
          <w:p w14:paraId="0855A827" w14:textId="77777777" w:rsidR="007371A5" w:rsidRPr="009D3B75" w:rsidRDefault="007371A5" w:rsidP="009D3B75">
            <w:pPr>
              <w:spacing w:line="276" w:lineRule="auto"/>
              <w:rPr>
                <w:rFonts w:ascii="Arial" w:hAnsi="Arial" w:cs="Arial"/>
                <w:bCs/>
              </w:rPr>
            </w:pPr>
            <w:r w:rsidRPr="009D3B75">
              <w:rPr>
                <w:rFonts w:ascii="Arial" w:hAnsi="Arial" w:cs="Arial"/>
                <w:bCs/>
              </w:rPr>
              <w:t>Supply Chain Management</w:t>
            </w:r>
          </w:p>
        </w:tc>
      </w:tr>
      <w:tr w:rsidR="009D3B75" w:rsidRPr="009D3B75" w14:paraId="0855A82E" w14:textId="77777777" w:rsidTr="00343FBF">
        <w:tc>
          <w:tcPr>
            <w:tcW w:w="3039" w:type="dxa"/>
          </w:tcPr>
          <w:p w14:paraId="0855A82C" w14:textId="77777777" w:rsidR="007371A5" w:rsidRPr="009D3B75" w:rsidRDefault="007371A5" w:rsidP="009D3B75">
            <w:pPr>
              <w:spacing w:line="276" w:lineRule="auto"/>
              <w:rPr>
                <w:rFonts w:ascii="Arial" w:hAnsi="Arial" w:cs="Arial"/>
                <w:bCs/>
              </w:rPr>
            </w:pPr>
            <w:r w:rsidRPr="009D3B75">
              <w:rPr>
                <w:rFonts w:ascii="Arial" w:hAnsi="Arial" w:cs="Arial"/>
                <w:bCs/>
              </w:rPr>
              <w:t>SOM</w:t>
            </w:r>
          </w:p>
        </w:tc>
        <w:tc>
          <w:tcPr>
            <w:tcW w:w="5977" w:type="dxa"/>
          </w:tcPr>
          <w:p w14:paraId="0855A82D" w14:textId="77777777" w:rsidR="007371A5" w:rsidRPr="009D3B75" w:rsidRDefault="007371A5" w:rsidP="009D3B75">
            <w:pPr>
              <w:spacing w:line="276" w:lineRule="auto"/>
              <w:rPr>
                <w:rFonts w:ascii="Arial" w:hAnsi="Arial" w:cs="Arial"/>
                <w:bCs/>
              </w:rPr>
            </w:pPr>
            <w:r w:rsidRPr="009D3B75">
              <w:rPr>
                <w:rFonts w:ascii="Arial" w:hAnsi="Arial" w:cs="Arial"/>
                <w:bCs/>
              </w:rPr>
              <w:t>Sector Oversight Model</w:t>
            </w:r>
          </w:p>
        </w:tc>
      </w:tr>
    </w:tbl>
    <w:p w14:paraId="0855A832" w14:textId="77777777" w:rsidR="002127FE" w:rsidRPr="009D3B75" w:rsidRDefault="002127FE" w:rsidP="009D3B75">
      <w:pPr>
        <w:rPr>
          <w:rFonts w:ascii="Arial" w:hAnsi="Arial" w:cs="Arial"/>
        </w:rPr>
      </w:pPr>
    </w:p>
    <w:p w14:paraId="0855A833" w14:textId="77777777" w:rsidR="002127FE" w:rsidRPr="009D3B75" w:rsidRDefault="002127FE" w:rsidP="009D3B75">
      <w:pPr>
        <w:rPr>
          <w:rFonts w:ascii="Arial" w:hAnsi="Arial" w:cs="Arial"/>
        </w:rPr>
      </w:pPr>
      <w:r w:rsidRPr="009D3B75">
        <w:rPr>
          <w:rFonts w:ascii="Arial" w:hAnsi="Arial" w:cs="Arial"/>
        </w:rPr>
        <w:br w:type="page"/>
      </w:r>
    </w:p>
    <w:p w14:paraId="0855A834" w14:textId="77777777" w:rsidR="002127FE" w:rsidRPr="009D3B75" w:rsidRDefault="002127FE" w:rsidP="009D3B75">
      <w:pPr>
        <w:pStyle w:val="Heading1"/>
        <w:numPr>
          <w:ilvl w:val="0"/>
          <w:numId w:val="1"/>
        </w:numPr>
        <w:shd w:val="clear" w:color="auto" w:fill="F2F2F2" w:themeFill="background1" w:themeFillShade="F2"/>
        <w:spacing w:line="276" w:lineRule="auto"/>
        <w:ind w:left="567" w:hanging="567"/>
        <w:rPr>
          <w:rFonts w:ascii="Arial" w:hAnsi="Arial" w:cs="Arial"/>
          <w:color w:val="auto"/>
          <w:sz w:val="22"/>
          <w:szCs w:val="22"/>
        </w:rPr>
      </w:pPr>
      <w:r w:rsidRPr="009D3B75">
        <w:rPr>
          <w:rFonts w:ascii="Arial" w:hAnsi="Arial" w:cs="Arial"/>
          <w:color w:val="auto"/>
          <w:sz w:val="22"/>
          <w:szCs w:val="22"/>
        </w:rPr>
        <w:lastRenderedPageBreak/>
        <w:t xml:space="preserve">EXECUTIVE SUMMARY </w:t>
      </w:r>
    </w:p>
    <w:p w14:paraId="0855A835" w14:textId="77777777" w:rsidR="00AC6801" w:rsidRPr="009D3B75" w:rsidRDefault="00AC6801" w:rsidP="009D3B75">
      <w:pPr>
        <w:spacing w:after="0"/>
        <w:jc w:val="both"/>
        <w:rPr>
          <w:rFonts w:ascii="Arial" w:hAnsi="Arial" w:cs="Arial"/>
          <w:spacing w:val="-12"/>
          <w:lang w:val="en-AU"/>
        </w:rPr>
      </w:pPr>
    </w:p>
    <w:p w14:paraId="3B004090" w14:textId="1F6D84FD" w:rsidR="005971D0" w:rsidRPr="009D3B75" w:rsidRDefault="005971D0" w:rsidP="009D3B75">
      <w:pPr>
        <w:spacing w:after="0"/>
        <w:jc w:val="both"/>
        <w:rPr>
          <w:rFonts w:ascii="Arial" w:hAnsi="Arial" w:cs="Arial"/>
        </w:rPr>
      </w:pPr>
      <w:r w:rsidRPr="009D3B75">
        <w:rPr>
          <w:rFonts w:ascii="Arial" w:hAnsi="Arial" w:cs="Arial"/>
        </w:rPr>
        <w:t xml:space="preserve">The late and/or non-payment of invoices has a serious adverse impact on the financial health of suppliers who are often forced to borrow money in order to stay afloat financially as well as to continue meeting their contractual obligations with state institutions. When these institutions do not pay their suppliers timeously, it often results in these suppliers being liquidated, especially those that are classified as Small, Medium and Micro Enterprises (SMMEs). </w:t>
      </w:r>
    </w:p>
    <w:p w14:paraId="479395E2" w14:textId="77777777" w:rsidR="0017551C" w:rsidRPr="009D3B75" w:rsidRDefault="0017551C" w:rsidP="009D3B75">
      <w:pPr>
        <w:spacing w:after="0"/>
        <w:jc w:val="both"/>
        <w:rPr>
          <w:rFonts w:ascii="Arial" w:hAnsi="Arial" w:cs="Arial"/>
        </w:rPr>
      </w:pPr>
    </w:p>
    <w:p w14:paraId="14C28FB3" w14:textId="77777777" w:rsidR="0017551C" w:rsidRPr="009D3B75" w:rsidRDefault="005971D0" w:rsidP="009D3B75">
      <w:pPr>
        <w:spacing w:after="0"/>
        <w:jc w:val="both"/>
        <w:rPr>
          <w:rFonts w:ascii="Arial" w:hAnsi="Arial" w:cs="Arial"/>
        </w:rPr>
      </w:pPr>
      <w:r w:rsidRPr="009D3B75">
        <w:rPr>
          <w:rFonts w:ascii="Arial" w:hAnsi="Arial" w:cs="Arial"/>
        </w:rPr>
        <w:t>The closing down of these SMMEs is due to the non-payment of suppliers invoices by government and is also seen as being counterproductive to the objectives of the National Development Plan (NDP) and the National Growth Path (NGP), which are aimed at improving economic growth and reduce poverty, inequality and unemployment.</w:t>
      </w:r>
    </w:p>
    <w:p w14:paraId="55B11BF6" w14:textId="0D912845" w:rsidR="005971D0" w:rsidRPr="009D3B75" w:rsidRDefault="005971D0" w:rsidP="009D3B75">
      <w:pPr>
        <w:spacing w:after="0"/>
        <w:jc w:val="both"/>
        <w:rPr>
          <w:rFonts w:ascii="Arial" w:hAnsi="Arial" w:cs="Arial"/>
        </w:rPr>
      </w:pPr>
      <w:r w:rsidRPr="009D3B75">
        <w:rPr>
          <w:rFonts w:ascii="Arial" w:hAnsi="Arial" w:cs="Arial"/>
        </w:rPr>
        <w:t xml:space="preserve"> </w:t>
      </w:r>
    </w:p>
    <w:p w14:paraId="09F28073" w14:textId="4DCFD7D5" w:rsidR="005971D0" w:rsidRPr="009D3B75" w:rsidRDefault="00560F45" w:rsidP="009D3B75">
      <w:pPr>
        <w:spacing w:after="0"/>
        <w:jc w:val="both"/>
        <w:rPr>
          <w:rFonts w:ascii="Arial" w:hAnsi="Arial" w:cs="Arial"/>
        </w:rPr>
      </w:pPr>
      <w:r w:rsidRPr="009D3B75">
        <w:rPr>
          <w:rFonts w:ascii="Arial" w:hAnsi="Arial" w:cs="Arial"/>
        </w:rPr>
        <w:t xml:space="preserve">During 2009, it came to light that non-compliance with Treasury Regulation 8.2.3 had reached significant levels whereby departments were blatantly disregarding the requirement to make timeous payments to their creditors within thirty (30) days from receipt of an invoice. </w:t>
      </w:r>
      <w:r w:rsidR="00C87563" w:rsidRPr="009D3B75">
        <w:rPr>
          <w:rFonts w:ascii="Arial" w:hAnsi="Arial" w:cs="Arial"/>
        </w:rPr>
        <w:t xml:space="preserve">This led to the Minister in the Presidency responsible for Performance Monitoring and Evaluation issuing a communiqué during June 2009 requesting departments to ensure compliance with Treasury Regulation 8.2.3. </w:t>
      </w:r>
      <w:r w:rsidR="005971D0" w:rsidRPr="009D3B75">
        <w:rPr>
          <w:rFonts w:ascii="Arial" w:hAnsi="Arial" w:cs="Arial"/>
        </w:rPr>
        <w:t xml:space="preserve">On 02 December 2009, Cabinet resolved that departments must implement mechanisms to ensure that payments to creditors are </w:t>
      </w:r>
      <w:proofErr w:type="gramStart"/>
      <w:r w:rsidR="005971D0" w:rsidRPr="009D3B75">
        <w:rPr>
          <w:rFonts w:ascii="Arial" w:hAnsi="Arial" w:cs="Arial"/>
        </w:rPr>
        <w:t>effected</w:t>
      </w:r>
      <w:proofErr w:type="gramEnd"/>
      <w:r w:rsidR="005971D0" w:rsidRPr="009D3B75">
        <w:rPr>
          <w:rFonts w:ascii="Arial" w:hAnsi="Arial" w:cs="Arial"/>
        </w:rPr>
        <w:t xml:space="preserve"> within 30 days from the date of receiving an invoice. </w:t>
      </w:r>
      <w:r w:rsidR="00C87563" w:rsidRPr="009D3B75">
        <w:rPr>
          <w:rFonts w:ascii="Arial" w:hAnsi="Arial" w:cs="Arial"/>
        </w:rPr>
        <w:t>The National Treasury also issued a circular on 31 May 2010 urging all accounting officers to institute measures to ensure that all their obligations are paid within the prescribed period.</w:t>
      </w:r>
    </w:p>
    <w:p w14:paraId="3997F0B4" w14:textId="77777777" w:rsidR="0017551C" w:rsidRPr="009D3B75" w:rsidRDefault="0017551C" w:rsidP="009D3B75">
      <w:pPr>
        <w:spacing w:after="0"/>
        <w:jc w:val="both"/>
        <w:rPr>
          <w:rFonts w:ascii="Arial" w:hAnsi="Arial" w:cs="Arial"/>
        </w:rPr>
      </w:pPr>
    </w:p>
    <w:p w14:paraId="7C8CA1D4" w14:textId="43056A03" w:rsidR="00C87563" w:rsidRPr="009D3B75" w:rsidRDefault="004E3FD8" w:rsidP="004E3FD8">
      <w:pPr>
        <w:spacing w:after="0"/>
        <w:jc w:val="both"/>
        <w:rPr>
          <w:rFonts w:ascii="Arial" w:hAnsi="Arial" w:cs="Arial"/>
        </w:rPr>
      </w:pPr>
      <w:r>
        <w:rPr>
          <w:rFonts w:ascii="Arial" w:hAnsi="Arial" w:cs="Arial"/>
          <w:bCs/>
        </w:rPr>
        <w:t>Forum of South African Director Generals (</w:t>
      </w:r>
      <w:r w:rsidR="005971D0" w:rsidRPr="009D3B75">
        <w:rPr>
          <w:rFonts w:ascii="Arial" w:hAnsi="Arial" w:cs="Arial"/>
        </w:rPr>
        <w:t>FOSAD</w:t>
      </w:r>
      <w:r>
        <w:rPr>
          <w:rFonts w:ascii="Arial" w:hAnsi="Arial" w:cs="Arial"/>
        </w:rPr>
        <w:t>)</w:t>
      </w:r>
      <w:r w:rsidR="005971D0" w:rsidRPr="009D3B75">
        <w:rPr>
          <w:rFonts w:ascii="Arial" w:hAnsi="Arial" w:cs="Arial"/>
        </w:rPr>
        <w:t xml:space="preserve"> also resolved that the National Treasury must provide the forum with regular reports on the extent of compliance by departments with the requirement to pay invoices within 30 days. Pursuant to this resolution, since the inception of the National Treasury Instruction Note No.34, the National Treasury has been reporting to FOSAD on non-compliance with the legislative requirement of paying invoices owed by the state.</w:t>
      </w:r>
    </w:p>
    <w:p w14:paraId="1251616A" w14:textId="77777777" w:rsidR="0017551C" w:rsidRPr="009D3B75" w:rsidRDefault="0017551C" w:rsidP="009D3B75">
      <w:pPr>
        <w:spacing w:after="0"/>
        <w:jc w:val="both"/>
        <w:rPr>
          <w:rFonts w:ascii="Arial" w:hAnsi="Arial" w:cs="Arial"/>
        </w:rPr>
      </w:pPr>
    </w:p>
    <w:p w14:paraId="4B276C55" w14:textId="015A3414" w:rsidR="00C87563" w:rsidRPr="009D3B75" w:rsidRDefault="00C87563" w:rsidP="009D3B75">
      <w:pPr>
        <w:spacing w:after="0"/>
        <w:jc w:val="both"/>
        <w:rPr>
          <w:rFonts w:ascii="Arial" w:hAnsi="Arial" w:cs="Arial"/>
        </w:rPr>
      </w:pPr>
      <w:r w:rsidRPr="009D3B75">
        <w:rPr>
          <w:rFonts w:ascii="Arial" w:hAnsi="Arial" w:cs="Arial"/>
        </w:rPr>
        <w:t xml:space="preserve">Despite the </w:t>
      </w:r>
      <w:proofErr w:type="spellStart"/>
      <w:r w:rsidRPr="009D3B75">
        <w:rPr>
          <w:rFonts w:ascii="Arial" w:hAnsi="Arial" w:cs="Arial"/>
        </w:rPr>
        <w:t>aforegoing</w:t>
      </w:r>
      <w:proofErr w:type="spellEnd"/>
      <w:r w:rsidRPr="009D3B75">
        <w:rPr>
          <w:rFonts w:ascii="Arial" w:hAnsi="Arial" w:cs="Arial"/>
        </w:rPr>
        <w:t xml:space="preserve">, many departments are still not </w:t>
      </w:r>
      <w:proofErr w:type="gramStart"/>
      <w:r w:rsidRPr="009D3B75">
        <w:rPr>
          <w:rFonts w:ascii="Arial" w:hAnsi="Arial" w:cs="Arial"/>
        </w:rPr>
        <w:t>effecting</w:t>
      </w:r>
      <w:proofErr w:type="gramEnd"/>
      <w:r w:rsidRPr="009D3B75">
        <w:rPr>
          <w:rFonts w:ascii="Arial" w:hAnsi="Arial" w:cs="Arial"/>
        </w:rPr>
        <w:t xml:space="preserve"> payment to their suppliers within thirty (30) days from receipt of an invoice. This undesirable practice has now reached disturbing levels and besides being in contravention of the PFMA and Treasury Regulations, this practice is severely affecting the cash flow positions and sustainability of businesses, especially the small medium and micro enterprises (SMME’s).</w:t>
      </w:r>
    </w:p>
    <w:p w14:paraId="3B659C0B" w14:textId="77777777" w:rsidR="0017551C" w:rsidRPr="009D3B75" w:rsidRDefault="0017551C" w:rsidP="009D3B75">
      <w:pPr>
        <w:spacing w:after="0"/>
        <w:jc w:val="both"/>
        <w:rPr>
          <w:rFonts w:ascii="Arial" w:hAnsi="Arial" w:cs="Arial"/>
        </w:rPr>
      </w:pPr>
    </w:p>
    <w:p w14:paraId="73707314" w14:textId="5774326D" w:rsidR="00C87563" w:rsidRPr="009D3B75" w:rsidRDefault="00C87563" w:rsidP="009D3B75">
      <w:pPr>
        <w:spacing w:after="0"/>
        <w:jc w:val="both"/>
        <w:rPr>
          <w:rFonts w:ascii="Arial" w:hAnsi="Arial" w:cs="Arial"/>
        </w:rPr>
      </w:pPr>
      <w:r w:rsidRPr="009D3B75">
        <w:rPr>
          <w:rFonts w:ascii="Arial" w:hAnsi="Arial" w:cs="Arial"/>
        </w:rPr>
        <w:t>Many of such businesses are closing down largely due to financial constraints whilst others are resorting to drastic measures to keep afloat, which include the retrenchment of employees. These measures are counterproductive to Government’s priorities, which include the creation of decent jobs through inclusive economic growth.</w:t>
      </w:r>
    </w:p>
    <w:p w14:paraId="1FBF685A" w14:textId="0D12F5A0" w:rsidR="0007361D" w:rsidRPr="009D3B75" w:rsidRDefault="0007361D" w:rsidP="009D3B75">
      <w:pPr>
        <w:spacing w:after="0"/>
        <w:jc w:val="both"/>
        <w:rPr>
          <w:rFonts w:ascii="Arial" w:hAnsi="Arial" w:cs="Arial"/>
        </w:rPr>
      </w:pPr>
    </w:p>
    <w:p w14:paraId="2B65C60E" w14:textId="32E1FFB0" w:rsidR="0007361D" w:rsidRPr="009D3B75" w:rsidRDefault="0007361D" w:rsidP="009D3B75">
      <w:pPr>
        <w:spacing w:after="0"/>
        <w:jc w:val="both"/>
        <w:rPr>
          <w:rFonts w:ascii="Arial" w:hAnsi="Arial" w:cs="Arial"/>
        </w:rPr>
      </w:pPr>
      <w:r w:rsidRPr="009D3B75">
        <w:rPr>
          <w:rFonts w:ascii="Arial" w:hAnsi="Arial" w:cs="Arial"/>
        </w:rPr>
        <w:t>The Gauteng Provincial Government (GPG) Departments</w:t>
      </w:r>
      <w:r w:rsidR="00C05993" w:rsidRPr="009D3B75">
        <w:rPr>
          <w:rFonts w:ascii="Arial" w:hAnsi="Arial" w:cs="Arial"/>
        </w:rPr>
        <w:t xml:space="preserve"> being a microcosm of the South African Government</w:t>
      </w:r>
      <w:r w:rsidRPr="009D3B75">
        <w:rPr>
          <w:rFonts w:ascii="Arial" w:hAnsi="Arial" w:cs="Arial"/>
        </w:rPr>
        <w:t xml:space="preserve"> </w:t>
      </w:r>
      <w:r w:rsidR="00C05993" w:rsidRPr="009D3B75">
        <w:rPr>
          <w:rFonts w:ascii="Arial" w:hAnsi="Arial" w:cs="Arial"/>
        </w:rPr>
        <w:t xml:space="preserve">is not immune from non-compliance with government’s 30-day payment to service providers. </w:t>
      </w:r>
      <w:r w:rsidR="009A23B8" w:rsidRPr="009D3B75">
        <w:rPr>
          <w:rFonts w:ascii="Arial" w:hAnsi="Arial" w:cs="Arial"/>
        </w:rPr>
        <w:t xml:space="preserve">Through in-year monitoring conducted by the Portfolio Committee on the GPG State of Finances, </w:t>
      </w:r>
      <w:r w:rsidR="00F274F8" w:rsidRPr="009D3B75">
        <w:rPr>
          <w:rFonts w:ascii="Arial" w:hAnsi="Arial" w:cs="Arial"/>
        </w:rPr>
        <w:t>t</w:t>
      </w:r>
      <w:r w:rsidR="009A23B8" w:rsidRPr="009D3B75">
        <w:rPr>
          <w:rFonts w:ascii="Arial" w:hAnsi="Arial" w:cs="Arial"/>
        </w:rPr>
        <w:t>he Departments of Heal</w:t>
      </w:r>
      <w:r w:rsidR="00847BD5" w:rsidRPr="009D3B75">
        <w:rPr>
          <w:rFonts w:ascii="Arial" w:hAnsi="Arial" w:cs="Arial"/>
        </w:rPr>
        <w:t>th</w:t>
      </w:r>
      <w:r w:rsidR="009A23B8" w:rsidRPr="009D3B75">
        <w:rPr>
          <w:rFonts w:ascii="Arial" w:hAnsi="Arial" w:cs="Arial"/>
        </w:rPr>
        <w:t xml:space="preserve"> and Infrastructure Development has been identified as consistent </w:t>
      </w:r>
      <w:r w:rsidR="00A12924" w:rsidRPr="009D3B75">
        <w:rPr>
          <w:rFonts w:ascii="Arial" w:hAnsi="Arial" w:cs="Arial"/>
        </w:rPr>
        <w:t>non</w:t>
      </w:r>
      <w:r w:rsidR="00F274F8" w:rsidRPr="009D3B75">
        <w:rPr>
          <w:rFonts w:ascii="Arial" w:hAnsi="Arial" w:cs="Arial"/>
        </w:rPr>
        <w:t>-</w:t>
      </w:r>
      <w:r w:rsidR="00A12924" w:rsidRPr="009D3B75">
        <w:rPr>
          <w:rFonts w:ascii="Arial" w:hAnsi="Arial" w:cs="Arial"/>
        </w:rPr>
        <w:t xml:space="preserve">compliers to </w:t>
      </w:r>
      <w:r w:rsidR="00932B5D" w:rsidRPr="009D3B75">
        <w:rPr>
          <w:rFonts w:ascii="Arial" w:hAnsi="Arial" w:cs="Arial"/>
        </w:rPr>
        <w:t xml:space="preserve">government’s 30-day payment to service providers. </w:t>
      </w:r>
      <w:r w:rsidR="00071FC5" w:rsidRPr="009D3B75">
        <w:rPr>
          <w:rFonts w:ascii="Arial" w:hAnsi="Arial" w:cs="Arial"/>
        </w:rPr>
        <w:t xml:space="preserve">In the 2022 State of the Province Address, the Premier also indicated </w:t>
      </w:r>
      <w:r w:rsidR="003064A4" w:rsidRPr="009D3B75">
        <w:rPr>
          <w:rFonts w:ascii="Arial" w:hAnsi="Arial" w:cs="Arial"/>
        </w:rPr>
        <w:t xml:space="preserve">that the Department of </w:t>
      </w:r>
      <w:r w:rsidR="003064A4" w:rsidRPr="009D3B75">
        <w:rPr>
          <w:rFonts w:ascii="Arial" w:hAnsi="Arial" w:cs="Arial"/>
        </w:rPr>
        <w:lastRenderedPageBreak/>
        <w:t>Social Development displays the signs of regression in complying to government’s 30-day payment to service providers.</w:t>
      </w:r>
      <w:r w:rsidR="00AE4FEE" w:rsidRPr="009D3B75">
        <w:rPr>
          <w:rFonts w:ascii="Arial" w:hAnsi="Arial" w:cs="Arial"/>
        </w:rPr>
        <w:t xml:space="preserve"> The Department of Community Safety </w:t>
      </w:r>
      <w:r w:rsidR="00700E2F" w:rsidRPr="009D3B75">
        <w:rPr>
          <w:rFonts w:ascii="Arial" w:hAnsi="Arial" w:cs="Arial"/>
        </w:rPr>
        <w:t xml:space="preserve">was also identified for </w:t>
      </w:r>
      <w:r w:rsidR="00AE4FEE" w:rsidRPr="009D3B75">
        <w:rPr>
          <w:rFonts w:ascii="Arial" w:hAnsi="Arial" w:cs="Arial"/>
        </w:rPr>
        <w:t>benchmark</w:t>
      </w:r>
      <w:r w:rsidR="00A12668" w:rsidRPr="009D3B75">
        <w:rPr>
          <w:rFonts w:ascii="Arial" w:hAnsi="Arial" w:cs="Arial"/>
        </w:rPr>
        <w:t>ing</w:t>
      </w:r>
      <w:r w:rsidR="00AE4FEE" w:rsidRPr="009D3B75">
        <w:rPr>
          <w:rFonts w:ascii="Arial" w:hAnsi="Arial" w:cs="Arial"/>
        </w:rPr>
        <w:t xml:space="preserve"> </w:t>
      </w:r>
      <w:r w:rsidR="00700E2F" w:rsidRPr="009D3B75">
        <w:rPr>
          <w:rFonts w:ascii="Arial" w:hAnsi="Arial" w:cs="Arial"/>
        </w:rPr>
        <w:t>purposes</w:t>
      </w:r>
      <w:r w:rsidR="00AE4FEE" w:rsidRPr="009D3B75">
        <w:rPr>
          <w:rFonts w:ascii="Arial" w:hAnsi="Arial" w:cs="Arial"/>
        </w:rPr>
        <w:t xml:space="preserve">, by virtue of the latter performing relatively better pertaining to </w:t>
      </w:r>
      <w:r w:rsidR="00700E2F" w:rsidRPr="009D3B75">
        <w:rPr>
          <w:rFonts w:ascii="Arial" w:hAnsi="Arial" w:cs="Arial"/>
        </w:rPr>
        <w:t xml:space="preserve">compliance with </w:t>
      </w:r>
      <w:r w:rsidR="00AE4FEE" w:rsidRPr="009D3B75">
        <w:rPr>
          <w:rFonts w:ascii="Arial" w:hAnsi="Arial" w:cs="Arial"/>
        </w:rPr>
        <w:t>government’s 30-day payment to service providers.</w:t>
      </w:r>
    </w:p>
    <w:p w14:paraId="0855A845" w14:textId="77777777" w:rsidR="00746D0F" w:rsidRPr="009D3B75" w:rsidRDefault="00746D0F" w:rsidP="009D3B75">
      <w:pPr>
        <w:spacing w:after="0"/>
        <w:jc w:val="both"/>
        <w:rPr>
          <w:rFonts w:ascii="Arial" w:hAnsi="Arial" w:cs="Arial"/>
        </w:rPr>
      </w:pPr>
    </w:p>
    <w:p w14:paraId="15EC47E8" w14:textId="320C61C8" w:rsidR="00C87B44" w:rsidRPr="009D3B75" w:rsidRDefault="0008680B" w:rsidP="009D3B75">
      <w:pPr>
        <w:spacing w:after="0"/>
        <w:jc w:val="both"/>
        <w:rPr>
          <w:rFonts w:ascii="Arial" w:hAnsi="Arial" w:cs="Arial"/>
          <w:lang w:val="en-GB"/>
        </w:rPr>
      </w:pPr>
      <w:r w:rsidRPr="009D3B75">
        <w:rPr>
          <w:rFonts w:ascii="Arial" w:hAnsi="Arial" w:cs="Arial"/>
        </w:rPr>
        <w:t xml:space="preserve">The purpose of the FIS is to </w:t>
      </w:r>
      <w:r w:rsidR="001E046A" w:rsidRPr="009D3B75">
        <w:rPr>
          <w:rFonts w:ascii="Arial" w:hAnsi="Arial" w:cs="Arial"/>
        </w:rPr>
        <w:t xml:space="preserve">assess, the causes of department’s non-compliance to government’s 30-day payment to service providers; establish whether department have Supply Chain Management (SCM) capacity to ensure compliance with government’s 30-day payment to service providers and to what extent has lack thereof impacted on compliance; the extent to which SCM processes are set and prepared to ensure compliance with  government’s 30-day payment to service providers; whether there are systems in place to follow up on incidents of non-compliance with government’s 30-day payment to service providers; </w:t>
      </w:r>
      <w:r w:rsidR="0007361D" w:rsidRPr="009D3B75">
        <w:rPr>
          <w:rFonts w:ascii="Arial" w:hAnsi="Arial" w:cs="Arial"/>
        </w:rPr>
        <w:t>whether there are mitigating measures in place to ensure compliance with government’s 30-day payment to service providers; the extent to which departments invoke consequence management in instances where departmental officials are the cause of non-compliance with government’s 30-day payment to service providers; and whether there are dispute resolution mechanisms in place to ensure compliance with government’s 30-day payment to service providers</w:t>
      </w:r>
      <w:r w:rsidR="00C87B44" w:rsidRPr="009D3B75">
        <w:rPr>
          <w:rFonts w:ascii="Arial" w:hAnsi="Arial" w:cs="Arial"/>
          <w:lang w:val="en-GB"/>
        </w:rPr>
        <w:t>.</w:t>
      </w:r>
    </w:p>
    <w:p w14:paraId="2842CFAA" w14:textId="77777777" w:rsidR="00C87B44" w:rsidRPr="009D3B75" w:rsidRDefault="00C87B44" w:rsidP="009D3B75">
      <w:pPr>
        <w:spacing w:after="0"/>
        <w:jc w:val="both"/>
        <w:rPr>
          <w:rFonts w:ascii="Arial" w:hAnsi="Arial" w:cs="Arial"/>
          <w:lang w:val="en-GB"/>
        </w:rPr>
      </w:pPr>
    </w:p>
    <w:p w14:paraId="0855A850" w14:textId="77777777" w:rsidR="00505332" w:rsidRPr="009D3B75" w:rsidRDefault="00505332" w:rsidP="009D3B75">
      <w:pPr>
        <w:spacing w:after="0"/>
        <w:jc w:val="both"/>
        <w:rPr>
          <w:rFonts w:ascii="Arial" w:hAnsi="Arial" w:cs="Arial"/>
          <w:b/>
          <w:bCs/>
        </w:rPr>
      </w:pPr>
    </w:p>
    <w:p w14:paraId="0855A851" w14:textId="77777777" w:rsidR="009D0BAB" w:rsidRPr="009D3B75" w:rsidRDefault="002127FE"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INTRODUCTION</w:t>
      </w:r>
      <w:r w:rsidR="009D0BAB" w:rsidRPr="009D3B75">
        <w:rPr>
          <w:rFonts w:ascii="Arial" w:hAnsi="Arial" w:cs="Arial"/>
          <w:color w:val="auto"/>
          <w:sz w:val="22"/>
          <w:szCs w:val="22"/>
        </w:rPr>
        <w:t xml:space="preserve"> </w:t>
      </w:r>
    </w:p>
    <w:p w14:paraId="0855A852" w14:textId="77777777" w:rsidR="00065A57" w:rsidRPr="009D3B75" w:rsidRDefault="00065A57" w:rsidP="009D3B75">
      <w:pPr>
        <w:spacing w:after="0"/>
        <w:jc w:val="both"/>
        <w:rPr>
          <w:rFonts w:ascii="Arial" w:hAnsi="Arial" w:cs="Arial"/>
        </w:rPr>
      </w:pPr>
    </w:p>
    <w:p w14:paraId="0ACE8D5E" w14:textId="746D772B" w:rsidR="00B55983" w:rsidRPr="009D3B75" w:rsidRDefault="00065A57" w:rsidP="009D3B75">
      <w:pPr>
        <w:spacing w:after="0"/>
        <w:jc w:val="both"/>
        <w:rPr>
          <w:rFonts w:ascii="Arial" w:hAnsi="Arial" w:cs="Arial"/>
          <w:bCs/>
        </w:rPr>
      </w:pPr>
      <w:bookmarkStart w:id="4" w:name="_Toc395007638"/>
      <w:bookmarkStart w:id="5" w:name="_Toc401138931"/>
      <w:r w:rsidRPr="009D3B75">
        <w:rPr>
          <w:rFonts w:ascii="Arial" w:hAnsi="Arial" w:cs="Arial"/>
          <w:bCs/>
        </w:rPr>
        <w:t xml:space="preserve">The Finance Portfolio Committee; herein referred to as the Portfolio Committee exercises oversight </w:t>
      </w:r>
      <w:r w:rsidR="00B55983" w:rsidRPr="009D3B75">
        <w:rPr>
          <w:rFonts w:ascii="Arial" w:hAnsi="Arial" w:cs="Arial"/>
          <w:bCs/>
        </w:rPr>
        <w:t xml:space="preserve">over the Gauteng Provincial Treasury. One of GPT’s strategic outcomes under increased compliance with legislative prescripts, is to promote accountability through substantive reflection of financial activities as well as compliance with financial norms and standards </w:t>
      </w:r>
      <w:r w:rsidR="005B5DB4" w:rsidRPr="009D3B75">
        <w:rPr>
          <w:rFonts w:ascii="Arial" w:hAnsi="Arial" w:cs="Arial"/>
          <w:bCs/>
        </w:rPr>
        <w:t>in Public</w:t>
      </w:r>
      <w:r w:rsidR="00B55983" w:rsidRPr="009D3B75">
        <w:rPr>
          <w:rFonts w:ascii="Arial" w:hAnsi="Arial" w:cs="Arial"/>
          <w:bCs/>
        </w:rPr>
        <w:t xml:space="preserve"> Finance Management Act </w:t>
      </w:r>
      <w:r w:rsidR="005B5DB4" w:rsidRPr="009D3B75">
        <w:rPr>
          <w:rFonts w:ascii="Arial" w:hAnsi="Arial" w:cs="Arial"/>
          <w:bCs/>
        </w:rPr>
        <w:t xml:space="preserve">(PFMA) </w:t>
      </w:r>
      <w:r w:rsidR="00B55983" w:rsidRPr="009D3B75">
        <w:rPr>
          <w:rFonts w:ascii="Arial" w:hAnsi="Arial" w:cs="Arial"/>
          <w:bCs/>
        </w:rPr>
        <w:t>compliant institutions</w:t>
      </w:r>
      <w:r w:rsidR="000F486C" w:rsidRPr="009D3B75">
        <w:rPr>
          <w:rFonts w:ascii="Arial" w:hAnsi="Arial" w:cs="Arial"/>
          <w:bCs/>
        </w:rPr>
        <w:t xml:space="preserve"> and promote and enforce transparency</w:t>
      </w:r>
      <w:r w:rsidR="005A4509" w:rsidRPr="009D3B75">
        <w:rPr>
          <w:rFonts w:ascii="Arial" w:hAnsi="Arial" w:cs="Arial"/>
          <w:bCs/>
        </w:rPr>
        <w:t xml:space="preserve"> and effective supply chain management in the province. It is against this background that the Portfolio Committee</w:t>
      </w:r>
      <w:r w:rsidR="00B55983" w:rsidRPr="009D3B75">
        <w:rPr>
          <w:rFonts w:ascii="Arial" w:hAnsi="Arial" w:cs="Arial"/>
          <w:bCs/>
        </w:rPr>
        <w:t xml:space="preserve"> </w:t>
      </w:r>
      <w:r w:rsidR="005A4509" w:rsidRPr="009D3B75">
        <w:rPr>
          <w:rFonts w:ascii="Arial" w:hAnsi="Arial" w:cs="Arial"/>
          <w:bCs/>
        </w:rPr>
        <w:t>oversees the compliance by Gauteng Provincial Government (GPG) departments with government’s</w:t>
      </w:r>
      <w:r w:rsidR="005B5DB4" w:rsidRPr="009D3B75">
        <w:rPr>
          <w:rFonts w:ascii="Arial" w:hAnsi="Arial" w:cs="Arial"/>
          <w:bCs/>
        </w:rPr>
        <w:t xml:space="preserve"> 30-day payment to service providers, as provided for in section 38 (1)(f) of the PFMA. Which enjoins accounting officers to settle all contractual obligations and pay all money owing, including intergovernmental claims, within the prescribed or agreed period.</w:t>
      </w:r>
      <w:r w:rsidR="00A12668" w:rsidRPr="009D3B75">
        <w:rPr>
          <w:rFonts w:ascii="Arial" w:hAnsi="Arial" w:cs="Arial"/>
          <w:bCs/>
        </w:rPr>
        <w:t xml:space="preserve"> This was further amplified by </w:t>
      </w:r>
      <w:r w:rsidR="00BF413F">
        <w:rPr>
          <w:rFonts w:ascii="Arial" w:hAnsi="Arial" w:cs="Arial"/>
          <w:bCs/>
        </w:rPr>
        <w:t>T</w:t>
      </w:r>
      <w:r w:rsidR="00A12668" w:rsidRPr="009D3B75">
        <w:rPr>
          <w:rFonts w:ascii="Arial" w:hAnsi="Arial" w:cs="Arial"/>
          <w:bCs/>
        </w:rPr>
        <w:t xml:space="preserve">reasury </w:t>
      </w:r>
      <w:r w:rsidR="00BF413F">
        <w:rPr>
          <w:rFonts w:ascii="Arial" w:hAnsi="Arial" w:cs="Arial"/>
          <w:bCs/>
        </w:rPr>
        <w:t>R</w:t>
      </w:r>
      <w:r w:rsidR="00A12668" w:rsidRPr="009D3B75">
        <w:rPr>
          <w:rFonts w:ascii="Arial" w:hAnsi="Arial" w:cs="Arial"/>
          <w:bCs/>
        </w:rPr>
        <w:t xml:space="preserve">egulation 8.2.3, </w:t>
      </w:r>
      <w:r w:rsidR="00606988" w:rsidRPr="009D3B75">
        <w:rPr>
          <w:rFonts w:ascii="Arial" w:hAnsi="Arial" w:cs="Arial"/>
          <w:bCs/>
        </w:rPr>
        <w:t xml:space="preserve">which states that </w:t>
      </w:r>
      <w:r w:rsidR="00606988" w:rsidRPr="009D3B75">
        <w:rPr>
          <w:rFonts w:ascii="Arial" w:hAnsi="Arial" w:cs="Arial"/>
          <w:shd w:val="clear" w:color="auto" w:fill="FFFFFF"/>
        </w:rPr>
        <w:t>“Unless determined otherwise in a contract or other agreement, all payments due to creditors must be settled within 30 days from receipt of an invoice or, in the case of civil claims, the date of settlement or court judgement”.</w:t>
      </w:r>
    </w:p>
    <w:p w14:paraId="1D9667CC" w14:textId="77777777" w:rsidR="00B55983" w:rsidRPr="009D3B75" w:rsidRDefault="00B55983" w:rsidP="009D3B75">
      <w:pPr>
        <w:spacing w:after="0"/>
        <w:jc w:val="both"/>
        <w:rPr>
          <w:rFonts w:ascii="Arial" w:hAnsi="Arial" w:cs="Arial"/>
          <w:bCs/>
        </w:rPr>
      </w:pPr>
    </w:p>
    <w:p w14:paraId="0855A853" w14:textId="3AE6C234" w:rsidR="00065A57" w:rsidRPr="009D3B75" w:rsidRDefault="00065A57" w:rsidP="009D3B75">
      <w:pPr>
        <w:spacing w:after="0"/>
        <w:jc w:val="both"/>
        <w:rPr>
          <w:rFonts w:ascii="Arial" w:hAnsi="Arial" w:cs="Arial"/>
        </w:rPr>
      </w:pPr>
      <w:r w:rsidRPr="009D3B75">
        <w:rPr>
          <w:rFonts w:ascii="Arial" w:hAnsi="Arial" w:cs="Arial"/>
          <w:bCs/>
        </w:rPr>
        <w:t>Th</w:t>
      </w:r>
      <w:r w:rsidR="00606988" w:rsidRPr="009D3B75">
        <w:rPr>
          <w:rFonts w:ascii="Arial" w:hAnsi="Arial" w:cs="Arial"/>
          <w:bCs/>
        </w:rPr>
        <w:t xml:space="preserve">e Portfolio Committee conducts oversight </w:t>
      </w:r>
      <w:r w:rsidRPr="009D3B75">
        <w:rPr>
          <w:rFonts w:ascii="Arial" w:hAnsi="Arial" w:cs="Arial"/>
          <w:bCs/>
        </w:rPr>
        <w:t xml:space="preserve">through the prescripts of the </w:t>
      </w:r>
      <w:r w:rsidRPr="009D3B75">
        <w:rPr>
          <w:rFonts w:ascii="Arial" w:hAnsi="Arial" w:cs="Arial"/>
        </w:rPr>
        <w:t xml:space="preserve">Sector Oversight Model (SOM) and the </w:t>
      </w:r>
      <w:r w:rsidRPr="009D3B75">
        <w:rPr>
          <w:rFonts w:ascii="Arial" w:hAnsi="Arial" w:cs="Arial"/>
          <w:bCs/>
        </w:rPr>
        <w:t>Public Finance Management Act (1999) (PFMA)</w:t>
      </w:r>
      <w:r w:rsidRPr="009D3B75">
        <w:rPr>
          <w:rFonts w:ascii="Arial" w:hAnsi="Arial" w:cs="Arial"/>
        </w:rPr>
        <w:t xml:space="preserve">. SOM prescribes three elements of legislative oversight i.e. the evaluation of the efficacy of the public service; the appropriateness of financial resource allocation and management; and the relationship between these key elements. </w:t>
      </w:r>
      <w:r w:rsidR="00606988" w:rsidRPr="009D3B75">
        <w:rPr>
          <w:rFonts w:ascii="Arial" w:hAnsi="Arial" w:cs="Arial"/>
        </w:rPr>
        <w:t>While t</w:t>
      </w:r>
      <w:r w:rsidRPr="009D3B75">
        <w:rPr>
          <w:rFonts w:ascii="Arial" w:hAnsi="Arial" w:cs="Arial"/>
        </w:rPr>
        <w:t xml:space="preserve">he PFMA </w:t>
      </w:r>
      <w:r w:rsidRPr="009D3B75">
        <w:rPr>
          <w:rFonts w:ascii="Arial" w:hAnsi="Arial" w:cs="Arial"/>
          <w:bCs/>
        </w:rPr>
        <w:t xml:space="preserve">creates the basis on which oversight by Legislatures should be exercised. The Act clearly outlines areas of service delivery that should be reported on, including the responsibilities of officials and the timelines for reporting. </w:t>
      </w:r>
    </w:p>
    <w:p w14:paraId="0855A854" w14:textId="77777777" w:rsidR="00065A57" w:rsidRPr="009D3B75" w:rsidRDefault="00065A57" w:rsidP="009D3B75">
      <w:pPr>
        <w:spacing w:after="0"/>
        <w:rPr>
          <w:rFonts w:ascii="Arial" w:hAnsi="Arial" w:cs="Arial"/>
          <w:bCs/>
        </w:rPr>
      </w:pPr>
    </w:p>
    <w:p w14:paraId="4A54A926" w14:textId="5EC71A5F" w:rsidR="00606988" w:rsidRPr="009D3B75" w:rsidRDefault="00065A57" w:rsidP="009D3B75">
      <w:pPr>
        <w:spacing w:after="0"/>
        <w:jc w:val="both"/>
        <w:rPr>
          <w:rFonts w:ascii="Arial" w:hAnsi="Arial" w:cs="Arial"/>
        </w:rPr>
      </w:pPr>
      <w:r w:rsidRPr="009D3B75">
        <w:rPr>
          <w:rFonts w:ascii="Arial" w:hAnsi="Arial" w:cs="Arial"/>
        </w:rPr>
        <w:t xml:space="preserve">This report </w:t>
      </w:r>
      <w:r w:rsidR="00FD0B7B" w:rsidRPr="009D3B75">
        <w:rPr>
          <w:rFonts w:ascii="Arial" w:hAnsi="Arial" w:cs="Arial"/>
        </w:rPr>
        <w:t xml:space="preserve">seeks to </w:t>
      </w:r>
      <w:r w:rsidR="0078641A" w:rsidRPr="009D3B75">
        <w:rPr>
          <w:rFonts w:ascii="Arial" w:hAnsi="Arial" w:cs="Arial"/>
        </w:rPr>
        <w:t xml:space="preserve">determine the root causes of non-compliance </w:t>
      </w:r>
      <w:r w:rsidR="005B37A0" w:rsidRPr="009D3B75">
        <w:rPr>
          <w:rFonts w:ascii="Arial" w:hAnsi="Arial" w:cs="Arial"/>
        </w:rPr>
        <w:t xml:space="preserve">by GPG departments </w:t>
      </w:r>
      <w:r w:rsidR="0078641A" w:rsidRPr="009D3B75">
        <w:rPr>
          <w:rFonts w:ascii="Arial" w:hAnsi="Arial" w:cs="Arial"/>
        </w:rPr>
        <w:t xml:space="preserve">to government’s 30-day payment to service </w:t>
      </w:r>
      <w:r w:rsidR="005B37A0" w:rsidRPr="009D3B75">
        <w:rPr>
          <w:rFonts w:ascii="Arial" w:hAnsi="Arial" w:cs="Arial"/>
        </w:rPr>
        <w:t>providers, assessment</w:t>
      </w:r>
      <w:r w:rsidRPr="009D3B75">
        <w:rPr>
          <w:rFonts w:ascii="Arial" w:hAnsi="Arial" w:cs="Arial"/>
        </w:rPr>
        <w:t xml:space="preserve"> of </w:t>
      </w:r>
      <w:r w:rsidR="00606988" w:rsidRPr="009D3B75">
        <w:rPr>
          <w:rFonts w:ascii="Arial" w:hAnsi="Arial" w:cs="Arial"/>
        </w:rPr>
        <w:t>the extent of non-compliance with government’s 30-day payment to service providers</w:t>
      </w:r>
      <w:r w:rsidR="0078641A" w:rsidRPr="009D3B75">
        <w:rPr>
          <w:rFonts w:ascii="Arial" w:hAnsi="Arial" w:cs="Arial"/>
        </w:rPr>
        <w:t xml:space="preserve"> by GPG departments</w:t>
      </w:r>
      <w:r w:rsidR="00606988" w:rsidRPr="009D3B75">
        <w:rPr>
          <w:rFonts w:ascii="Arial" w:hAnsi="Arial" w:cs="Arial"/>
        </w:rPr>
        <w:t xml:space="preserve">, the </w:t>
      </w:r>
      <w:r w:rsidR="00606988" w:rsidRPr="009D3B75">
        <w:rPr>
          <w:rFonts w:ascii="Arial" w:hAnsi="Arial" w:cs="Arial"/>
        </w:rPr>
        <w:lastRenderedPageBreak/>
        <w:t xml:space="preserve">challenges which impedes </w:t>
      </w:r>
      <w:r w:rsidR="0078641A" w:rsidRPr="009D3B75">
        <w:rPr>
          <w:rFonts w:ascii="Arial" w:hAnsi="Arial" w:cs="Arial"/>
        </w:rPr>
        <w:t xml:space="preserve">GPG </w:t>
      </w:r>
      <w:r w:rsidR="00606988" w:rsidRPr="009D3B75">
        <w:rPr>
          <w:rFonts w:ascii="Arial" w:hAnsi="Arial" w:cs="Arial"/>
        </w:rPr>
        <w:t xml:space="preserve">departments from complying </w:t>
      </w:r>
      <w:r w:rsidR="0078641A" w:rsidRPr="009D3B75">
        <w:rPr>
          <w:rFonts w:ascii="Arial" w:hAnsi="Arial" w:cs="Arial"/>
        </w:rPr>
        <w:t xml:space="preserve">with government’s 30-day payment to service providers, </w:t>
      </w:r>
      <w:r w:rsidR="005B37A0" w:rsidRPr="009D3B75">
        <w:rPr>
          <w:rFonts w:ascii="Arial" w:hAnsi="Arial" w:cs="Arial"/>
        </w:rPr>
        <w:t xml:space="preserve">consider the remedial measures put </w:t>
      </w:r>
      <w:r w:rsidR="00BF413F">
        <w:rPr>
          <w:rFonts w:ascii="Arial" w:hAnsi="Arial" w:cs="Arial"/>
        </w:rPr>
        <w:t>in</w:t>
      </w:r>
      <w:r w:rsidR="005B37A0" w:rsidRPr="009D3B75">
        <w:rPr>
          <w:rFonts w:ascii="Arial" w:hAnsi="Arial" w:cs="Arial"/>
        </w:rPr>
        <w:t xml:space="preserve"> place to mitigate against non-compliance with government’s 30-day payment to service providers, and make recommendations to </w:t>
      </w:r>
      <w:r w:rsidR="00534F0A" w:rsidRPr="009D3B75">
        <w:rPr>
          <w:rFonts w:ascii="Arial" w:hAnsi="Arial" w:cs="Arial"/>
        </w:rPr>
        <w:t>ensure that GPG departments comply with government’s 30-day payment to service providers</w:t>
      </w:r>
      <w:r w:rsidR="00E67799" w:rsidRPr="009D3B75">
        <w:rPr>
          <w:rFonts w:ascii="Arial" w:hAnsi="Arial" w:cs="Arial"/>
        </w:rPr>
        <w:t xml:space="preserve"> and thereby ameliorate the plight of the SMMEs. </w:t>
      </w:r>
    </w:p>
    <w:p w14:paraId="195BE570" w14:textId="77777777" w:rsidR="005B37A0" w:rsidRPr="009D3B75" w:rsidRDefault="005B37A0" w:rsidP="009D3B75">
      <w:pPr>
        <w:spacing w:after="0"/>
        <w:jc w:val="both"/>
        <w:rPr>
          <w:rFonts w:ascii="Arial" w:hAnsi="Arial" w:cs="Arial"/>
        </w:rPr>
      </w:pPr>
    </w:p>
    <w:p w14:paraId="0855A857" w14:textId="77777777" w:rsidR="00634D8A" w:rsidRPr="009D3B75" w:rsidRDefault="00634D8A"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PROCESS FOLLOWED</w:t>
      </w:r>
      <w:bookmarkEnd w:id="4"/>
      <w:bookmarkEnd w:id="5"/>
    </w:p>
    <w:p w14:paraId="0855A858" w14:textId="77777777" w:rsidR="00A160CC" w:rsidRPr="009D3B75" w:rsidRDefault="00A160CC" w:rsidP="009D3B75">
      <w:pPr>
        <w:spacing w:after="0"/>
        <w:ind w:left="360"/>
        <w:jc w:val="both"/>
        <w:rPr>
          <w:rFonts w:ascii="Arial" w:hAnsi="Arial" w:cs="Arial"/>
          <w:lang w:val="en-US"/>
        </w:rPr>
      </w:pPr>
      <w:bookmarkStart w:id="6" w:name="_Toc395007639"/>
      <w:bookmarkStart w:id="7" w:name="_Toc401138932"/>
    </w:p>
    <w:p w14:paraId="0855A859" w14:textId="3FE8AE43" w:rsidR="00C72766" w:rsidRPr="009D3B75" w:rsidRDefault="00C72766" w:rsidP="009D3B75">
      <w:pPr>
        <w:jc w:val="both"/>
        <w:rPr>
          <w:rFonts w:ascii="Arial" w:hAnsi="Arial" w:cs="Arial"/>
          <w:bCs/>
          <w:iCs/>
        </w:rPr>
      </w:pPr>
      <w:r w:rsidRPr="009D3B75">
        <w:rPr>
          <w:rFonts w:ascii="Arial" w:hAnsi="Arial" w:cs="Arial"/>
        </w:rPr>
        <w:t xml:space="preserve">On </w:t>
      </w:r>
      <w:r w:rsidR="00E67799" w:rsidRPr="009D3B75">
        <w:rPr>
          <w:rFonts w:ascii="Arial" w:hAnsi="Arial" w:cs="Arial"/>
        </w:rPr>
        <w:t xml:space="preserve">01 February </w:t>
      </w:r>
      <w:r w:rsidR="00E10892" w:rsidRPr="009D3B75">
        <w:rPr>
          <w:rFonts w:ascii="Arial" w:hAnsi="Arial" w:cs="Arial"/>
        </w:rPr>
        <w:t>20</w:t>
      </w:r>
      <w:r w:rsidR="00B80323" w:rsidRPr="009D3B75">
        <w:rPr>
          <w:rFonts w:ascii="Arial" w:hAnsi="Arial" w:cs="Arial"/>
        </w:rPr>
        <w:t>2</w:t>
      </w:r>
      <w:r w:rsidR="00E67799" w:rsidRPr="009D3B75">
        <w:rPr>
          <w:rFonts w:ascii="Arial" w:hAnsi="Arial" w:cs="Arial"/>
        </w:rPr>
        <w:t>2</w:t>
      </w:r>
      <w:r w:rsidRPr="009D3B75">
        <w:rPr>
          <w:rFonts w:ascii="Arial" w:hAnsi="Arial" w:cs="Arial"/>
        </w:rPr>
        <w:t>,</w:t>
      </w:r>
      <w:r w:rsidRPr="009D3B75">
        <w:rPr>
          <w:rFonts w:ascii="Arial" w:hAnsi="Arial" w:cs="Arial"/>
          <w:b/>
          <w:bCs/>
        </w:rPr>
        <w:t xml:space="preserve"> </w:t>
      </w:r>
      <w:r w:rsidRPr="009D3B75">
        <w:rPr>
          <w:rFonts w:ascii="Arial" w:hAnsi="Arial" w:cs="Arial"/>
        </w:rPr>
        <w:t xml:space="preserve">the Portfolio Committee </w:t>
      </w:r>
      <w:r w:rsidR="003B7C1F" w:rsidRPr="009D3B75">
        <w:rPr>
          <w:rFonts w:ascii="Arial" w:hAnsi="Arial" w:cs="Arial"/>
        </w:rPr>
        <w:t xml:space="preserve">considered the FIS </w:t>
      </w:r>
      <w:r w:rsidR="00B80323" w:rsidRPr="009D3B75">
        <w:rPr>
          <w:rFonts w:ascii="Arial" w:hAnsi="Arial" w:cs="Arial"/>
        </w:rPr>
        <w:t>topic entitled</w:t>
      </w:r>
      <w:r w:rsidRPr="009D3B75">
        <w:rPr>
          <w:rFonts w:ascii="Arial" w:hAnsi="Arial" w:cs="Arial"/>
        </w:rPr>
        <w:t xml:space="preserve">, </w:t>
      </w:r>
      <w:r w:rsidR="00E10892" w:rsidRPr="009D3B75">
        <w:rPr>
          <w:rFonts w:ascii="Arial" w:hAnsi="Arial" w:cs="Arial"/>
          <w:b/>
          <w:i/>
        </w:rPr>
        <w:t>“</w:t>
      </w:r>
      <w:r w:rsidR="00E67799" w:rsidRPr="009D3B75">
        <w:rPr>
          <w:rFonts w:ascii="Arial" w:hAnsi="Arial" w:cs="Arial"/>
          <w:b/>
          <w:bCs/>
        </w:rPr>
        <w:t>Gauteng Provincial Government’s Compliance with Government’s 30-Day Payment to Service Providers</w:t>
      </w:r>
      <w:r w:rsidR="00E10892" w:rsidRPr="009D3B75">
        <w:rPr>
          <w:rFonts w:ascii="Arial" w:hAnsi="Arial" w:cs="Arial"/>
          <w:b/>
          <w:i/>
        </w:rPr>
        <w:t>”.</w:t>
      </w:r>
      <w:r w:rsidR="00B80323" w:rsidRPr="009D3B75">
        <w:rPr>
          <w:rFonts w:ascii="Arial" w:hAnsi="Arial" w:cs="Arial"/>
          <w:bCs/>
          <w:iCs/>
        </w:rPr>
        <w:t xml:space="preserve"> The Portfolio Committee duly supported and agreed on the topic for the FIS.</w:t>
      </w:r>
    </w:p>
    <w:p w14:paraId="216E935C" w14:textId="77777777" w:rsidR="00E67799" w:rsidRPr="009D3B75" w:rsidRDefault="00E67799" w:rsidP="009D3B75">
      <w:pPr>
        <w:spacing w:after="0"/>
        <w:jc w:val="both"/>
        <w:rPr>
          <w:rFonts w:ascii="Arial" w:hAnsi="Arial" w:cs="Arial"/>
        </w:rPr>
      </w:pPr>
    </w:p>
    <w:p w14:paraId="0855A85E" w14:textId="4153A6EF" w:rsidR="006079B8" w:rsidRPr="009D3B75" w:rsidRDefault="00E67799" w:rsidP="009D3B75">
      <w:pPr>
        <w:spacing w:after="0"/>
        <w:jc w:val="both"/>
        <w:rPr>
          <w:rFonts w:ascii="Arial" w:hAnsi="Arial" w:cs="Arial"/>
        </w:rPr>
      </w:pPr>
      <w:r w:rsidRPr="009D3B75">
        <w:rPr>
          <w:rFonts w:ascii="Arial" w:hAnsi="Arial" w:cs="Arial"/>
        </w:rPr>
        <w:t>T</w:t>
      </w:r>
      <w:r w:rsidR="006079B8" w:rsidRPr="009D3B75">
        <w:rPr>
          <w:rFonts w:ascii="Arial" w:hAnsi="Arial" w:cs="Arial"/>
        </w:rPr>
        <w:t xml:space="preserve">he Portfolio Committee </w:t>
      </w:r>
      <w:r w:rsidR="00385A33" w:rsidRPr="009D3B75">
        <w:rPr>
          <w:rFonts w:ascii="Arial" w:hAnsi="Arial" w:cs="Arial"/>
        </w:rPr>
        <w:t xml:space="preserve">received presentations on the FIS topic from </w:t>
      </w:r>
      <w:r w:rsidR="007071A0" w:rsidRPr="009D3B75">
        <w:rPr>
          <w:rFonts w:ascii="Arial" w:hAnsi="Arial" w:cs="Arial"/>
        </w:rPr>
        <w:t>Gauteng Provincial Treasury and Public Service Commission on Friday, 04 February 2022</w:t>
      </w:r>
      <w:r w:rsidR="00385A33" w:rsidRPr="009D3B75">
        <w:rPr>
          <w:rFonts w:ascii="Arial" w:hAnsi="Arial" w:cs="Arial"/>
        </w:rPr>
        <w:t xml:space="preserve">. Thereafter, on </w:t>
      </w:r>
      <w:r w:rsidR="00D477A0" w:rsidRPr="009D3B75">
        <w:rPr>
          <w:rFonts w:ascii="Arial" w:hAnsi="Arial" w:cs="Arial"/>
        </w:rPr>
        <w:t>10 March</w:t>
      </w:r>
      <w:r w:rsidR="00385A33" w:rsidRPr="009D3B75">
        <w:rPr>
          <w:rFonts w:ascii="Arial" w:hAnsi="Arial" w:cs="Arial"/>
        </w:rPr>
        <w:t xml:space="preserve"> 202</w:t>
      </w:r>
      <w:r w:rsidR="00D477A0" w:rsidRPr="009D3B75">
        <w:rPr>
          <w:rFonts w:ascii="Arial" w:hAnsi="Arial" w:cs="Arial"/>
        </w:rPr>
        <w:t>2</w:t>
      </w:r>
      <w:r w:rsidR="00385A33" w:rsidRPr="009D3B75">
        <w:rPr>
          <w:rFonts w:ascii="Arial" w:hAnsi="Arial" w:cs="Arial"/>
        </w:rPr>
        <w:t xml:space="preserve">, the Portfolio Committee received </w:t>
      </w:r>
      <w:r w:rsidR="00D34F62" w:rsidRPr="009D3B75">
        <w:rPr>
          <w:rFonts w:ascii="Arial" w:hAnsi="Arial" w:cs="Arial"/>
        </w:rPr>
        <w:t xml:space="preserve">presentations from </w:t>
      </w:r>
      <w:r w:rsidR="00D477A0" w:rsidRPr="009D3B75">
        <w:rPr>
          <w:rFonts w:ascii="Arial" w:hAnsi="Arial" w:cs="Arial"/>
        </w:rPr>
        <w:t>the Departments of Health, Infrastructure Development, Community Safety, and Social Development</w:t>
      </w:r>
      <w:r w:rsidR="00D34F62" w:rsidRPr="009D3B75">
        <w:rPr>
          <w:rFonts w:ascii="Arial" w:hAnsi="Arial" w:cs="Arial"/>
        </w:rPr>
        <w:t xml:space="preserve"> on the FIS topic.</w:t>
      </w:r>
      <w:r w:rsidR="006079B8" w:rsidRPr="009D3B75">
        <w:rPr>
          <w:rFonts w:ascii="Arial" w:hAnsi="Arial" w:cs="Arial"/>
        </w:rPr>
        <w:t xml:space="preserve">  </w:t>
      </w:r>
    </w:p>
    <w:p w14:paraId="0855A85F" w14:textId="77777777" w:rsidR="006079B8" w:rsidRPr="009D3B75" w:rsidRDefault="006079B8" w:rsidP="009D3B75">
      <w:pPr>
        <w:spacing w:after="0"/>
        <w:jc w:val="lowKashida"/>
        <w:rPr>
          <w:rFonts w:ascii="Arial" w:hAnsi="Arial" w:cs="Arial"/>
        </w:rPr>
      </w:pPr>
    </w:p>
    <w:p w14:paraId="0855A860" w14:textId="556203D3" w:rsidR="00097BFD" w:rsidRPr="009D3B75" w:rsidRDefault="00AA7FB6" w:rsidP="009D3B75">
      <w:pPr>
        <w:spacing w:after="0"/>
        <w:jc w:val="both"/>
        <w:rPr>
          <w:rFonts w:ascii="Arial" w:hAnsi="Arial" w:cs="Arial"/>
          <w:b/>
          <w:bCs/>
        </w:rPr>
      </w:pPr>
      <w:r w:rsidRPr="009D3B75">
        <w:rPr>
          <w:rFonts w:ascii="Arial" w:hAnsi="Arial" w:cs="Arial"/>
        </w:rPr>
        <w:t>The Portfolio Committee deliberated a</w:t>
      </w:r>
      <w:r w:rsidR="00C72766" w:rsidRPr="009D3B75">
        <w:rPr>
          <w:rFonts w:ascii="Arial" w:hAnsi="Arial" w:cs="Arial"/>
        </w:rPr>
        <w:t xml:space="preserve">nd adopted the </w:t>
      </w:r>
      <w:r w:rsidR="00C95CCE" w:rsidRPr="009D3B75">
        <w:rPr>
          <w:rFonts w:ascii="Arial" w:hAnsi="Arial" w:cs="Arial"/>
        </w:rPr>
        <w:t xml:space="preserve">draft </w:t>
      </w:r>
      <w:r w:rsidRPr="009D3B75">
        <w:rPr>
          <w:rFonts w:ascii="Arial" w:hAnsi="Arial" w:cs="Arial"/>
        </w:rPr>
        <w:t xml:space="preserve">oversight </w:t>
      </w:r>
      <w:r w:rsidR="00C72766" w:rsidRPr="009D3B75">
        <w:rPr>
          <w:rFonts w:ascii="Arial" w:hAnsi="Arial" w:cs="Arial"/>
        </w:rPr>
        <w:t>F</w:t>
      </w:r>
      <w:r w:rsidR="0004251A" w:rsidRPr="009D3B75">
        <w:rPr>
          <w:rFonts w:ascii="Arial" w:hAnsi="Arial" w:cs="Arial"/>
        </w:rPr>
        <w:t>IS</w:t>
      </w:r>
      <w:r w:rsidR="00C72766" w:rsidRPr="009D3B75">
        <w:rPr>
          <w:rFonts w:ascii="Arial" w:hAnsi="Arial" w:cs="Arial"/>
        </w:rPr>
        <w:t xml:space="preserve"> Report</w:t>
      </w:r>
      <w:r w:rsidRPr="009D3B75">
        <w:rPr>
          <w:rFonts w:ascii="Arial" w:hAnsi="Arial" w:cs="Arial"/>
        </w:rPr>
        <w:t xml:space="preserve"> on </w:t>
      </w:r>
      <w:r w:rsidR="00D34F62" w:rsidRPr="009D3B75">
        <w:rPr>
          <w:rFonts w:ascii="Arial" w:hAnsi="Arial" w:cs="Arial"/>
        </w:rPr>
        <w:t>Wednesday</w:t>
      </w:r>
      <w:r w:rsidRPr="009D3B75">
        <w:rPr>
          <w:rFonts w:ascii="Arial" w:hAnsi="Arial" w:cs="Arial"/>
        </w:rPr>
        <w:t xml:space="preserve">, </w:t>
      </w:r>
      <w:r w:rsidR="00D477A0" w:rsidRPr="009D3B75">
        <w:rPr>
          <w:rFonts w:ascii="Arial" w:hAnsi="Arial" w:cs="Arial"/>
        </w:rPr>
        <w:t>0</w:t>
      </w:r>
      <w:r w:rsidR="00F274F8" w:rsidRPr="009D3B75">
        <w:rPr>
          <w:rFonts w:ascii="Arial" w:hAnsi="Arial" w:cs="Arial"/>
        </w:rPr>
        <w:t>1 June</w:t>
      </w:r>
      <w:r w:rsidRPr="009D3B75">
        <w:rPr>
          <w:rFonts w:ascii="Arial" w:hAnsi="Arial" w:cs="Arial"/>
        </w:rPr>
        <w:t xml:space="preserve"> 20</w:t>
      </w:r>
      <w:r w:rsidR="00D34F62" w:rsidRPr="009D3B75">
        <w:rPr>
          <w:rFonts w:ascii="Arial" w:hAnsi="Arial" w:cs="Arial"/>
        </w:rPr>
        <w:t>2</w:t>
      </w:r>
      <w:r w:rsidR="00D477A0" w:rsidRPr="009D3B75">
        <w:rPr>
          <w:rFonts w:ascii="Arial" w:hAnsi="Arial" w:cs="Arial"/>
        </w:rPr>
        <w:t>2</w:t>
      </w:r>
      <w:r w:rsidR="00E921BC" w:rsidRPr="009D3B75">
        <w:rPr>
          <w:rFonts w:ascii="Arial" w:hAnsi="Arial" w:cs="Arial"/>
        </w:rPr>
        <w:t>.</w:t>
      </w:r>
      <w:r w:rsidR="00097BFD" w:rsidRPr="009D3B75">
        <w:rPr>
          <w:rFonts w:ascii="Arial" w:hAnsi="Arial" w:cs="Arial"/>
        </w:rPr>
        <w:t xml:space="preserve"> The report was submitted to the Proceedings Unit for tabling and consideration by the House</w:t>
      </w:r>
      <w:r w:rsidR="00097BFD" w:rsidRPr="009D3B75">
        <w:rPr>
          <w:rFonts w:ascii="Arial" w:hAnsi="Arial" w:cs="Arial"/>
          <w:bCs/>
        </w:rPr>
        <w:t>.</w:t>
      </w:r>
    </w:p>
    <w:p w14:paraId="0855A861" w14:textId="77777777" w:rsidR="00065A57" w:rsidRPr="009D3B75" w:rsidRDefault="00E921BC" w:rsidP="009D3B75">
      <w:pPr>
        <w:spacing w:after="0"/>
        <w:jc w:val="lowKashida"/>
        <w:rPr>
          <w:rFonts w:ascii="Arial" w:hAnsi="Arial" w:cs="Arial"/>
        </w:rPr>
      </w:pPr>
      <w:r w:rsidRPr="009D3B75">
        <w:rPr>
          <w:rFonts w:ascii="Arial" w:hAnsi="Arial" w:cs="Arial"/>
        </w:rPr>
        <w:t xml:space="preserve"> </w:t>
      </w:r>
      <w:r w:rsidR="00C72766" w:rsidRPr="009D3B75">
        <w:rPr>
          <w:rFonts w:ascii="Arial" w:hAnsi="Arial" w:cs="Arial"/>
        </w:rPr>
        <w:t xml:space="preserve"> </w:t>
      </w:r>
    </w:p>
    <w:p w14:paraId="0855A862" w14:textId="77777777" w:rsidR="00634D8A" w:rsidRPr="009D3B75" w:rsidRDefault="005E6515"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 xml:space="preserve">COMPLIANCE AND </w:t>
      </w:r>
      <w:r w:rsidR="00634D8A" w:rsidRPr="009D3B75">
        <w:rPr>
          <w:rFonts w:ascii="Arial" w:hAnsi="Arial" w:cs="Arial"/>
          <w:color w:val="auto"/>
          <w:sz w:val="22"/>
          <w:szCs w:val="22"/>
        </w:rPr>
        <w:t>QUALITY</w:t>
      </w:r>
      <w:bookmarkEnd w:id="6"/>
      <w:bookmarkEnd w:id="7"/>
    </w:p>
    <w:p w14:paraId="0855A863" w14:textId="77777777" w:rsidR="00E341A3" w:rsidRPr="009D3B75" w:rsidRDefault="00E341A3" w:rsidP="009D3B75">
      <w:pPr>
        <w:spacing w:after="0"/>
        <w:jc w:val="both"/>
        <w:rPr>
          <w:rFonts w:ascii="Arial" w:hAnsi="Arial" w:cs="Arial"/>
          <w:bCs/>
        </w:rPr>
      </w:pPr>
      <w:bookmarkStart w:id="8" w:name="_Toc395007640"/>
      <w:bookmarkStart w:id="9" w:name="_Toc401138933"/>
    </w:p>
    <w:p w14:paraId="0855A864" w14:textId="375E1E6E" w:rsidR="003449C1" w:rsidRPr="009D3B75" w:rsidRDefault="00A05B1C" w:rsidP="009D3B75">
      <w:pPr>
        <w:spacing w:after="0"/>
        <w:jc w:val="both"/>
        <w:rPr>
          <w:rFonts w:ascii="Arial" w:hAnsi="Arial" w:cs="Arial"/>
          <w:bCs/>
        </w:rPr>
      </w:pPr>
      <w:r w:rsidRPr="009D3B75">
        <w:rPr>
          <w:rFonts w:ascii="Arial" w:hAnsi="Arial" w:cs="Arial"/>
          <w:bCs/>
        </w:rPr>
        <w:t xml:space="preserve">In relation to compliance, </w:t>
      </w:r>
      <w:r w:rsidR="004A3716" w:rsidRPr="009D3B75">
        <w:rPr>
          <w:rFonts w:ascii="Arial" w:hAnsi="Arial" w:cs="Arial"/>
          <w:bCs/>
        </w:rPr>
        <w:t xml:space="preserve">identified </w:t>
      </w:r>
      <w:r w:rsidR="00D477A0" w:rsidRPr="009D3B75">
        <w:rPr>
          <w:rFonts w:ascii="Arial" w:hAnsi="Arial" w:cs="Arial"/>
          <w:bCs/>
        </w:rPr>
        <w:t xml:space="preserve">stakeholders, that is </w:t>
      </w:r>
      <w:r w:rsidR="00E341A3" w:rsidRPr="009D3B75">
        <w:rPr>
          <w:rFonts w:ascii="Arial" w:hAnsi="Arial" w:cs="Arial"/>
          <w:bCs/>
        </w:rPr>
        <w:t>G</w:t>
      </w:r>
      <w:r w:rsidR="00061365" w:rsidRPr="009D3B75">
        <w:rPr>
          <w:rFonts w:ascii="Arial" w:hAnsi="Arial" w:cs="Arial"/>
          <w:bCs/>
        </w:rPr>
        <w:t>PT</w:t>
      </w:r>
      <w:r w:rsidR="00D477A0" w:rsidRPr="009D3B75">
        <w:rPr>
          <w:rFonts w:ascii="Arial" w:hAnsi="Arial" w:cs="Arial"/>
          <w:bCs/>
        </w:rPr>
        <w:t xml:space="preserve">, PSC and affected GPG departments </w:t>
      </w:r>
      <w:r w:rsidR="00E341A3" w:rsidRPr="009D3B75">
        <w:rPr>
          <w:rFonts w:ascii="Arial" w:hAnsi="Arial" w:cs="Arial"/>
          <w:bCs/>
        </w:rPr>
        <w:t xml:space="preserve">prepared </w:t>
      </w:r>
      <w:r w:rsidRPr="009D3B75">
        <w:rPr>
          <w:rFonts w:ascii="Arial" w:hAnsi="Arial" w:cs="Arial"/>
          <w:bCs/>
        </w:rPr>
        <w:t>a</w:t>
      </w:r>
      <w:r w:rsidR="007B0A0A" w:rsidRPr="009D3B75">
        <w:rPr>
          <w:rFonts w:ascii="Arial" w:hAnsi="Arial" w:cs="Arial"/>
          <w:bCs/>
        </w:rPr>
        <w:t xml:space="preserve">nd </w:t>
      </w:r>
      <w:r w:rsidR="00D477A0" w:rsidRPr="009D3B75">
        <w:rPr>
          <w:rFonts w:ascii="Arial" w:hAnsi="Arial" w:cs="Arial"/>
          <w:bCs/>
        </w:rPr>
        <w:t>made</w:t>
      </w:r>
      <w:r w:rsidR="007B0A0A" w:rsidRPr="009D3B75">
        <w:rPr>
          <w:rFonts w:ascii="Arial" w:hAnsi="Arial" w:cs="Arial"/>
          <w:bCs/>
        </w:rPr>
        <w:t xml:space="preserve"> a</w:t>
      </w:r>
      <w:r w:rsidRPr="009D3B75">
        <w:rPr>
          <w:rFonts w:ascii="Arial" w:hAnsi="Arial" w:cs="Arial"/>
          <w:bCs/>
        </w:rPr>
        <w:t xml:space="preserve"> </w:t>
      </w:r>
      <w:r w:rsidR="00D477A0" w:rsidRPr="009D3B75">
        <w:rPr>
          <w:rFonts w:ascii="Arial" w:hAnsi="Arial" w:cs="Arial"/>
          <w:bCs/>
        </w:rPr>
        <w:t>presentation</w:t>
      </w:r>
      <w:r w:rsidRPr="009D3B75">
        <w:rPr>
          <w:rFonts w:ascii="Arial" w:hAnsi="Arial" w:cs="Arial"/>
          <w:bCs/>
        </w:rPr>
        <w:t xml:space="preserve"> </w:t>
      </w:r>
      <w:r w:rsidR="007B0A0A" w:rsidRPr="009D3B75">
        <w:rPr>
          <w:rFonts w:ascii="Arial" w:hAnsi="Arial" w:cs="Arial"/>
          <w:bCs/>
        </w:rPr>
        <w:t>to</w:t>
      </w:r>
      <w:r w:rsidRPr="009D3B75">
        <w:rPr>
          <w:rFonts w:ascii="Arial" w:hAnsi="Arial" w:cs="Arial"/>
          <w:bCs/>
        </w:rPr>
        <w:t xml:space="preserve"> </w:t>
      </w:r>
      <w:r w:rsidR="00E341A3" w:rsidRPr="009D3B75">
        <w:rPr>
          <w:rFonts w:ascii="Arial" w:hAnsi="Arial" w:cs="Arial"/>
          <w:bCs/>
        </w:rPr>
        <w:t xml:space="preserve">the Portfolio </w:t>
      </w:r>
      <w:r w:rsidRPr="009D3B75">
        <w:rPr>
          <w:rFonts w:ascii="Arial" w:hAnsi="Arial" w:cs="Arial"/>
          <w:bCs/>
        </w:rPr>
        <w:t xml:space="preserve">Committee. </w:t>
      </w:r>
      <w:r w:rsidR="003449C1" w:rsidRPr="009D3B75">
        <w:rPr>
          <w:rFonts w:ascii="Arial" w:hAnsi="Arial" w:cs="Arial"/>
          <w:bCs/>
        </w:rPr>
        <w:t>In addition</w:t>
      </w:r>
      <w:r w:rsidR="009A0673" w:rsidRPr="009D3B75">
        <w:rPr>
          <w:rFonts w:ascii="Arial" w:hAnsi="Arial" w:cs="Arial"/>
          <w:bCs/>
        </w:rPr>
        <w:t>,</w:t>
      </w:r>
      <w:r w:rsidR="003449C1" w:rsidRPr="009D3B75">
        <w:rPr>
          <w:rFonts w:ascii="Arial" w:hAnsi="Arial" w:cs="Arial"/>
          <w:bCs/>
        </w:rPr>
        <w:t xml:space="preserve"> the </w:t>
      </w:r>
      <w:r w:rsidR="00061365" w:rsidRPr="009D3B75">
        <w:rPr>
          <w:rFonts w:ascii="Arial" w:hAnsi="Arial" w:cs="Arial"/>
          <w:bCs/>
        </w:rPr>
        <w:t xml:space="preserve">Portfolio </w:t>
      </w:r>
      <w:r w:rsidR="003449C1" w:rsidRPr="009D3B75">
        <w:rPr>
          <w:rFonts w:ascii="Arial" w:hAnsi="Arial" w:cs="Arial"/>
          <w:bCs/>
        </w:rPr>
        <w:t xml:space="preserve">Committee embarked on the FIS process in accordance with the SOM and the Standing Rules of the Gauteng Provincial Legislature.  </w:t>
      </w:r>
    </w:p>
    <w:p w14:paraId="0855A865" w14:textId="77777777" w:rsidR="00065A57" w:rsidRPr="009D3B75" w:rsidRDefault="00065A57" w:rsidP="009D3B75">
      <w:pPr>
        <w:spacing w:after="0"/>
        <w:jc w:val="both"/>
        <w:rPr>
          <w:rFonts w:ascii="Arial" w:hAnsi="Arial" w:cs="Arial"/>
          <w:bCs/>
        </w:rPr>
      </w:pPr>
    </w:p>
    <w:p w14:paraId="0855A866" w14:textId="77777777" w:rsidR="00141070" w:rsidRPr="009D3B75" w:rsidRDefault="00634D8A"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OVERSIGHT ON STRATEGIC PRIORITIES</w:t>
      </w:r>
      <w:bookmarkStart w:id="10" w:name="_Toc395007649"/>
      <w:bookmarkStart w:id="11" w:name="_Toc401138935"/>
      <w:bookmarkEnd w:id="8"/>
      <w:bookmarkEnd w:id="9"/>
    </w:p>
    <w:p w14:paraId="0855A867" w14:textId="77777777" w:rsidR="007942B9" w:rsidRPr="009D3B75" w:rsidRDefault="007942B9" w:rsidP="009D3B75">
      <w:pPr>
        <w:spacing w:after="0"/>
        <w:jc w:val="both"/>
        <w:rPr>
          <w:rFonts w:ascii="Arial" w:hAnsi="Arial" w:cs="Arial"/>
          <w:bCs/>
        </w:rPr>
      </w:pPr>
    </w:p>
    <w:p w14:paraId="5DEECDAB" w14:textId="622F4AF4" w:rsidR="007223C7" w:rsidRPr="009D3B75" w:rsidRDefault="0068227C" w:rsidP="009D3B75">
      <w:pPr>
        <w:autoSpaceDE w:val="0"/>
        <w:autoSpaceDN w:val="0"/>
        <w:adjustRightInd w:val="0"/>
        <w:spacing w:after="0"/>
        <w:jc w:val="both"/>
        <w:rPr>
          <w:rFonts w:ascii="Arial" w:hAnsi="Arial" w:cs="Arial"/>
        </w:rPr>
      </w:pPr>
      <w:r w:rsidRPr="009D3B75">
        <w:rPr>
          <w:rFonts w:ascii="Arial" w:hAnsi="Arial" w:cs="Arial"/>
        </w:rPr>
        <w:t xml:space="preserve">This section provides an overview on how GPT’s activities support the </w:t>
      </w:r>
      <w:r w:rsidR="004E6F1E" w:rsidRPr="009D3B75">
        <w:rPr>
          <w:rFonts w:ascii="Arial" w:hAnsi="Arial" w:cs="Arial"/>
        </w:rPr>
        <w:t xml:space="preserve">national and </w:t>
      </w:r>
      <w:r w:rsidRPr="009D3B75">
        <w:rPr>
          <w:rFonts w:ascii="Arial" w:hAnsi="Arial" w:cs="Arial"/>
        </w:rPr>
        <w:t>provincial outcomes</w:t>
      </w:r>
      <w:r w:rsidRPr="009D3B75">
        <w:rPr>
          <w:rFonts w:ascii="Arial" w:hAnsi="Arial" w:cs="Arial"/>
          <w:lang w:val="en-US"/>
        </w:rPr>
        <w:t>.</w:t>
      </w:r>
      <w:bookmarkEnd w:id="10"/>
      <w:bookmarkEnd w:id="11"/>
      <w:r w:rsidR="007223C7" w:rsidRPr="009D3B75">
        <w:rPr>
          <w:rFonts w:ascii="Arial" w:hAnsi="Arial" w:cs="Arial"/>
        </w:rPr>
        <w:t xml:space="preserve"> In response to the global and domestic challenges that confront the province, the government has committed to a plan of Growing Gauteng Together 2030, henceforth referred to as GGT 2030. The plan reflects a collective vision for the Gauteng City Region (GCR) in a decade’s time, and beyond, it also highlights priority actions and measures of success. Therefore the 2021 Medium Term Expenditure Framework (MTEF) budget outlines the extent to which the GGT 2030 has been resourced, with a view to grow the ideals and the vision contained in the GGT 2030.</w:t>
      </w:r>
    </w:p>
    <w:p w14:paraId="35FAB666" w14:textId="77777777" w:rsidR="007223C7" w:rsidRPr="009D3B75" w:rsidRDefault="007223C7" w:rsidP="009D3B75">
      <w:pPr>
        <w:autoSpaceDE w:val="0"/>
        <w:autoSpaceDN w:val="0"/>
        <w:adjustRightInd w:val="0"/>
        <w:spacing w:after="0"/>
        <w:jc w:val="both"/>
        <w:rPr>
          <w:rFonts w:ascii="Arial" w:hAnsi="Arial" w:cs="Arial"/>
        </w:rPr>
      </w:pPr>
    </w:p>
    <w:p w14:paraId="2D550E63" w14:textId="30C22D0A" w:rsidR="007223C7" w:rsidRPr="009D3B75" w:rsidRDefault="007223C7" w:rsidP="009D3B75">
      <w:pPr>
        <w:autoSpaceDE w:val="0"/>
        <w:autoSpaceDN w:val="0"/>
        <w:adjustRightInd w:val="0"/>
        <w:spacing w:after="0"/>
        <w:jc w:val="both"/>
        <w:rPr>
          <w:rFonts w:ascii="Arial" w:hAnsi="Arial" w:cs="Arial"/>
        </w:rPr>
      </w:pPr>
      <w:r w:rsidRPr="009D3B75">
        <w:rPr>
          <w:rFonts w:ascii="Arial" w:hAnsi="Arial" w:cs="Arial"/>
        </w:rPr>
        <w:t xml:space="preserve">The GGT 2030 does not constitute a departure from the foregoing policy priorities, its plan of action, sets out the vision for the Gauteng of 2030, guided by the principles and priorities contained in the Freedom Charter, the National Development Plan, the Manifesto, and work carried out to date as part of Gauteng’s Transformation, Modernization and Reindustrialization (TMR) programme. It is also guided by the following overarching policy, strategies, commitments and policy directives. The Sustainable Development Goals, the New Urban Agenda (NUA), the Paris climate agreement (COP 21), and the African Union’s Agenda 2063 at international level. At a provincial level, the strategy is undergirded by Gauteng Spatial Development Framework (GSDF) 2030 and Gauteng City Region Integrated Infrastructure </w:t>
      </w:r>
      <w:r w:rsidRPr="009D3B75">
        <w:rPr>
          <w:rFonts w:ascii="Arial" w:hAnsi="Arial" w:cs="Arial"/>
        </w:rPr>
        <w:lastRenderedPageBreak/>
        <w:t>Master Plan (GIIMP). The Medium-Term Strategic Framework (MTSF), the Integrated Urban Development Framework (IUDF) and the National Spatial Development Framework (NSDF) at a national level. While at a local level the strategy is supported by Municipal Growth and Development Strategies, Integrated Development Plans (IDPs), and Spatial Development Frameworks (SDFs).</w:t>
      </w:r>
    </w:p>
    <w:p w14:paraId="2446B2A0" w14:textId="77777777" w:rsidR="00D477A0" w:rsidRPr="009D3B75" w:rsidRDefault="00D477A0" w:rsidP="009D3B75">
      <w:pPr>
        <w:autoSpaceDE w:val="0"/>
        <w:autoSpaceDN w:val="0"/>
        <w:adjustRightInd w:val="0"/>
        <w:spacing w:after="0"/>
        <w:jc w:val="both"/>
        <w:rPr>
          <w:rFonts w:ascii="Arial" w:hAnsi="Arial" w:cs="Arial"/>
        </w:rPr>
      </w:pPr>
    </w:p>
    <w:p w14:paraId="611C5201" w14:textId="77777777" w:rsidR="007223C7" w:rsidRPr="009D3B75" w:rsidRDefault="007223C7" w:rsidP="009D3B75">
      <w:pPr>
        <w:autoSpaceDE w:val="0"/>
        <w:autoSpaceDN w:val="0"/>
        <w:adjustRightInd w:val="0"/>
        <w:jc w:val="both"/>
        <w:rPr>
          <w:rFonts w:ascii="Arial" w:hAnsi="Arial" w:cs="Arial"/>
        </w:rPr>
      </w:pPr>
      <w:r w:rsidRPr="009D3B75">
        <w:rPr>
          <w:rFonts w:ascii="Arial" w:hAnsi="Arial" w:cs="Arial"/>
        </w:rPr>
        <w:t>The GGT 2030 reflects how the GCR intends to address the fundamental challenges facing the residents of Gauteng. That is, unemployment, poverty and hunger, crime and substance abuse, climate change, unsustainable growth and economic crises, migration, flight and displacement, health, inequality, social exclusion, lack of decent work and social protection, political instability, insecurity and violent conflicts. In an endeavour to solve these social maladies, GGT 2030 is predicated on the following priorities. That is, Economy, Jobs and Infrastructure; Education, Skills and Healthcare; Sustainable Human Settlements, New Cities and the Land Release; Safety, Social Cohesion and Food Security; Sustainable Future for All, Building a Capable, Ethical and Developmental State; Building a Better Africa and Better World; and Sustainable Development for Future Generations. Each of these priorities have its key projects and programmes to create a seamlessly integrated, socially cohesive, sustainable and economically inclusive Gauteng City Region (GCR).</w:t>
      </w:r>
    </w:p>
    <w:p w14:paraId="34238C96" w14:textId="3E78289E" w:rsidR="007223C7" w:rsidRPr="009D3B75" w:rsidRDefault="007223C7" w:rsidP="009D3B75">
      <w:pPr>
        <w:tabs>
          <w:tab w:val="num" w:pos="720"/>
        </w:tabs>
        <w:jc w:val="both"/>
        <w:rPr>
          <w:rFonts w:ascii="Arial" w:hAnsi="Arial" w:cs="Arial"/>
        </w:rPr>
      </w:pPr>
      <w:r w:rsidRPr="009D3B75">
        <w:rPr>
          <w:rFonts w:ascii="Arial" w:hAnsi="Arial" w:cs="Arial"/>
        </w:rPr>
        <w:t xml:space="preserve">GPG contributes to all the priorities contained in the Medium-Term Strategic Framework 2019-2024. That is, economic transformation and job creation; education, skills and health; consolidating the social wage through reliable and quality basic services; spatial integration, human settlements and local government; social cohesion and safe communities; a capable, ethical and developmental state; and a better Africa and world. Over and above policy priorities, GPG also intends responding to the COVID-19 Pandemic. </w:t>
      </w:r>
    </w:p>
    <w:p w14:paraId="0855A876" w14:textId="18C45A4C" w:rsidR="004E6F1E" w:rsidRPr="009D3B75" w:rsidRDefault="004E6F1E" w:rsidP="009D3B75">
      <w:pPr>
        <w:autoSpaceDE w:val="0"/>
        <w:autoSpaceDN w:val="0"/>
        <w:adjustRightInd w:val="0"/>
        <w:spacing w:after="0"/>
        <w:jc w:val="both"/>
        <w:rPr>
          <w:rFonts w:ascii="Arial" w:hAnsi="Arial" w:cs="Arial"/>
        </w:rPr>
      </w:pPr>
      <w:r w:rsidRPr="009D3B75">
        <w:rPr>
          <w:rFonts w:ascii="Arial" w:hAnsi="Arial" w:cs="Arial"/>
        </w:rPr>
        <w:t xml:space="preserve">The Portfolio Committee notes that GPT’s role emanates from the need to support provincial departments and municipalities to perform at their best level. </w:t>
      </w:r>
      <w:r w:rsidR="000A7254" w:rsidRPr="009D3B75">
        <w:rPr>
          <w:rFonts w:ascii="Arial" w:hAnsi="Arial" w:cs="Arial"/>
        </w:rPr>
        <w:t>Therefore,</w:t>
      </w:r>
      <w:r w:rsidRPr="009D3B75">
        <w:rPr>
          <w:rFonts w:ascii="Arial" w:hAnsi="Arial" w:cs="Arial"/>
        </w:rPr>
        <w:t xml:space="preserve"> GPT serves as a strategic partner of departments and municipalities in service delivery in the province. GPT mainly provides financial and non-financial management support, through monitoring and evaluation, to enable the Gauteng Provincial Government departments, their entities, and municipalities to discharge their mandates.</w:t>
      </w:r>
      <w:r w:rsidR="000358C4">
        <w:rPr>
          <w:rFonts w:ascii="Arial" w:hAnsi="Arial" w:cs="Arial"/>
        </w:rPr>
        <w:t xml:space="preserve"> The Portfolio Committee is of a view that non-compliance with government’s 30-day payment to service providers is detrimental to the survival of small and medium enterprises and inimical to development.</w:t>
      </w:r>
    </w:p>
    <w:p w14:paraId="0855A877" w14:textId="77777777" w:rsidR="00B96193" w:rsidRPr="009D3B75" w:rsidRDefault="00B96193" w:rsidP="009D3B75">
      <w:pPr>
        <w:spacing w:after="0"/>
        <w:jc w:val="both"/>
        <w:rPr>
          <w:rFonts w:ascii="Arial" w:hAnsi="Arial" w:cs="Arial"/>
        </w:rPr>
      </w:pPr>
    </w:p>
    <w:p w14:paraId="0855A878" w14:textId="77777777" w:rsidR="006018E8" w:rsidRPr="009D3B75" w:rsidRDefault="006018E8"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OVERSIGHT ON PUBLIC INVOLVEMENT</w:t>
      </w:r>
    </w:p>
    <w:p w14:paraId="0855A879" w14:textId="77777777" w:rsidR="007942B9" w:rsidRPr="009D3B75" w:rsidRDefault="007942B9" w:rsidP="009D3B75">
      <w:pPr>
        <w:spacing w:after="0"/>
        <w:jc w:val="both"/>
        <w:rPr>
          <w:rFonts w:ascii="Arial" w:hAnsi="Arial" w:cs="Arial"/>
          <w:bCs/>
        </w:rPr>
      </w:pPr>
    </w:p>
    <w:p w14:paraId="0855A87A" w14:textId="50781B82" w:rsidR="006018E8" w:rsidRDefault="006018E8" w:rsidP="009D3B75">
      <w:pPr>
        <w:spacing w:after="0"/>
        <w:jc w:val="both"/>
        <w:rPr>
          <w:rFonts w:ascii="Arial" w:hAnsi="Arial" w:cs="Arial"/>
          <w:bCs/>
        </w:rPr>
      </w:pPr>
      <w:bookmarkStart w:id="12" w:name="_Toc395007652"/>
      <w:bookmarkStart w:id="13" w:name="_Toc403997242"/>
      <w:r w:rsidRPr="009D3B75">
        <w:rPr>
          <w:rFonts w:ascii="Arial" w:hAnsi="Arial" w:cs="Arial"/>
          <w:bCs/>
        </w:rPr>
        <w:t>As required by the Standing Rules of the Gauteng Provincial Legislature</w:t>
      </w:r>
      <w:r w:rsidRPr="009D3B75">
        <w:rPr>
          <w:rFonts w:ascii="Arial" w:hAnsi="Arial" w:cs="Arial"/>
          <w:bCs/>
          <w:i/>
        </w:rPr>
        <w:t xml:space="preserve">, </w:t>
      </w:r>
      <w:r w:rsidRPr="009D3B75">
        <w:rPr>
          <w:rFonts w:ascii="Arial" w:hAnsi="Arial" w:cs="Arial"/>
          <w:bCs/>
        </w:rPr>
        <w:t xml:space="preserve">the Portfolio Committee </w:t>
      </w:r>
      <w:r w:rsidR="007223C7" w:rsidRPr="009D3B75">
        <w:rPr>
          <w:rFonts w:ascii="Arial" w:hAnsi="Arial" w:cs="Arial"/>
          <w:bCs/>
        </w:rPr>
        <w:t>invit</w:t>
      </w:r>
      <w:r w:rsidR="00E14DBF" w:rsidRPr="009D3B75">
        <w:rPr>
          <w:rFonts w:ascii="Arial" w:hAnsi="Arial" w:cs="Arial"/>
          <w:bCs/>
        </w:rPr>
        <w:t xml:space="preserve">ed </w:t>
      </w:r>
      <w:r w:rsidR="009D3B75" w:rsidRPr="009D3B75">
        <w:rPr>
          <w:rFonts w:ascii="Arial" w:hAnsi="Arial" w:cs="Arial"/>
          <w:bCs/>
        </w:rPr>
        <w:t xml:space="preserve">the Public Service Commission, identified GPG Departments and service providers </w:t>
      </w:r>
      <w:r w:rsidR="00E14DBF" w:rsidRPr="009D3B75">
        <w:rPr>
          <w:rFonts w:ascii="Arial" w:hAnsi="Arial" w:cs="Arial"/>
          <w:bCs/>
        </w:rPr>
        <w:t xml:space="preserve">to receive presentations on </w:t>
      </w:r>
      <w:r w:rsidR="009D3B75" w:rsidRPr="009D3B75">
        <w:rPr>
          <w:rFonts w:ascii="Arial" w:hAnsi="Arial" w:cs="Arial"/>
        </w:rPr>
        <w:t xml:space="preserve">non-compliance to </w:t>
      </w:r>
      <w:r w:rsidR="009D3B75" w:rsidRPr="009D3B75">
        <w:rPr>
          <w:rFonts w:ascii="Arial" w:hAnsi="Arial" w:cs="Arial"/>
          <w:lang w:val="en-US"/>
        </w:rPr>
        <w:t>government’s 30-day payment to service providers</w:t>
      </w:r>
      <w:r w:rsidR="00E14DBF" w:rsidRPr="009D3B75">
        <w:rPr>
          <w:rFonts w:ascii="Arial" w:hAnsi="Arial" w:cs="Arial"/>
        </w:rPr>
        <w:t>. Presentat</w:t>
      </w:r>
      <w:r w:rsidR="004910F4" w:rsidRPr="009D3B75">
        <w:rPr>
          <w:rFonts w:ascii="Arial" w:hAnsi="Arial" w:cs="Arial"/>
          <w:bCs/>
        </w:rPr>
        <w:t xml:space="preserve">ions </w:t>
      </w:r>
      <w:r w:rsidR="00E14DBF" w:rsidRPr="009D3B75">
        <w:rPr>
          <w:rFonts w:ascii="Arial" w:hAnsi="Arial" w:cs="Arial"/>
          <w:bCs/>
        </w:rPr>
        <w:t xml:space="preserve">were received from </w:t>
      </w:r>
      <w:r w:rsidR="009D3B75" w:rsidRPr="009D3B75">
        <w:rPr>
          <w:rFonts w:ascii="Arial" w:hAnsi="Arial" w:cs="Arial"/>
          <w:bCs/>
        </w:rPr>
        <w:t>Public Service Commission and identified GPG Departments apart from service providers</w:t>
      </w:r>
      <w:r w:rsidR="004910F4" w:rsidRPr="009D3B75">
        <w:rPr>
          <w:rFonts w:ascii="Arial" w:hAnsi="Arial" w:cs="Arial"/>
          <w:bCs/>
        </w:rPr>
        <w:t>.</w:t>
      </w:r>
      <w:r w:rsidRPr="009D3B75">
        <w:rPr>
          <w:rFonts w:ascii="Arial" w:hAnsi="Arial" w:cs="Arial"/>
          <w:bCs/>
        </w:rPr>
        <w:t xml:space="preserve"> </w:t>
      </w:r>
    </w:p>
    <w:p w14:paraId="2AC42EEF" w14:textId="77777777" w:rsidR="00E9433D" w:rsidRPr="009D3B75" w:rsidRDefault="00E9433D" w:rsidP="009D3B75">
      <w:pPr>
        <w:spacing w:after="0"/>
        <w:jc w:val="both"/>
        <w:rPr>
          <w:rFonts w:ascii="Arial" w:hAnsi="Arial" w:cs="Arial"/>
          <w:bCs/>
        </w:rPr>
      </w:pPr>
    </w:p>
    <w:p w14:paraId="0855A87C" w14:textId="77777777" w:rsidR="00750B75" w:rsidRPr="009D3B75" w:rsidRDefault="00750B75"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OVERSIGHT ON ANY OTHER COMMITTEE FOCUS AREA</w:t>
      </w:r>
      <w:bookmarkEnd w:id="12"/>
      <w:bookmarkEnd w:id="13"/>
    </w:p>
    <w:p w14:paraId="0855A87D" w14:textId="77777777" w:rsidR="00664411" w:rsidRPr="009D3B75" w:rsidRDefault="00664411" w:rsidP="009D3B75">
      <w:pPr>
        <w:pStyle w:val="NoSpacing"/>
        <w:spacing w:line="276" w:lineRule="auto"/>
        <w:jc w:val="both"/>
        <w:rPr>
          <w:rFonts w:ascii="Arial" w:hAnsi="Arial" w:cs="Arial"/>
        </w:rPr>
      </w:pPr>
    </w:p>
    <w:p w14:paraId="0855A87E" w14:textId="3D0FF950" w:rsidR="00A24F39" w:rsidRPr="009D3B75" w:rsidRDefault="00D94100" w:rsidP="009D3B75">
      <w:pPr>
        <w:spacing w:after="0"/>
        <w:jc w:val="both"/>
        <w:rPr>
          <w:rFonts w:ascii="Arial" w:hAnsi="Arial" w:cs="Arial"/>
          <w:b/>
          <w:u w:val="single"/>
        </w:rPr>
      </w:pPr>
      <w:bookmarkStart w:id="14" w:name="_Toc395007653"/>
      <w:bookmarkStart w:id="15" w:name="_Toc401138938"/>
      <w:r w:rsidRPr="009D3B75">
        <w:rPr>
          <w:rFonts w:ascii="Arial" w:hAnsi="Arial" w:cs="Arial"/>
          <w:b/>
          <w:u w:val="single"/>
        </w:rPr>
        <w:t xml:space="preserve">GPT </w:t>
      </w:r>
      <w:r w:rsidR="004C1480">
        <w:rPr>
          <w:rFonts w:ascii="Arial" w:hAnsi="Arial" w:cs="Arial"/>
          <w:b/>
          <w:u w:val="single"/>
        </w:rPr>
        <w:t xml:space="preserve">AND PSC’s </w:t>
      </w:r>
      <w:r w:rsidRPr="009D3B75">
        <w:rPr>
          <w:rFonts w:ascii="Arial" w:hAnsi="Arial" w:cs="Arial"/>
          <w:b/>
          <w:u w:val="single"/>
        </w:rPr>
        <w:t>PRESENTATION</w:t>
      </w:r>
      <w:r w:rsidR="004C1480">
        <w:rPr>
          <w:rFonts w:ascii="Arial" w:hAnsi="Arial" w:cs="Arial"/>
          <w:b/>
          <w:u w:val="single"/>
        </w:rPr>
        <w:t>S</w:t>
      </w:r>
      <w:r w:rsidRPr="009D3B75">
        <w:rPr>
          <w:rFonts w:ascii="Arial" w:hAnsi="Arial" w:cs="Arial"/>
          <w:b/>
          <w:u w:val="single"/>
        </w:rPr>
        <w:t xml:space="preserve"> ON </w:t>
      </w:r>
      <w:r w:rsidR="005C49C8" w:rsidRPr="009D3B75">
        <w:rPr>
          <w:rFonts w:ascii="Arial" w:hAnsi="Arial" w:cs="Arial"/>
          <w:b/>
          <w:bCs/>
          <w:u w:val="single"/>
          <w:lang w:val="en-US"/>
        </w:rPr>
        <w:t>GPG’s COMPLIANCE TO 30 DAY PAYMENTS</w:t>
      </w:r>
      <w:r w:rsidR="004C1480">
        <w:rPr>
          <w:rFonts w:ascii="Arial" w:hAnsi="Arial" w:cs="Arial"/>
          <w:b/>
          <w:bCs/>
          <w:u w:val="single"/>
          <w:lang w:val="en-US"/>
        </w:rPr>
        <w:t xml:space="preserve"> TO SERVICE PROVIDERS</w:t>
      </w:r>
    </w:p>
    <w:p w14:paraId="0855A87F" w14:textId="77777777" w:rsidR="00A24F39" w:rsidRPr="009D3B75" w:rsidRDefault="00A24F39" w:rsidP="009D3B75">
      <w:pPr>
        <w:spacing w:after="0"/>
        <w:jc w:val="both"/>
        <w:rPr>
          <w:rFonts w:ascii="Arial" w:hAnsi="Arial" w:cs="Arial"/>
          <w:b/>
          <w:u w:val="single"/>
        </w:rPr>
      </w:pPr>
    </w:p>
    <w:p w14:paraId="6EC63D8C" w14:textId="38A138CF" w:rsidR="005C49C8" w:rsidRPr="009D3B75" w:rsidRDefault="005C49C8" w:rsidP="009D3B75">
      <w:pPr>
        <w:spacing w:after="0"/>
        <w:jc w:val="both"/>
        <w:rPr>
          <w:rFonts w:ascii="Arial" w:hAnsi="Arial" w:cs="Arial"/>
          <w:lang w:val="en-US"/>
        </w:rPr>
      </w:pPr>
      <w:r w:rsidRPr="009D3B75">
        <w:rPr>
          <w:rFonts w:ascii="Arial" w:hAnsi="Arial" w:cs="Arial"/>
          <w:lang w:val="en-US"/>
        </w:rPr>
        <w:lastRenderedPageBreak/>
        <w:t>According to PFMA Section 40, Accounting Officers are required to keep full and proper records of the financial affairs of the departments.</w:t>
      </w:r>
      <w:r w:rsidRPr="009D3B75">
        <w:rPr>
          <w:rFonts w:ascii="Arial" w:hAnsi="Arial" w:cs="Arial"/>
        </w:rPr>
        <w:t xml:space="preserve"> </w:t>
      </w:r>
      <w:r w:rsidR="00436C48" w:rsidRPr="009D3B75">
        <w:rPr>
          <w:rFonts w:ascii="Arial" w:hAnsi="Arial" w:cs="Arial"/>
        </w:rPr>
        <w:t xml:space="preserve">Furthermore, </w:t>
      </w:r>
      <w:r w:rsidRPr="009D3B75">
        <w:rPr>
          <w:rFonts w:ascii="Arial" w:hAnsi="Arial" w:cs="Arial"/>
          <w:lang w:val="en-US"/>
        </w:rPr>
        <w:t xml:space="preserve">Treasury Regulations Section 8.2.3, </w:t>
      </w:r>
      <w:r w:rsidR="00436C48" w:rsidRPr="009D3B75">
        <w:rPr>
          <w:rFonts w:ascii="Arial" w:hAnsi="Arial" w:cs="Arial"/>
          <w:lang w:val="en-US"/>
        </w:rPr>
        <w:t xml:space="preserve">enjoins accounting officers to ensure that </w:t>
      </w:r>
      <w:r w:rsidRPr="009D3B75">
        <w:rPr>
          <w:rFonts w:ascii="Arial" w:hAnsi="Arial" w:cs="Arial"/>
          <w:lang w:val="en-US"/>
        </w:rPr>
        <w:t>all payments due to creditors must be settled within 30 days from receipt of an invoice or, in the case of civil claims, from the date of settlement or court judgement.</w:t>
      </w:r>
      <w:r w:rsidRPr="009D3B75">
        <w:rPr>
          <w:rFonts w:ascii="Arial" w:hAnsi="Arial" w:cs="Arial"/>
        </w:rPr>
        <w:t xml:space="preserve"> </w:t>
      </w:r>
      <w:r w:rsidRPr="009D3B75">
        <w:rPr>
          <w:rFonts w:ascii="Arial" w:hAnsi="Arial" w:cs="Arial"/>
          <w:lang w:val="en-US"/>
        </w:rPr>
        <w:t>The Provincial Treasury is mandated in terms of Section 18 of the PFMA to promote and enforce effective financial management. This is done through:</w:t>
      </w:r>
    </w:p>
    <w:p w14:paraId="0B41E787" w14:textId="77777777" w:rsidR="005C49C8" w:rsidRPr="009D3B75" w:rsidRDefault="005C49C8" w:rsidP="009D3B75">
      <w:pPr>
        <w:spacing w:after="0"/>
        <w:jc w:val="both"/>
        <w:rPr>
          <w:rFonts w:ascii="Arial" w:hAnsi="Arial" w:cs="Arial"/>
        </w:rPr>
      </w:pPr>
    </w:p>
    <w:p w14:paraId="46340411" w14:textId="0620FB2B" w:rsidR="005C49C8" w:rsidRPr="009D3B75" w:rsidRDefault="005C49C8" w:rsidP="009D3B75">
      <w:pPr>
        <w:numPr>
          <w:ilvl w:val="1"/>
          <w:numId w:val="7"/>
        </w:numPr>
        <w:spacing w:after="0"/>
        <w:jc w:val="both"/>
        <w:rPr>
          <w:rFonts w:ascii="Arial" w:hAnsi="Arial" w:cs="Arial"/>
        </w:rPr>
      </w:pPr>
      <w:r w:rsidRPr="009D3B75">
        <w:rPr>
          <w:rFonts w:ascii="Arial" w:hAnsi="Arial" w:cs="Arial"/>
          <w:lang w:val="en-US"/>
        </w:rPr>
        <w:t>Providing training and support in accounting and financial system matters</w:t>
      </w:r>
      <w:r w:rsidR="00164350">
        <w:rPr>
          <w:rFonts w:ascii="Arial" w:hAnsi="Arial" w:cs="Arial"/>
          <w:lang w:val="en-US"/>
        </w:rPr>
        <w:t>;</w:t>
      </w:r>
    </w:p>
    <w:p w14:paraId="548CE2B5" w14:textId="3106986E" w:rsidR="005C49C8" w:rsidRPr="009D3B75" w:rsidRDefault="005C49C8" w:rsidP="009D3B75">
      <w:pPr>
        <w:numPr>
          <w:ilvl w:val="1"/>
          <w:numId w:val="7"/>
        </w:numPr>
        <w:spacing w:after="0"/>
        <w:jc w:val="both"/>
        <w:rPr>
          <w:rFonts w:ascii="Arial" w:hAnsi="Arial" w:cs="Arial"/>
        </w:rPr>
      </w:pPr>
      <w:r w:rsidRPr="009D3B75">
        <w:rPr>
          <w:rFonts w:ascii="Arial" w:hAnsi="Arial" w:cs="Arial"/>
          <w:lang w:val="en-US"/>
        </w:rPr>
        <w:t>Conducting monthly analysis of departmental invoices and expenditure information and providing a report to CFOs on a monthly basis</w:t>
      </w:r>
      <w:r w:rsidR="00164350">
        <w:rPr>
          <w:rFonts w:ascii="Arial" w:hAnsi="Arial" w:cs="Arial"/>
          <w:lang w:val="en-US"/>
        </w:rPr>
        <w:t>; and</w:t>
      </w:r>
    </w:p>
    <w:p w14:paraId="3BE20E20" w14:textId="6512864E" w:rsidR="005C49C8" w:rsidRPr="009D3B75" w:rsidRDefault="005C49C8" w:rsidP="009D3B75">
      <w:pPr>
        <w:numPr>
          <w:ilvl w:val="1"/>
          <w:numId w:val="7"/>
        </w:numPr>
        <w:spacing w:after="0"/>
        <w:jc w:val="both"/>
        <w:rPr>
          <w:rFonts w:ascii="Arial" w:hAnsi="Arial" w:cs="Arial"/>
        </w:rPr>
      </w:pPr>
      <w:r w:rsidRPr="009D3B75">
        <w:rPr>
          <w:rFonts w:ascii="Arial" w:hAnsi="Arial" w:cs="Arial"/>
          <w:lang w:val="en-US"/>
        </w:rPr>
        <w:t>Conducting reviews of the departments’ financial statements on a monthly, quarterly and annual basis to ensure that invoice accrual information is accurate and valid, among others</w:t>
      </w:r>
      <w:r w:rsidR="00164350">
        <w:rPr>
          <w:rFonts w:ascii="Arial" w:hAnsi="Arial" w:cs="Arial"/>
          <w:lang w:val="en-US"/>
        </w:rPr>
        <w:t>.</w:t>
      </w:r>
    </w:p>
    <w:p w14:paraId="0855A881" w14:textId="77777777" w:rsidR="00847128" w:rsidRPr="009D3B75" w:rsidRDefault="00847128" w:rsidP="009D3B75">
      <w:pPr>
        <w:spacing w:after="0"/>
        <w:jc w:val="both"/>
        <w:rPr>
          <w:rFonts w:ascii="Arial" w:hAnsi="Arial" w:cs="Arial"/>
          <w:lang w:val="en-US"/>
        </w:rPr>
      </w:pPr>
    </w:p>
    <w:p w14:paraId="4A68BD3C" w14:textId="551CAAFB" w:rsidR="00E37A12" w:rsidRPr="009D3B75" w:rsidRDefault="00A24F39" w:rsidP="009D3B75">
      <w:pPr>
        <w:spacing w:after="0"/>
        <w:jc w:val="both"/>
        <w:rPr>
          <w:rFonts w:ascii="Arial" w:hAnsi="Arial" w:cs="Arial"/>
          <w:lang w:val="en-US"/>
        </w:rPr>
      </w:pPr>
      <w:r w:rsidRPr="009D3B75">
        <w:rPr>
          <w:rFonts w:ascii="Arial" w:hAnsi="Arial" w:cs="Arial"/>
          <w:lang w:val="en-US"/>
        </w:rPr>
        <w:t xml:space="preserve">The Portfolio Committee noted that </w:t>
      </w:r>
      <w:r w:rsidR="00087DC3" w:rsidRPr="009D3B75">
        <w:rPr>
          <w:rFonts w:ascii="Arial" w:hAnsi="Arial" w:cs="Arial"/>
          <w:lang w:val="en-US"/>
        </w:rPr>
        <w:t>for</w:t>
      </w:r>
      <w:r w:rsidR="00A67BB8" w:rsidRPr="009D3B75">
        <w:rPr>
          <w:rFonts w:ascii="Arial" w:hAnsi="Arial" w:cs="Arial"/>
          <w:lang w:val="en-US"/>
        </w:rPr>
        <w:t xml:space="preserve"> </w:t>
      </w:r>
      <w:r w:rsidRPr="009D3B75">
        <w:rPr>
          <w:rFonts w:ascii="Arial" w:hAnsi="Arial" w:cs="Arial"/>
          <w:lang w:val="en-US"/>
        </w:rPr>
        <w:t>GPT</w:t>
      </w:r>
      <w:r w:rsidR="00A67BB8" w:rsidRPr="009D3B75">
        <w:rPr>
          <w:rFonts w:ascii="Arial" w:hAnsi="Arial" w:cs="Arial"/>
          <w:lang w:val="en-US"/>
        </w:rPr>
        <w:t xml:space="preserve"> </w:t>
      </w:r>
      <w:r w:rsidR="00087DC3" w:rsidRPr="009D3B75">
        <w:rPr>
          <w:rFonts w:ascii="Arial" w:hAnsi="Arial" w:cs="Arial"/>
          <w:lang w:val="en-US"/>
        </w:rPr>
        <w:t>to realize and fulfil its mandate, one of its five strategic outcomes is</w:t>
      </w:r>
      <w:r w:rsidR="00E300E5" w:rsidRPr="009D3B75">
        <w:rPr>
          <w:rFonts w:ascii="Arial" w:hAnsi="Arial" w:cs="Arial"/>
          <w:lang w:val="en-US"/>
        </w:rPr>
        <w:t xml:space="preserve"> to</w:t>
      </w:r>
      <w:r w:rsidR="00087DC3" w:rsidRPr="009D3B75">
        <w:rPr>
          <w:rFonts w:ascii="Arial" w:hAnsi="Arial" w:cs="Arial"/>
          <w:lang w:val="en-US"/>
        </w:rPr>
        <w:t xml:space="preserve"> increase compliance with legislative presc</w:t>
      </w:r>
      <w:r w:rsidR="00E300E5" w:rsidRPr="009D3B75">
        <w:rPr>
          <w:rFonts w:ascii="Arial" w:hAnsi="Arial" w:cs="Arial"/>
          <w:lang w:val="en-US"/>
        </w:rPr>
        <w:t>ripts</w:t>
      </w:r>
      <w:r w:rsidR="007D65AF" w:rsidRPr="009D3B75">
        <w:rPr>
          <w:rFonts w:ascii="Arial" w:hAnsi="Arial" w:cs="Arial"/>
          <w:lang w:val="en-US"/>
        </w:rPr>
        <w:t xml:space="preserve">. To this effect, GPT </w:t>
      </w:r>
      <w:r w:rsidR="00A67BB8" w:rsidRPr="009D3B75">
        <w:rPr>
          <w:rFonts w:ascii="Arial" w:hAnsi="Arial" w:cs="Arial"/>
          <w:lang w:val="en-US"/>
        </w:rPr>
        <w:t xml:space="preserve">collate information from GPG departments on </w:t>
      </w:r>
      <w:r w:rsidR="007D65AF" w:rsidRPr="009D3B75">
        <w:rPr>
          <w:rFonts w:ascii="Arial" w:hAnsi="Arial" w:cs="Arial"/>
          <w:lang w:val="en-US"/>
        </w:rPr>
        <w:t xml:space="preserve">compliance with government’s 30-day payment period to service providers and report to the Portfolio Committee. Over the years, it was evident that Departments of Health, Infrastructure Development and </w:t>
      </w:r>
      <w:r w:rsidR="00C27EBB" w:rsidRPr="009D3B75">
        <w:rPr>
          <w:rFonts w:ascii="Arial" w:hAnsi="Arial" w:cs="Arial"/>
          <w:lang w:val="en-US"/>
        </w:rPr>
        <w:t xml:space="preserve">Education were battling to comply with government’s 30-day payment period to service providers. </w:t>
      </w:r>
    </w:p>
    <w:p w14:paraId="721FE641" w14:textId="77777777" w:rsidR="00E37A12" w:rsidRPr="009D3B75" w:rsidRDefault="00E37A12" w:rsidP="009D3B75">
      <w:pPr>
        <w:spacing w:after="0"/>
        <w:jc w:val="both"/>
        <w:rPr>
          <w:rFonts w:ascii="Arial" w:hAnsi="Arial" w:cs="Arial"/>
          <w:lang w:val="en-US"/>
        </w:rPr>
      </w:pPr>
    </w:p>
    <w:p w14:paraId="0855A882" w14:textId="2F307C5E" w:rsidR="00A24F39" w:rsidRPr="009D3B75" w:rsidRDefault="00C27EBB" w:rsidP="009D3B75">
      <w:pPr>
        <w:spacing w:after="0"/>
        <w:jc w:val="both"/>
        <w:rPr>
          <w:rFonts w:ascii="Arial" w:hAnsi="Arial" w:cs="Arial"/>
          <w:lang w:val="en-US"/>
        </w:rPr>
      </w:pPr>
      <w:r w:rsidRPr="009D3B75">
        <w:rPr>
          <w:rFonts w:ascii="Arial" w:hAnsi="Arial" w:cs="Arial"/>
          <w:lang w:val="en-US"/>
        </w:rPr>
        <w:t>However, it recently came to light that the Department of Education has made palpable progress towards complying with government’s 30-day payment period to service providers. Despite this commendable progress by the Department of Education, Departments of Health and Infrastructure Development</w:t>
      </w:r>
      <w:r w:rsidR="0018459A" w:rsidRPr="009D3B75">
        <w:rPr>
          <w:rFonts w:ascii="Arial" w:hAnsi="Arial" w:cs="Arial"/>
          <w:lang w:val="en-US"/>
        </w:rPr>
        <w:t xml:space="preserve"> are still failing to reach the requisite performance levels, in as far as this performance target is concerned. Furthermore, the Department of Social Development has also shown the tendency to regress on compliance to government’s 30-day payment period to service providers. </w:t>
      </w:r>
      <w:r w:rsidR="006C3F23" w:rsidRPr="009D3B75">
        <w:rPr>
          <w:rFonts w:ascii="Arial" w:hAnsi="Arial" w:cs="Arial"/>
          <w:lang w:val="en-US"/>
        </w:rPr>
        <w:t>It is against this backdrop that the Portfolio Committee requested GPT to make a presentation on GPG department’s compliance with government’s 30-day payment period to service providers, with particular focus on the aberrant departments.</w:t>
      </w:r>
    </w:p>
    <w:p w14:paraId="0855A883" w14:textId="77777777" w:rsidR="00847128" w:rsidRPr="009D3B75" w:rsidRDefault="00847128" w:rsidP="009D3B75">
      <w:pPr>
        <w:spacing w:after="0"/>
        <w:jc w:val="both"/>
        <w:rPr>
          <w:rFonts w:ascii="Arial" w:hAnsi="Arial" w:cs="Arial"/>
          <w:lang w:val="en-US"/>
        </w:rPr>
      </w:pPr>
    </w:p>
    <w:p w14:paraId="2B251E20" w14:textId="6E8E4ACE" w:rsidR="00FD1D2E" w:rsidRPr="009D3B75" w:rsidRDefault="00AB4845" w:rsidP="009D3B75">
      <w:pPr>
        <w:spacing w:after="0"/>
        <w:jc w:val="both"/>
        <w:rPr>
          <w:rFonts w:ascii="Arial" w:hAnsi="Arial" w:cs="Arial"/>
          <w:lang w:val="en-GB"/>
        </w:rPr>
      </w:pPr>
      <w:r w:rsidRPr="009D3B75">
        <w:rPr>
          <w:rFonts w:ascii="Arial" w:hAnsi="Arial" w:cs="Arial"/>
          <w:lang w:val="en-GB"/>
        </w:rPr>
        <w:t>During the 3</w:t>
      </w:r>
      <w:r w:rsidRPr="009D3B75">
        <w:rPr>
          <w:rFonts w:ascii="Arial" w:hAnsi="Arial" w:cs="Arial"/>
          <w:vertAlign w:val="superscript"/>
          <w:lang w:val="en-GB"/>
        </w:rPr>
        <w:t>rd</w:t>
      </w:r>
      <w:r w:rsidRPr="009D3B75">
        <w:rPr>
          <w:rFonts w:ascii="Arial" w:hAnsi="Arial" w:cs="Arial"/>
          <w:lang w:val="en-GB"/>
        </w:rPr>
        <w:t xml:space="preserve"> quarter of 2021/22 financial year, the </w:t>
      </w:r>
      <w:r w:rsidR="00E37A12" w:rsidRPr="009D3B75">
        <w:rPr>
          <w:rFonts w:ascii="Arial" w:hAnsi="Arial" w:cs="Arial"/>
          <w:lang w:val="en-GB"/>
        </w:rPr>
        <w:t>Portfolio Committee noted with appreciation that eight departments achieved the re</w:t>
      </w:r>
      <w:r w:rsidR="00847DDA" w:rsidRPr="009D3B75">
        <w:rPr>
          <w:rFonts w:ascii="Arial" w:hAnsi="Arial" w:cs="Arial"/>
          <w:lang w:val="en-GB"/>
        </w:rPr>
        <w:t>corded 100</w:t>
      </w:r>
      <w:r w:rsidR="00E37A12" w:rsidRPr="009D3B75">
        <w:rPr>
          <w:rFonts w:ascii="Arial" w:hAnsi="Arial" w:cs="Arial"/>
          <w:lang w:val="en-GB"/>
        </w:rPr>
        <w:t xml:space="preserve">% </w:t>
      </w:r>
      <w:r w:rsidR="00847DDA" w:rsidRPr="009D3B75">
        <w:rPr>
          <w:rFonts w:ascii="Arial" w:hAnsi="Arial" w:cs="Arial"/>
          <w:lang w:val="en-GB"/>
        </w:rPr>
        <w:t xml:space="preserve">compliance with government’s </w:t>
      </w:r>
      <w:r w:rsidR="00E37A12" w:rsidRPr="009D3B75">
        <w:rPr>
          <w:rFonts w:ascii="Arial" w:hAnsi="Arial" w:cs="Arial"/>
          <w:lang w:val="en-GB"/>
        </w:rPr>
        <w:t xml:space="preserve">30-day payment </w:t>
      </w:r>
      <w:r w:rsidR="00847DDA" w:rsidRPr="009D3B75">
        <w:rPr>
          <w:rFonts w:ascii="Arial" w:hAnsi="Arial" w:cs="Arial"/>
          <w:lang w:val="en-GB"/>
        </w:rPr>
        <w:t xml:space="preserve">to service providers, </w:t>
      </w:r>
      <w:r w:rsidR="00E37A12" w:rsidRPr="009D3B75">
        <w:rPr>
          <w:rFonts w:ascii="Arial" w:hAnsi="Arial" w:cs="Arial"/>
          <w:lang w:val="en-GB"/>
        </w:rPr>
        <w:t>with three departments reflecting above 95% compliance</w:t>
      </w:r>
      <w:r w:rsidR="00847DDA" w:rsidRPr="009D3B75">
        <w:rPr>
          <w:rFonts w:ascii="Arial" w:hAnsi="Arial" w:cs="Arial"/>
          <w:lang w:val="en-GB"/>
        </w:rPr>
        <w:t xml:space="preserve">. </w:t>
      </w:r>
      <w:r w:rsidRPr="009D3B75">
        <w:rPr>
          <w:rFonts w:ascii="Arial" w:hAnsi="Arial" w:cs="Arial"/>
          <w:lang w:val="en-GB"/>
        </w:rPr>
        <w:t>However, as a</w:t>
      </w:r>
      <w:r w:rsidR="00E37A12" w:rsidRPr="009D3B75">
        <w:rPr>
          <w:rFonts w:ascii="Arial" w:hAnsi="Arial" w:cs="Arial"/>
          <w:lang w:val="en-GB"/>
        </w:rPr>
        <w:t xml:space="preserve">t the end of </w:t>
      </w:r>
      <w:r w:rsidRPr="009D3B75">
        <w:rPr>
          <w:rFonts w:ascii="Arial" w:hAnsi="Arial" w:cs="Arial"/>
          <w:lang w:val="en-GB"/>
        </w:rPr>
        <w:t>the 3</w:t>
      </w:r>
      <w:r w:rsidRPr="009D3B75">
        <w:rPr>
          <w:rFonts w:ascii="Arial" w:hAnsi="Arial" w:cs="Arial"/>
          <w:vertAlign w:val="superscript"/>
          <w:lang w:val="en-GB"/>
        </w:rPr>
        <w:t>rd</w:t>
      </w:r>
      <w:r w:rsidRPr="009D3B75">
        <w:rPr>
          <w:rFonts w:ascii="Arial" w:hAnsi="Arial" w:cs="Arial"/>
          <w:lang w:val="en-GB"/>
        </w:rPr>
        <w:t xml:space="preserve"> quarter of 2020/21 financial year</w:t>
      </w:r>
      <w:r w:rsidR="00E37A12" w:rsidRPr="009D3B75">
        <w:rPr>
          <w:rFonts w:ascii="Arial" w:hAnsi="Arial" w:cs="Arial"/>
          <w:lang w:val="en-GB"/>
        </w:rPr>
        <w:t>,</w:t>
      </w:r>
      <w:r w:rsidRPr="009D3B75">
        <w:rPr>
          <w:rFonts w:ascii="Arial" w:hAnsi="Arial" w:cs="Arial"/>
          <w:lang w:val="en-GB"/>
        </w:rPr>
        <w:t xml:space="preserve"> the total average performance for all GPG departments equalled to 62%, relative to the appalling 45% registered in the 3</w:t>
      </w:r>
      <w:r w:rsidRPr="009D3B75">
        <w:rPr>
          <w:rFonts w:ascii="Arial" w:hAnsi="Arial" w:cs="Arial"/>
          <w:vertAlign w:val="superscript"/>
          <w:lang w:val="en-GB"/>
        </w:rPr>
        <w:t>rd</w:t>
      </w:r>
      <w:r w:rsidRPr="009D3B75">
        <w:rPr>
          <w:rFonts w:ascii="Arial" w:hAnsi="Arial" w:cs="Arial"/>
          <w:lang w:val="en-GB"/>
        </w:rPr>
        <w:t xml:space="preserve"> quarter of 2021/22 financial year. </w:t>
      </w:r>
      <w:r w:rsidR="00FD1D2E" w:rsidRPr="009D3B75">
        <w:rPr>
          <w:rFonts w:ascii="Arial" w:hAnsi="Arial" w:cs="Arial"/>
          <w:lang w:val="en-GB"/>
        </w:rPr>
        <w:t>The compliance regression of the Departments of Health, Infrastructure Development and Social Development in comparison to 3</w:t>
      </w:r>
      <w:r w:rsidR="00FD1D2E" w:rsidRPr="009D3B75">
        <w:rPr>
          <w:rFonts w:ascii="Arial" w:hAnsi="Arial" w:cs="Arial"/>
          <w:vertAlign w:val="superscript"/>
          <w:lang w:val="en-GB"/>
        </w:rPr>
        <w:t>rd</w:t>
      </w:r>
      <w:r w:rsidR="00FD1D2E" w:rsidRPr="009D3B75">
        <w:rPr>
          <w:rFonts w:ascii="Arial" w:hAnsi="Arial" w:cs="Arial"/>
          <w:lang w:val="en-GB"/>
        </w:rPr>
        <w:t xml:space="preserve"> quarter of 2020/21 financial year contributed to the substantial provincial decline of 17% in performance year on year.</w:t>
      </w:r>
    </w:p>
    <w:p w14:paraId="0B956FAD" w14:textId="77777777" w:rsidR="00AB4845" w:rsidRPr="009D3B75" w:rsidRDefault="00AB4845" w:rsidP="009D3B75">
      <w:pPr>
        <w:spacing w:after="0"/>
        <w:jc w:val="both"/>
        <w:rPr>
          <w:rFonts w:ascii="Arial" w:hAnsi="Arial" w:cs="Arial"/>
          <w:lang w:val="en-GB"/>
        </w:rPr>
      </w:pPr>
    </w:p>
    <w:p w14:paraId="7D26F6A5" w14:textId="41475D82" w:rsidR="006667F5" w:rsidRPr="009D3B75" w:rsidRDefault="009275D3" w:rsidP="009D3B75">
      <w:pPr>
        <w:spacing w:after="0"/>
        <w:jc w:val="both"/>
        <w:rPr>
          <w:rFonts w:ascii="Arial" w:hAnsi="Arial" w:cs="Arial"/>
          <w:lang w:val="en-GB"/>
        </w:rPr>
      </w:pPr>
      <w:r w:rsidRPr="009D3B75">
        <w:rPr>
          <w:rFonts w:ascii="Arial" w:hAnsi="Arial" w:cs="Arial"/>
          <w:lang w:val="en-GB"/>
        </w:rPr>
        <w:t xml:space="preserve">The main contributing departments to provincial non-compliance </w:t>
      </w:r>
      <w:r w:rsidR="00C2656C" w:rsidRPr="009D3B75">
        <w:rPr>
          <w:rFonts w:ascii="Arial" w:hAnsi="Arial" w:cs="Arial"/>
          <w:lang w:val="en-GB"/>
        </w:rPr>
        <w:t>in the 3</w:t>
      </w:r>
      <w:r w:rsidR="00C2656C" w:rsidRPr="009D3B75">
        <w:rPr>
          <w:rFonts w:ascii="Arial" w:hAnsi="Arial" w:cs="Arial"/>
          <w:vertAlign w:val="superscript"/>
          <w:lang w:val="en-GB"/>
        </w:rPr>
        <w:t>rd</w:t>
      </w:r>
      <w:r w:rsidR="00C2656C" w:rsidRPr="009D3B75">
        <w:rPr>
          <w:rFonts w:ascii="Arial" w:hAnsi="Arial" w:cs="Arial"/>
          <w:lang w:val="en-GB"/>
        </w:rPr>
        <w:t xml:space="preserve"> quarter of 2021/22 financial year </w:t>
      </w:r>
      <w:r w:rsidRPr="009D3B75">
        <w:rPr>
          <w:rFonts w:ascii="Arial" w:hAnsi="Arial" w:cs="Arial"/>
          <w:lang w:val="en-GB"/>
        </w:rPr>
        <w:t>are, Department of Health with 78% of the number of invoices and 61% of the value of invoices</w:t>
      </w:r>
      <w:r w:rsidR="00C2656C" w:rsidRPr="009D3B75">
        <w:rPr>
          <w:rFonts w:ascii="Arial" w:hAnsi="Arial" w:cs="Arial"/>
          <w:lang w:val="en-GB"/>
        </w:rPr>
        <w:t xml:space="preserve"> paid of the 30 days compliance</w:t>
      </w:r>
      <w:r w:rsidRPr="009D3B75">
        <w:rPr>
          <w:rFonts w:ascii="Arial" w:hAnsi="Arial" w:cs="Arial"/>
          <w:lang w:val="en-GB"/>
        </w:rPr>
        <w:t xml:space="preserve">; </w:t>
      </w:r>
      <w:r w:rsidR="00C2656C" w:rsidRPr="009D3B75">
        <w:rPr>
          <w:rFonts w:ascii="Arial" w:hAnsi="Arial" w:cs="Arial"/>
          <w:lang w:val="en-GB"/>
        </w:rPr>
        <w:t>Department of Infrastructure Development with 14% of the number of invoices and 13% of the value of invoices</w:t>
      </w:r>
      <w:r w:rsidR="00C70855" w:rsidRPr="009D3B75">
        <w:rPr>
          <w:rFonts w:ascii="Arial" w:hAnsi="Arial" w:cs="Arial"/>
          <w:lang w:val="en-GB"/>
        </w:rPr>
        <w:t xml:space="preserve"> paid of the 30 days compliance</w:t>
      </w:r>
      <w:r w:rsidR="00C2656C" w:rsidRPr="009D3B75">
        <w:rPr>
          <w:rFonts w:ascii="Arial" w:hAnsi="Arial" w:cs="Arial"/>
          <w:lang w:val="en-GB"/>
        </w:rPr>
        <w:t>; Department of Social Development with 13% of the number of invoices and 4% of the value of invoices</w:t>
      </w:r>
      <w:r w:rsidR="00C70855" w:rsidRPr="009D3B75">
        <w:rPr>
          <w:rFonts w:ascii="Arial" w:hAnsi="Arial" w:cs="Arial"/>
          <w:lang w:val="en-GB"/>
        </w:rPr>
        <w:t xml:space="preserve"> paid of the 30 days compliance</w:t>
      </w:r>
      <w:r w:rsidR="00C2656C" w:rsidRPr="009D3B75">
        <w:rPr>
          <w:rFonts w:ascii="Arial" w:hAnsi="Arial" w:cs="Arial"/>
          <w:lang w:val="en-GB"/>
        </w:rPr>
        <w:t>; and Department of Community Safety with 7% of the number of invoices and 15% of the value of invoices</w:t>
      </w:r>
      <w:r w:rsidR="00C70855" w:rsidRPr="009D3B75">
        <w:rPr>
          <w:rFonts w:ascii="Arial" w:hAnsi="Arial" w:cs="Arial"/>
          <w:lang w:val="en-GB"/>
        </w:rPr>
        <w:t xml:space="preserve"> paid of the 30 days </w:t>
      </w:r>
      <w:r w:rsidR="00C70855" w:rsidRPr="009D3B75">
        <w:rPr>
          <w:rFonts w:ascii="Arial" w:hAnsi="Arial" w:cs="Arial"/>
          <w:lang w:val="en-GB"/>
        </w:rPr>
        <w:lastRenderedPageBreak/>
        <w:t>compliance</w:t>
      </w:r>
      <w:r w:rsidR="00C2656C" w:rsidRPr="009D3B75">
        <w:rPr>
          <w:rFonts w:ascii="Arial" w:hAnsi="Arial" w:cs="Arial"/>
          <w:lang w:val="en-GB"/>
        </w:rPr>
        <w:t>.</w:t>
      </w:r>
      <w:r w:rsidR="006667F5" w:rsidRPr="009D3B75">
        <w:rPr>
          <w:rFonts w:ascii="Arial" w:hAnsi="Arial" w:cs="Arial"/>
          <w:lang w:val="en-GB"/>
        </w:rPr>
        <w:t xml:space="preserve"> </w:t>
      </w:r>
      <w:r w:rsidR="00011A21" w:rsidRPr="009D3B75">
        <w:rPr>
          <w:rFonts w:ascii="Arial" w:hAnsi="Arial" w:cs="Arial"/>
          <w:b/>
          <w:bCs/>
          <w:lang w:val="en-GB"/>
        </w:rPr>
        <w:t>Notwithstanding compliance regression, t</w:t>
      </w:r>
      <w:r w:rsidR="006667F5" w:rsidRPr="009D3B75">
        <w:rPr>
          <w:rFonts w:ascii="Arial" w:hAnsi="Arial" w:cs="Arial"/>
          <w:b/>
          <w:bCs/>
          <w:lang w:val="en-GB"/>
        </w:rPr>
        <w:t>he Portfolio Committee noted with appreciation that the Department of Education recorded 1% of the number of invoices and 1% of the value of invoices paid outside of the 30 days compliance</w:t>
      </w:r>
      <w:r w:rsidR="006667F5" w:rsidRPr="009D3B75">
        <w:rPr>
          <w:rFonts w:ascii="Arial" w:hAnsi="Arial" w:cs="Arial"/>
          <w:lang w:val="en-GB"/>
        </w:rPr>
        <w:t>.</w:t>
      </w:r>
      <w:r w:rsidR="00011A21" w:rsidRPr="009D3B75">
        <w:rPr>
          <w:rFonts w:ascii="Arial" w:hAnsi="Arial" w:cs="Arial"/>
          <w:lang w:val="en-GB"/>
        </w:rPr>
        <w:t xml:space="preserve"> </w:t>
      </w:r>
      <w:r w:rsidR="00E70D63" w:rsidRPr="009D3B75">
        <w:rPr>
          <w:rFonts w:ascii="Arial" w:hAnsi="Arial" w:cs="Arial"/>
          <w:lang w:val="en-GB"/>
        </w:rPr>
        <w:t>At the end of the 3</w:t>
      </w:r>
      <w:r w:rsidR="00E70D63" w:rsidRPr="009D3B75">
        <w:rPr>
          <w:rFonts w:ascii="Arial" w:hAnsi="Arial" w:cs="Arial"/>
          <w:vertAlign w:val="superscript"/>
          <w:lang w:val="en-GB"/>
        </w:rPr>
        <w:t>rd</w:t>
      </w:r>
      <w:r w:rsidR="00E70D63" w:rsidRPr="009D3B75">
        <w:rPr>
          <w:rFonts w:ascii="Arial" w:hAnsi="Arial" w:cs="Arial"/>
          <w:lang w:val="en-GB"/>
        </w:rPr>
        <w:t xml:space="preserve"> quarter of 2021 financial year, the total number of invoices not paid </w:t>
      </w:r>
      <w:r w:rsidR="00475AE4" w:rsidRPr="009D3B75">
        <w:rPr>
          <w:rFonts w:ascii="Arial" w:hAnsi="Arial" w:cs="Arial"/>
          <w:lang w:val="en-GB"/>
        </w:rPr>
        <w:t>equalled to</w:t>
      </w:r>
      <w:r w:rsidR="00E70D63" w:rsidRPr="009D3B75">
        <w:rPr>
          <w:rFonts w:ascii="Arial" w:hAnsi="Arial" w:cs="Arial"/>
          <w:lang w:val="en-GB"/>
        </w:rPr>
        <w:t xml:space="preserve"> 23 558 with the total rand value of </w:t>
      </w:r>
      <w:r w:rsidR="00A37FED" w:rsidRPr="009D3B75">
        <w:rPr>
          <w:rFonts w:ascii="Arial" w:hAnsi="Arial" w:cs="Arial"/>
          <w:lang w:val="en-GB"/>
        </w:rPr>
        <w:t>R2.5 billion.</w:t>
      </w:r>
    </w:p>
    <w:p w14:paraId="69DB088F" w14:textId="12E448F8" w:rsidR="006667F5" w:rsidRPr="009D3B75" w:rsidRDefault="006667F5" w:rsidP="009D3B75">
      <w:pPr>
        <w:spacing w:after="0"/>
        <w:jc w:val="both"/>
        <w:rPr>
          <w:rFonts w:ascii="Arial" w:hAnsi="Arial" w:cs="Arial"/>
          <w:lang w:val="en-GB"/>
        </w:rPr>
      </w:pPr>
    </w:p>
    <w:p w14:paraId="2F271A8E" w14:textId="04DAE9B4" w:rsidR="006243B4" w:rsidRPr="009D3B75" w:rsidRDefault="00475AE4" w:rsidP="009D3B75">
      <w:pPr>
        <w:spacing w:after="0"/>
        <w:jc w:val="both"/>
        <w:rPr>
          <w:rFonts w:ascii="Arial" w:hAnsi="Arial" w:cs="Arial"/>
          <w:shd w:val="clear" w:color="auto" w:fill="FFFFFF"/>
          <w:lang w:val="en-US"/>
        </w:rPr>
      </w:pPr>
      <w:r w:rsidRPr="009D3B75">
        <w:rPr>
          <w:rFonts w:ascii="Arial" w:hAnsi="Arial" w:cs="Arial"/>
          <w:lang w:val="en-GB"/>
        </w:rPr>
        <w:t xml:space="preserve">The presentations of both GPT and PSC revealed that there </w:t>
      </w:r>
      <w:r w:rsidR="002C2127">
        <w:rPr>
          <w:rFonts w:ascii="Arial" w:hAnsi="Arial" w:cs="Arial"/>
          <w:lang w:val="en-GB"/>
        </w:rPr>
        <w:t xml:space="preserve">is </w:t>
      </w:r>
      <w:r w:rsidRPr="009D3B75">
        <w:rPr>
          <w:rFonts w:ascii="Arial" w:hAnsi="Arial" w:cs="Arial"/>
          <w:lang w:val="en-GB"/>
        </w:rPr>
        <w:t xml:space="preserve"> a plethora of reasons advanced for the non-compliance to the 30-day payment of suppliers. The Department</w:t>
      </w:r>
      <w:r w:rsidR="00EC7075" w:rsidRPr="009D3B75">
        <w:rPr>
          <w:rFonts w:ascii="Arial" w:hAnsi="Arial" w:cs="Arial"/>
          <w:lang w:val="en-GB"/>
        </w:rPr>
        <w:t xml:space="preserve">s which recorded </w:t>
      </w:r>
      <w:r w:rsidR="00EC7075" w:rsidRPr="009D3B75">
        <w:rPr>
          <w:rFonts w:ascii="Arial" w:hAnsi="Arial" w:cs="Arial"/>
          <w:lang w:val="en-US"/>
        </w:rPr>
        <w:t xml:space="preserve">high number of invoices paid after 30 days and older than 30 days but not paid, provided reasons for non-compliance and corrective measures, apart from the Department of Health which did not cooperate with the PSC. </w:t>
      </w:r>
      <w:r w:rsidR="00EC7075" w:rsidRPr="009D3B75">
        <w:rPr>
          <w:rFonts w:ascii="Arial" w:hAnsi="Arial" w:cs="Arial"/>
          <w:b/>
          <w:bCs/>
          <w:lang w:val="en-GB"/>
        </w:rPr>
        <w:t xml:space="preserve">The Portfolio Committee is concerned that the Department </w:t>
      </w:r>
      <w:r w:rsidR="00630DAA" w:rsidRPr="009D3B75">
        <w:rPr>
          <w:rFonts w:ascii="Arial" w:hAnsi="Arial" w:cs="Arial"/>
          <w:b/>
          <w:bCs/>
          <w:lang w:val="en-GB"/>
        </w:rPr>
        <w:t xml:space="preserve">of Health did not collaborate with the PSC in its obligation </w:t>
      </w:r>
      <w:r w:rsidR="00630DAA" w:rsidRPr="009D3B75">
        <w:rPr>
          <w:rFonts w:ascii="Arial" w:hAnsi="Arial" w:cs="Arial"/>
          <w:b/>
          <w:bCs/>
          <w:shd w:val="clear" w:color="auto" w:fill="FFFFFF"/>
        </w:rPr>
        <w:t>to promote measures that would ensure effective and efficient performance within the department and to promote values and principles of public administration as set out in the Constitution.</w:t>
      </w:r>
      <w:r w:rsidR="006243B4" w:rsidRPr="009D3B75">
        <w:rPr>
          <w:rFonts w:ascii="Arial" w:hAnsi="Arial" w:cs="Arial"/>
          <w:b/>
          <w:bCs/>
          <w:shd w:val="clear" w:color="auto" w:fill="FFFFFF"/>
        </w:rPr>
        <w:t xml:space="preserve"> </w:t>
      </w:r>
      <w:r w:rsidR="006243B4" w:rsidRPr="009D3B75">
        <w:rPr>
          <w:rFonts w:ascii="Arial" w:hAnsi="Arial" w:cs="Arial"/>
          <w:shd w:val="clear" w:color="auto" w:fill="FFFFFF"/>
        </w:rPr>
        <w:t xml:space="preserve">This was despite numerous attempts </w:t>
      </w:r>
      <w:r w:rsidR="006243B4" w:rsidRPr="009D3B75">
        <w:rPr>
          <w:rFonts w:ascii="Arial" w:hAnsi="Arial" w:cs="Arial"/>
          <w:shd w:val="clear" w:color="auto" w:fill="FFFFFF"/>
          <w:lang w:val="en-US"/>
        </w:rPr>
        <w:t xml:space="preserve">to find out the reasons for non-compliance and corrective measures to be taken to improve compliance. </w:t>
      </w:r>
    </w:p>
    <w:p w14:paraId="07C66347" w14:textId="60DB45E0" w:rsidR="006243B4" w:rsidRPr="009D3B75" w:rsidRDefault="006243B4" w:rsidP="009D3B75">
      <w:pPr>
        <w:spacing w:after="0"/>
        <w:jc w:val="both"/>
        <w:rPr>
          <w:rFonts w:ascii="Arial" w:hAnsi="Arial" w:cs="Arial"/>
          <w:shd w:val="clear" w:color="auto" w:fill="FFFFFF"/>
          <w:lang w:val="en-US"/>
        </w:rPr>
      </w:pPr>
    </w:p>
    <w:p w14:paraId="209DF9EC" w14:textId="5EC35514" w:rsidR="006243B4" w:rsidRPr="009D3B75" w:rsidRDefault="006243B4" w:rsidP="009D3B75">
      <w:pPr>
        <w:tabs>
          <w:tab w:val="num" w:pos="720"/>
        </w:tabs>
        <w:spacing w:after="0"/>
        <w:jc w:val="both"/>
        <w:rPr>
          <w:rFonts w:ascii="Arial" w:hAnsi="Arial" w:cs="Arial"/>
          <w:b/>
          <w:bCs/>
          <w:lang w:val="en-US"/>
        </w:rPr>
      </w:pPr>
      <w:r w:rsidRPr="009D3B75">
        <w:rPr>
          <w:rFonts w:ascii="Arial" w:hAnsi="Arial" w:cs="Arial"/>
          <w:shd w:val="clear" w:color="auto" w:fill="FFFFFF"/>
          <w:lang w:val="en-US"/>
        </w:rPr>
        <w:t xml:space="preserve">Through its monitoring, the PSC reported that it observed that Department of Health is experiencing serious financial management challenges. </w:t>
      </w:r>
      <w:r w:rsidRPr="009D3B75">
        <w:rPr>
          <w:rFonts w:ascii="Arial" w:hAnsi="Arial" w:cs="Arial"/>
          <w:b/>
          <w:bCs/>
          <w:shd w:val="clear" w:color="auto" w:fill="FFFFFF"/>
          <w:lang w:val="en-US"/>
        </w:rPr>
        <w:t xml:space="preserve">The Portfolio Committee noted that the </w:t>
      </w:r>
      <w:r w:rsidR="00E83923" w:rsidRPr="009D3B75">
        <w:rPr>
          <w:rFonts w:ascii="Arial" w:hAnsi="Arial" w:cs="Arial"/>
          <w:b/>
          <w:bCs/>
          <w:shd w:val="clear" w:color="auto" w:fill="FFFFFF"/>
          <w:lang w:val="en-US"/>
        </w:rPr>
        <w:t>PSC consequently</w:t>
      </w:r>
      <w:r w:rsidRPr="009D3B75">
        <w:rPr>
          <w:rFonts w:ascii="Arial" w:hAnsi="Arial" w:cs="Arial"/>
          <w:b/>
          <w:bCs/>
          <w:shd w:val="clear" w:color="auto" w:fill="FFFFFF"/>
          <w:lang w:val="en-US"/>
        </w:rPr>
        <w:t xml:space="preserve"> recommended to the Premier to consider appointing an administrator.</w:t>
      </w:r>
      <w:r w:rsidRPr="009D3B75">
        <w:rPr>
          <w:rFonts w:ascii="Arial" w:hAnsi="Arial" w:cs="Arial"/>
          <w:shd w:val="clear" w:color="auto" w:fill="FFFFFF"/>
          <w:lang w:val="en-US"/>
        </w:rPr>
        <w:t xml:space="preserve">  </w:t>
      </w:r>
      <w:r w:rsidR="00E83923" w:rsidRPr="009D3B75">
        <w:rPr>
          <w:rFonts w:ascii="Arial" w:hAnsi="Arial" w:cs="Arial"/>
          <w:shd w:val="clear" w:color="auto" w:fill="FFFFFF"/>
          <w:lang w:val="en-US"/>
        </w:rPr>
        <w:t>On the contrary t</w:t>
      </w:r>
      <w:r w:rsidRPr="009D3B75">
        <w:rPr>
          <w:rFonts w:ascii="Arial" w:hAnsi="Arial" w:cs="Arial"/>
          <w:shd w:val="clear" w:color="auto" w:fill="FFFFFF"/>
          <w:lang w:val="en-US"/>
        </w:rPr>
        <w:t>he Provincial Strategic Support Team was appointed to assist in the management and leadership of the department.</w:t>
      </w:r>
      <w:r w:rsidR="00E83923" w:rsidRPr="009D3B75">
        <w:rPr>
          <w:rFonts w:ascii="Arial" w:hAnsi="Arial" w:cs="Arial"/>
          <w:shd w:val="clear" w:color="auto" w:fill="FFFFFF"/>
          <w:lang w:val="en-US"/>
        </w:rPr>
        <w:t xml:space="preserve"> </w:t>
      </w:r>
      <w:r w:rsidR="00E83923" w:rsidRPr="009D3B75">
        <w:rPr>
          <w:rFonts w:ascii="Arial" w:hAnsi="Arial" w:cs="Arial"/>
          <w:b/>
          <w:bCs/>
          <w:shd w:val="clear" w:color="auto" w:fill="FFFFFF"/>
          <w:lang w:val="en-US"/>
        </w:rPr>
        <w:t xml:space="preserve">The Portfolio Committee welcomed the PSC’s recommendation that it </w:t>
      </w:r>
      <w:r w:rsidRPr="009D3B75">
        <w:rPr>
          <w:rFonts w:ascii="Arial" w:hAnsi="Arial" w:cs="Arial"/>
          <w:b/>
          <w:bCs/>
          <w:shd w:val="clear" w:color="auto" w:fill="FFFFFF"/>
          <w:lang w:val="en-US"/>
        </w:rPr>
        <w:t>invite</w:t>
      </w:r>
      <w:r w:rsidR="00DC23F6">
        <w:rPr>
          <w:rFonts w:ascii="Arial" w:hAnsi="Arial" w:cs="Arial"/>
          <w:b/>
          <w:bCs/>
          <w:shd w:val="clear" w:color="auto" w:fill="FFFFFF"/>
          <w:lang w:val="en-US"/>
        </w:rPr>
        <w:t>s</w:t>
      </w:r>
      <w:r w:rsidRPr="009D3B75">
        <w:rPr>
          <w:rFonts w:ascii="Arial" w:hAnsi="Arial" w:cs="Arial"/>
          <w:b/>
          <w:bCs/>
          <w:shd w:val="clear" w:color="auto" w:fill="FFFFFF"/>
          <w:lang w:val="en-US"/>
        </w:rPr>
        <w:t xml:space="preserve"> the Provincial Strategic Support Team, MEC, and Acting </w:t>
      </w:r>
      <w:proofErr w:type="spellStart"/>
      <w:r w:rsidRPr="009D3B75">
        <w:rPr>
          <w:rFonts w:ascii="Arial" w:hAnsi="Arial" w:cs="Arial"/>
          <w:b/>
          <w:bCs/>
          <w:shd w:val="clear" w:color="auto" w:fill="FFFFFF"/>
          <w:lang w:val="en-US"/>
        </w:rPr>
        <w:t>HoD</w:t>
      </w:r>
      <w:proofErr w:type="spellEnd"/>
      <w:r w:rsidRPr="009D3B75">
        <w:rPr>
          <w:rFonts w:ascii="Arial" w:hAnsi="Arial" w:cs="Arial"/>
          <w:b/>
          <w:bCs/>
          <w:shd w:val="clear" w:color="auto" w:fill="FFFFFF"/>
          <w:lang w:val="en-US"/>
        </w:rPr>
        <w:t xml:space="preserve"> to explain the state of the financial affairs including </w:t>
      </w:r>
      <w:r w:rsidR="006E51EF" w:rsidRPr="009D3B75">
        <w:rPr>
          <w:rFonts w:ascii="Arial" w:hAnsi="Arial" w:cs="Arial"/>
          <w:b/>
          <w:bCs/>
          <w:shd w:val="clear" w:color="auto" w:fill="FFFFFF"/>
          <w:lang w:val="en-US"/>
        </w:rPr>
        <w:t xml:space="preserve">compliance with </w:t>
      </w:r>
      <w:r w:rsidR="006E51EF" w:rsidRPr="009D3B75">
        <w:rPr>
          <w:rFonts w:ascii="Arial" w:hAnsi="Arial" w:cs="Arial"/>
          <w:b/>
          <w:bCs/>
          <w:lang w:val="en-US"/>
        </w:rPr>
        <w:t>government’s 30-day payment to service providers</w:t>
      </w:r>
    </w:p>
    <w:p w14:paraId="547AB4DA" w14:textId="77777777" w:rsidR="006E51EF" w:rsidRPr="009D3B75" w:rsidRDefault="006E51EF" w:rsidP="009D3B75">
      <w:pPr>
        <w:tabs>
          <w:tab w:val="num" w:pos="720"/>
        </w:tabs>
        <w:spacing w:after="0"/>
        <w:jc w:val="both"/>
        <w:rPr>
          <w:rFonts w:ascii="Arial" w:hAnsi="Arial" w:cs="Arial"/>
          <w:b/>
          <w:bCs/>
          <w:shd w:val="clear" w:color="auto" w:fill="FFFFFF"/>
        </w:rPr>
      </w:pPr>
    </w:p>
    <w:p w14:paraId="1E6996D3" w14:textId="069A69B7" w:rsidR="0044745A" w:rsidRPr="009D3B75" w:rsidRDefault="0091328A" w:rsidP="009D3B75">
      <w:pPr>
        <w:spacing w:after="0"/>
        <w:jc w:val="both"/>
        <w:rPr>
          <w:rFonts w:ascii="Arial" w:hAnsi="Arial" w:cs="Arial"/>
          <w:lang w:val="en-US"/>
        </w:rPr>
      </w:pPr>
      <w:r w:rsidRPr="009D3B75">
        <w:rPr>
          <w:rFonts w:ascii="Arial" w:hAnsi="Arial" w:cs="Arial"/>
          <w:shd w:val="clear" w:color="auto" w:fill="FFFFFF"/>
          <w:lang w:val="en-US"/>
        </w:rPr>
        <w:t xml:space="preserve">According to GPT reasons cited by departments </w:t>
      </w:r>
      <w:r w:rsidRPr="009D3B75">
        <w:rPr>
          <w:rFonts w:ascii="Arial" w:hAnsi="Arial" w:cs="Arial"/>
          <w:lang w:val="en-GB"/>
        </w:rPr>
        <w:t xml:space="preserve">for the non-compliance to the 30-day payment of suppliers related to the </w:t>
      </w:r>
      <w:r w:rsidRPr="009D3B75">
        <w:rPr>
          <w:rFonts w:ascii="Arial" w:hAnsi="Arial" w:cs="Arial"/>
          <w:lang w:val="en-US"/>
        </w:rPr>
        <w:t xml:space="preserve">arbitrarily selection of suppliers on the payment run instead of instituting the fair first-in, first-out (FIFO) method of paying invoices; </w:t>
      </w:r>
      <w:r w:rsidRPr="009D3B75">
        <w:rPr>
          <w:rFonts w:ascii="Arial" w:hAnsi="Arial" w:cs="Arial"/>
        </w:rPr>
        <w:t>weak controls and lack of supervision leading to delays in the processing of Goods Receipt Voucher (GRV) by end users; weak internal controls like no clear timeframes</w:t>
      </w:r>
      <w:r w:rsidRPr="009D3B75">
        <w:rPr>
          <w:rFonts w:ascii="Arial" w:hAnsi="Arial" w:cs="Arial"/>
          <w:u w:val="single"/>
        </w:rPr>
        <w:t xml:space="preserve"> </w:t>
      </w:r>
      <w:r w:rsidRPr="009D3B75">
        <w:rPr>
          <w:rFonts w:ascii="Arial" w:hAnsi="Arial" w:cs="Arial"/>
        </w:rPr>
        <w:t>on processing of invoices on the work cycle; lack of evidence of clear performance management of staff</w:t>
      </w:r>
      <w:r w:rsidR="0044745A" w:rsidRPr="009D3B75">
        <w:rPr>
          <w:rFonts w:ascii="Arial" w:hAnsi="Arial" w:cs="Arial"/>
        </w:rPr>
        <w:t xml:space="preserve">; </w:t>
      </w:r>
      <w:r w:rsidR="0044745A" w:rsidRPr="009D3B75">
        <w:rPr>
          <w:rFonts w:ascii="Arial" w:hAnsi="Arial" w:cs="Arial"/>
          <w:lang w:val="en-US"/>
        </w:rPr>
        <w:t xml:space="preserve">violation of Standard Operating Procedures (SOPs) leading to fraudulently tempering with invoice numbers by users, thereby creating duplicated payments with specific reference to Health; </w:t>
      </w:r>
      <w:r w:rsidR="0044745A" w:rsidRPr="009D3B75">
        <w:rPr>
          <w:rFonts w:ascii="Arial" w:hAnsi="Arial" w:cs="Arial"/>
        </w:rPr>
        <w:t xml:space="preserve">Continued use of manual order payments renders departments open to duplicate payments, payment delays and inaccurate accruals; and </w:t>
      </w:r>
      <w:r w:rsidR="0044745A" w:rsidRPr="009D3B75">
        <w:rPr>
          <w:rFonts w:ascii="Arial" w:hAnsi="Arial" w:cs="Arial"/>
          <w:lang w:val="en-US"/>
        </w:rPr>
        <w:t>Invoices not submitted through the Electronic Invoice S</w:t>
      </w:r>
      <w:r w:rsidR="006E51EF" w:rsidRPr="009D3B75">
        <w:rPr>
          <w:rFonts w:ascii="Arial" w:hAnsi="Arial" w:cs="Arial"/>
          <w:lang w:val="en-US"/>
        </w:rPr>
        <w:t>ubmission</w:t>
      </w:r>
      <w:r w:rsidR="0044745A" w:rsidRPr="009D3B75">
        <w:rPr>
          <w:rFonts w:ascii="Arial" w:hAnsi="Arial" w:cs="Arial"/>
          <w:lang w:val="en-US"/>
        </w:rPr>
        <w:t xml:space="preserve"> as per new SOP’s leading to delays in processing payments.</w:t>
      </w:r>
    </w:p>
    <w:p w14:paraId="72A774BF" w14:textId="1D36B3A2" w:rsidR="0044745A" w:rsidRPr="009D3B75" w:rsidRDefault="0044745A" w:rsidP="009D3B75">
      <w:pPr>
        <w:spacing w:after="0"/>
        <w:jc w:val="both"/>
        <w:rPr>
          <w:rFonts w:ascii="Arial" w:hAnsi="Arial" w:cs="Arial"/>
          <w:lang w:val="en-US"/>
        </w:rPr>
      </w:pPr>
    </w:p>
    <w:p w14:paraId="7BD4D542" w14:textId="47D83427" w:rsidR="009E76DB" w:rsidRPr="009D3B75" w:rsidRDefault="0044745A" w:rsidP="009D3B75">
      <w:pPr>
        <w:spacing w:after="0"/>
        <w:jc w:val="both"/>
        <w:rPr>
          <w:rFonts w:ascii="Arial" w:hAnsi="Arial" w:cs="Arial"/>
          <w:b/>
          <w:bCs/>
          <w:shd w:val="clear" w:color="auto" w:fill="FFFFFF"/>
          <w:lang w:val="en-US"/>
        </w:rPr>
      </w:pPr>
      <w:r w:rsidRPr="009D3B75">
        <w:rPr>
          <w:rFonts w:ascii="Arial" w:hAnsi="Arial" w:cs="Arial"/>
          <w:lang w:val="en-US"/>
        </w:rPr>
        <w:t xml:space="preserve">The PSC highlighted that for Department of Infrastructure Development, reasons </w:t>
      </w:r>
      <w:r w:rsidRPr="009D3B75">
        <w:rPr>
          <w:rFonts w:ascii="Arial" w:hAnsi="Arial" w:cs="Arial"/>
          <w:lang w:val="en-GB"/>
        </w:rPr>
        <w:t xml:space="preserve">for non-compliance to the 30-day payment of suppliers pertains to </w:t>
      </w:r>
      <w:r w:rsidR="00EC5D80" w:rsidRPr="009D3B75">
        <w:rPr>
          <w:rFonts w:ascii="Arial" w:hAnsi="Arial" w:cs="Arial"/>
          <w:lang w:val="en-GB"/>
        </w:rPr>
        <w:t xml:space="preserve">client departments not transferring funds timeously; late creation of purchase orders; service providers not settling their tax obligations timeously with the South African Revenue Services; late submission of goods received vouchers and late submission of invoices by service providers through electronic invoice submission system. </w:t>
      </w:r>
      <w:r w:rsidR="00004525" w:rsidRPr="009D3B75">
        <w:rPr>
          <w:rFonts w:ascii="Arial" w:hAnsi="Arial" w:cs="Arial"/>
          <w:b/>
          <w:bCs/>
          <w:shd w:val="clear" w:color="auto" w:fill="FFFFFF"/>
          <w:lang w:val="en-US"/>
        </w:rPr>
        <w:t xml:space="preserve">The Portfolio Committee noted with concern that the Department of Health’s claims age analysis in October 2021 amounted to 101 days and </w:t>
      </w:r>
      <w:r w:rsidR="003940C9">
        <w:rPr>
          <w:rFonts w:ascii="Arial" w:hAnsi="Arial" w:cs="Arial"/>
          <w:b/>
          <w:bCs/>
          <w:shd w:val="clear" w:color="auto" w:fill="FFFFFF"/>
          <w:lang w:val="en-US"/>
        </w:rPr>
        <w:t xml:space="preserve">that </w:t>
      </w:r>
      <w:r w:rsidR="00004525" w:rsidRPr="009D3B75">
        <w:rPr>
          <w:rFonts w:ascii="Arial" w:hAnsi="Arial" w:cs="Arial"/>
          <w:b/>
          <w:bCs/>
          <w:shd w:val="clear" w:color="auto" w:fill="FFFFFF"/>
          <w:lang w:val="en-US"/>
        </w:rPr>
        <w:t>it took the department 142 days to pay contractors</w:t>
      </w:r>
      <w:r w:rsidR="003940C9">
        <w:rPr>
          <w:rFonts w:ascii="Arial" w:hAnsi="Arial" w:cs="Arial"/>
          <w:b/>
          <w:bCs/>
          <w:shd w:val="clear" w:color="auto" w:fill="FFFFFF"/>
          <w:lang w:val="en-US"/>
        </w:rPr>
        <w:t xml:space="preserve"> in February 2022</w:t>
      </w:r>
      <w:r w:rsidR="00004525" w:rsidRPr="009D3B75">
        <w:rPr>
          <w:rFonts w:ascii="Arial" w:hAnsi="Arial" w:cs="Arial"/>
          <w:b/>
          <w:bCs/>
          <w:shd w:val="clear" w:color="auto" w:fill="FFFFFF"/>
          <w:lang w:val="en-US"/>
        </w:rPr>
        <w:t xml:space="preserve">. </w:t>
      </w:r>
      <w:r w:rsidR="00EC5D80" w:rsidRPr="009D3B75">
        <w:rPr>
          <w:rFonts w:ascii="Arial" w:hAnsi="Arial" w:cs="Arial"/>
          <w:lang w:val="en-GB"/>
        </w:rPr>
        <w:t>With regard to the Department of Social Development</w:t>
      </w:r>
      <w:r w:rsidR="00505E8C" w:rsidRPr="009D3B75">
        <w:rPr>
          <w:rFonts w:ascii="Arial" w:hAnsi="Arial" w:cs="Arial"/>
          <w:lang w:val="en-GB"/>
        </w:rPr>
        <w:t xml:space="preserve">, expired tax clearances; inactive </w:t>
      </w:r>
      <w:r w:rsidR="002C2127">
        <w:rPr>
          <w:rFonts w:ascii="Arial" w:hAnsi="Arial" w:cs="Arial"/>
          <w:lang w:val="en-GB"/>
        </w:rPr>
        <w:t xml:space="preserve">bank </w:t>
      </w:r>
      <w:r w:rsidR="00505E8C" w:rsidRPr="009D3B75">
        <w:rPr>
          <w:rFonts w:ascii="Arial" w:hAnsi="Arial" w:cs="Arial"/>
          <w:lang w:val="en-GB"/>
        </w:rPr>
        <w:t xml:space="preserve"> accounts; end-users delays in confirmation of goods received to staff rotation</w:t>
      </w:r>
      <w:r w:rsidR="009E76DB" w:rsidRPr="009D3B75">
        <w:rPr>
          <w:rFonts w:ascii="Arial" w:hAnsi="Arial" w:cs="Arial"/>
          <w:lang w:val="en-GB"/>
        </w:rPr>
        <w:t xml:space="preserve">; and while Department of </w:t>
      </w:r>
      <w:r w:rsidR="009E76DB" w:rsidRPr="009D3B75">
        <w:rPr>
          <w:rFonts w:ascii="Arial" w:hAnsi="Arial" w:cs="Arial"/>
          <w:lang w:val="en-GB"/>
        </w:rPr>
        <w:lastRenderedPageBreak/>
        <w:t xml:space="preserve">Transport ascribed non-compliance </w:t>
      </w:r>
      <w:r w:rsidR="00160189" w:rsidRPr="009D3B75">
        <w:rPr>
          <w:rFonts w:ascii="Arial" w:hAnsi="Arial" w:cs="Arial"/>
          <w:b/>
          <w:bCs/>
          <w:lang w:val="en-US"/>
        </w:rPr>
        <w:t>government’s 30-day payment to service providers</w:t>
      </w:r>
      <w:r w:rsidR="00160189" w:rsidRPr="009D3B75">
        <w:rPr>
          <w:rFonts w:ascii="Arial" w:hAnsi="Arial" w:cs="Arial"/>
          <w:lang w:val="en-GB"/>
        </w:rPr>
        <w:t xml:space="preserve"> </w:t>
      </w:r>
      <w:r w:rsidR="006E51EF" w:rsidRPr="009D3B75">
        <w:rPr>
          <w:rFonts w:ascii="Arial" w:hAnsi="Arial" w:cs="Arial"/>
          <w:lang w:val="en-GB"/>
        </w:rPr>
        <w:t xml:space="preserve">uploading their invoices electronically </w:t>
      </w:r>
      <w:r w:rsidR="009E76DB" w:rsidRPr="009D3B75">
        <w:rPr>
          <w:rFonts w:ascii="Arial" w:hAnsi="Arial" w:cs="Arial"/>
          <w:lang w:val="en-GB"/>
        </w:rPr>
        <w:t xml:space="preserve">and delayed to submit their </w:t>
      </w:r>
      <w:r w:rsidR="0091328A" w:rsidRPr="009D3B75">
        <w:rPr>
          <w:rFonts w:ascii="Arial" w:hAnsi="Arial" w:cs="Arial"/>
        </w:rPr>
        <w:t>Goods Receipt Voucher</w:t>
      </w:r>
      <w:r w:rsidR="00160189" w:rsidRPr="009D3B75">
        <w:rPr>
          <w:rFonts w:ascii="Arial" w:hAnsi="Arial" w:cs="Arial"/>
        </w:rPr>
        <w:t xml:space="preserve"> (GRV)</w:t>
      </w:r>
      <w:r w:rsidR="006E51EF" w:rsidRPr="009D3B75">
        <w:rPr>
          <w:rFonts w:ascii="Arial" w:hAnsi="Arial" w:cs="Arial"/>
        </w:rPr>
        <w:t xml:space="preserve"> to the end-users</w:t>
      </w:r>
      <w:r w:rsidR="009E76DB" w:rsidRPr="009D3B75">
        <w:rPr>
          <w:rFonts w:ascii="Arial" w:hAnsi="Arial" w:cs="Arial"/>
        </w:rPr>
        <w:t xml:space="preserve">, which is </w:t>
      </w:r>
      <w:r w:rsidR="006E51EF" w:rsidRPr="009D3B75">
        <w:rPr>
          <w:rFonts w:ascii="Arial" w:hAnsi="Arial" w:cs="Arial"/>
        </w:rPr>
        <w:t xml:space="preserve">used as </w:t>
      </w:r>
      <w:r w:rsidR="009E76DB" w:rsidRPr="009D3B75">
        <w:rPr>
          <w:rFonts w:ascii="Arial" w:hAnsi="Arial" w:cs="Arial"/>
        </w:rPr>
        <w:t>a source to process payments.</w:t>
      </w:r>
      <w:r w:rsidR="00724B05" w:rsidRPr="009D3B75">
        <w:rPr>
          <w:rFonts w:ascii="Arial" w:hAnsi="Arial" w:cs="Arial"/>
        </w:rPr>
        <w:t xml:space="preserve"> </w:t>
      </w:r>
      <w:r w:rsidR="00724B05" w:rsidRPr="009D3B75">
        <w:rPr>
          <w:rFonts w:ascii="Arial" w:hAnsi="Arial" w:cs="Arial"/>
          <w:b/>
          <w:bCs/>
          <w:shd w:val="clear" w:color="auto" w:fill="FFFFFF"/>
          <w:lang w:val="en-US"/>
        </w:rPr>
        <w:t>The Portfolio Committee noted the factors responsible for non-compliance to the 30-day payment to suppliers and urges departments to provide remedial measures to ameliorate the situation.</w:t>
      </w:r>
    </w:p>
    <w:p w14:paraId="1020E2C2" w14:textId="77777777" w:rsidR="00460CA7" w:rsidRPr="009D3B75" w:rsidRDefault="00460CA7" w:rsidP="009D3B75">
      <w:pPr>
        <w:spacing w:after="0"/>
        <w:jc w:val="both"/>
        <w:rPr>
          <w:rFonts w:ascii="Arial" w:hAnsi="Arial" w:cs="Arial"/>
        </w:rPr>
      </w:pPr>
    </w:p>
    <w:p w14:paraId="2B3F79A7" w14:textId="1BD679CA" w:rsidR="00460CA7" w:rsidRPr="009D3B75" w:rsidRDefault="00D80C3F" w:rsidP="009D3B75">
      <w:pPr>
        <w:spacing w:after="0"/>
        <w:jc w:val="both"/>
        <w:rPr>
          <w:rFonts w:ascii="Arial" w:hAnsi="Arial" w:cs="Arial"/>
          <w:b/>
          <w:bCs/>
          <w:shd w:val="clear" w:color="auto" w:fill="FFFFFF"/>
          <w:lang w:val="en-US"/>
        </w:rPr>
      </w:pPr>
      <w:r w:rsidRPr="009D3B75">
        <w:rPr>
          <w:rFonts w:ascii="Arial" w:hAnsi="Arial" w:cs="Arial"/>
        </w:rPr>
        <w:t xml:space="preserve">In the quest to remediate the impact of </w:t>
      </w:r>
      <w:r w:rsidRPr="009D3B75">
        <w:rPr>
          <w:rFonts w:ascii="Arial" w:hAnsi="Arial" w:cs="Arial"/>
          <w:lang w:val="en-GB"/>
        </w:rPr>
        <w:t xml:space="preserve">non-compliance </w:t>
      </w:r>
      <w:r w:rsidR="00160189" w:rsidRPr="009D3B75">
        <w:rPr>
          <w:rFonts w:ascii="Arial" w:hAnsi="Arial" w:cs="Arial"/>
          <w:lang w:val="en-GB"/>
        </w:rPr>
        <w:t xml:space="preserve">with </w:t>
      </w:r>
      <w:r w:rsidR="00160189" w:rsidRPr="009D3B75">
        <w:rPr>
          <w:rFonts w:ascii="Arial" w:hAnsi="Arial" w:cs="Arial"/>
          <w:lang w:val="en-US"/>
        </w:rPr>
        <w:t>government’s 30-day payment to service providers</w:t>
      </w:r>
      <w:r w:rsidRPr="009D3B75">
        <w:rPr>
          <w:rFonts w:ascii="Arial" w:hAnsi="Arial" w:cs="Arial"/>
          <w:lang w:val="en-GB"/>
        </w:rPr>
        <w:t>, departments implemented corrective measures rang</w:t>
      </w:r>
      <w:r w:rsidR="003D7016" w:rsidRPr="009D3B75">
        <w:rPr>
          <w:rFonts w:ascii="Arial" w:hAnsi="Arial" w:cs="Arial"/>
          <w:lang w:val="en-GB"/>
        </w:rPr>
        <w:t xml:space="preserve">ing </w:t>
      </w:r>
      <w:r w:rsidRPr="009D3B75">
        <w:rPr>
          <w:rFonts w:ascii="Arial" w:hAnsi="Arial" w:cs="Arial"/>
          <w:lang w:val="en-GB"/>
        </w:rPr>
        <w:t>from</w:t>
      </w:r>
      <w:r w:rsidR="003D7016" w:rsidRPr="009D3B75">
        <w:rPr>
          <w:rFonts w:ascii="Arial" w:hAnsi="Arial" w:cs="Arial"/>
          <w:lang w:val="en-GB"/>
        </w:rPr>
        <w:t xml:space="preserve"> migrating maintenance payment from Department of Infrastructure to the Department of Health </w:t>
      </w:r>
      <w:r w:rsidR="006645F9" w:rsidRPr="009D3B75">
        <w:rPr>
          <w:rFonts w:ascii="Arial" w:hAnsi="Arial" w:cs="Arial"/>
          <w:lang w:val="en-GB"/>
        </w:rPr>
        <w:t xml:space="preserve">effective from April 2022; implementing invoice tracking system to identify invoices, GRVs, purchase orders, and invalid tax certificates that may lead to late payment and the escalation of such to senior management for resolving, holding of supplier forums to mitigate against inactive bank accounts and expired tax certificates, </w:t>
      </w:r>
      <w:r w:rsidR="00DF6EB8" w:rsidRPr="009D3B75">
        <w:rPr>
          <w:rFonts w:ascii="Arial" w:hAnsi="Arial" w:cs="Arial"/>
          <w:lang w:val="en-GB"/>
        </w:rPr>
        <w:t xml:space="preserve">the monitoring of aging invoices and intervention before they reach 30 days, </w:t>
      </w:r>
      <w:r w:rsidRPr="009D3B75">
        <w:rPr>
          <w:rFonts w:ascii="Arial" w:hAnsi="Arial" w:cs="Arial"/>
          <w:lang w:val="en-GB"/>
        </w:rPr>
        <w:t>rejecting invoices with more than five days on the system without a GR</w:t>
      </w:r>
      <w:r w:rsidR="00160189" w:rsidRPr="009D3B75">
        <w:rPr>
          <w:rFonts w:ascii="Arial" w:hAnsi="Arial" w:cs="Arial"/>
          <w:lang w:val="en-GB"/>
        </w:rPr>
        <w:t>V</w:t>
      </w:r>
      <w:r w:rsidRPr="009D3B75">
        <w:rPr>
          <w:rFonts w:ascii="Arial" w:hAnsi="Arial" w:cs="Arial"/>
          <w:lang w:val="en-GB"/>
        </w:rPr>
        <w:t>s</w:t>
      </w:r>
      <w:r w:rsidR="00DF6EB8" w:rsidRPr="009D3B75">
        <w:rPr>
          <w:rFonts w:ascii="Arial" w:hAnsi="Arial" w:cs="Arial"/>
          <w:lang w:val="en-GB"/>
        </w:rPr>
        <w:t>, continuous training to new service providers on the compliance regime, monthly submission of exception report to the HOD, and reviewing the payment process</w:t>
      </w:r>
      <w:r w:rsidR="001D2FF4" w:rsidRPr="009D3B75">
        <w:rPr>
          <w:rFonts w:ascii="Arial" w:hAnsi="Arial" w:cs="Arial"/>
          <w:lang w:val="en-GB"/>
        </w:rPr>
        <w:t xml:space="preserve"> to </w:t>
      </w:r>
      <w:r w:rsidR="00DF6EB8" w:rsidRPr="009D3B75">
        <w:rPr>
          <w:rFonts w:ascii="Arial" w:hAnsi="Arial" w:cs="Arial"/>
          <w:lang w:val="en-GB"/>
        </w:rPr>
        <w:t>strengthen</w:t>
      </w:r>
      <w:r w:rsidR="001D2FF4" w:rsidRPr="009D3B75">
        <w:rPr>
          <w:rFonts w:ascii="Arial" w:hAnsi="Arial" w:cs="Arial"/>
          <w:lang w:val="en-GB"/>
        </w:rPr>
        <w:t xml:space="preserve"> controls.</w:t>
      </w:r>
      <w:r w:rsidR="00DF6EB8" w:rsidRPr="009D3B75">
        <w:rPr>
          <w:rFonts w:ascii="Arial" w:hAnsi="Arial" w:cs="Arial"/>
          <w:lang w:val="en-GB"/>
        </w:rPr>
        <w:t xml:space="preserve"> </w:t>
      </w:r>
      <w:r w:rsidR="00724B05" w:rsidRPr="009D3B75">
        <w:rPr>
          <w:rFonts w:ascii="Arial" w:hAnsi="Arial" w:cs="Arial"/>
          <w:b/>
          <w:bCs/>
          <w:shd w:val="clear" w:color="auto" w:fill="FFFFFF"/>
          <w:lang w:val="en-US"/>
        </w:rPr>
        <w:t xml:space="preserve">The Portfolio Committee welcomes measures put in place by department to mitigate against non-compliance </w:t>
      </w:r>
      <w:r w:rsidR="00160189" w:rsidRPr="009D3B75">
        <w:rPr>
          <w:rFonts w:ascii="Arial" w:hAnsi="Arial" w:cs="Arial"/>
          <w:b/>
          <w:bCs/>
          <w:shd w:val="clear" w:color="auto" w:fill="FFFFFF"/>
          <w:lang w:val="en-US"/>
        </w:rPr>
        <w:t xml:space="preserve">with </w:t>
      </w:r>
      <w:r w:rsidR="00160189" w:rsidRPr="009D3B75">
        <w:rPr>
          <w:rFonts w:ascii="Arial" w:hAnsi="Arial" w:cs="Arial"/>
          <w:b/>
          <w:bCs/>
          <w:lang w:val="en-US"/>
        </w:rPr>
        <w:t>government’s 30-day payment to service providers</w:t>
      </w:r>
      <w:r w:rsidR="00160189" w:rsidRPr="009D3B75">
        <w:rPr>
          <w:rFonts w:ascii="Arial" w:hAnsi="Arial" w:cs="Arial"/>
          <w:b/>
          <w:bCs/>
          <w:shd w:val="clear" w:color="auto" w:fill="FFFFFF"/>
          <w:lang w:val="en-US"/>
        </w:rPr>
        <w:t xml:space="preserve"> </w:t>
      </w:r>
      <w:r w:rsidR="00724B05" w:rsidRPr="009D3B75">
        <w:rPr>
          <w:rFonts w:ascii="Arial" w:hAnsi="Arial" w:cs="Arial"/>
          <w:b/>
          <w:bCs/>
          <w:shd w:val="clear" w:color="auto" w:fill="FFFFFF"/>
          <w:lang w:val="en-US"/>
        </w:rPr>
        <w:t>and the implementation thereof will be monitored.</w:t>
      </w:r>
    </w:p>
    <w:p w14:paraId="6A37AB74" w14:textId="77777777" w:rsidR="00460CA7" w:rsidRPr="009D3B75" w:rsidRDefault="00460CA7" w:rsidP="009D3B75">
      <w:pPr>
        <w:spacing w:after="0"/>
        <w:jc w:val="both"/>
        <w:rPr>
          <w:rFonts w:ascii="Arial" w:hAnsi="Arial" w:cs="Arial"/>
          <w:b/>
          <w:bCs/>
          <w:shd w:val="clear" w:color="auto" w:fill="FFFFFF"/>
          <w:lang w:val="en-US"/>
        </w:rPr>
      </w:pPr>
    </w:p>
    <w:p w14:paraId="20DB66CA" w14:textId="703BD73D" w:rsidR="009D4B9C" w:rsidRPr="009D3B75" w:rsidRDefault="00D51F4B" w:rsidP="009D3B75">
      <w:pPr>
        <w:spacing w:after="0"/>
        <w:jc w:val="both"/>
        <w:rPr>
          <w:rFonts w:ascii="Arial" w:hAnsi="Arial" w:cs="Arial"/>
          <w:b/>
          <w:bCs/>
        </w:rPr>
      </w:pPr>
      <w:r w:rsidRPr="009D3B75">
        <w:rPr>
          <w:rFonts w:ascii="Arial" w:hAnsi="Arial" w:cs="Arial"/>
        </w:rPr>
        <w:t>According to the PSC, based on the remedial measures provided, Departmen</w:t>
      </w:r>
      <w:r w:rsidR="00460CA7" w:rsidRPr="009D3B75">
        <w:rPr>
          <w:rFonts w:ascii="Arial" w:hAnsi="Arial" w:cs="Arial"/>
        </w:rPr>
        <w:t>t</w:t>
      </w:r>
      <w:r w:rsidRPr="009D3B75">
        <w:rPr>
          <w:rFonts w:ascii="Arial" w:hAnsi="Arial" w:cs="Arial"/>
        </w:rPr>
        <w:t>s of Infrastructure Development, Social Development and Transport have not implemented consequence management actions against any official. Similarly, GPT reported that there is no evidence of consequence management instituted</w:t>
      </w:r>
      <w:r w:rsidR="004F3313" w:rsidRPr="009D3B75">
        <w:rPr>
          <w:rFonts w:ascii="Arial" w:hAnsi="Arial" w:cs="Arial"/>
        </w:rPr>
        <w:t xml:space="preserve"> by departments in instances where officials have caused non-compliance to </w:t>
      </w:r>
      <w:r w:rsidR="00160189" w:rsidRPr="009D3B75">
        <w:rPr>
          <w:rFonts w:ascii="Arial" w:hAnsi="Arial" w:cs="Arial"/>
          <w:lang w:val="en-US"/>
        </w:rPr>
        <w:t>government’s 30-day payment to service providers</w:t>
      </w:r>
      <w:r w:rsidR="004F3313" w:rsidRPr="009D3B75">
        <w:rPr>
          <w:rFonts w:ascii="Arial" w:hAnsi="Arial" w:cs="Arial"/>
        </w:rPr>
        <w:t>.</w:t>
      </w:r>
      <w:r w:rsidR="0061003E" w:rsidRPr="009D3B75">
        <w:rPr>
          <w:rFonts w:ascii="Arial" w:hAnsi="Arial" w:cs="Arial"/>
        </w:rPr>
        <w:t xml:space="preserve"> Furthermore, there was evidence of clear performance management of staff in instances of non-adherence to internal controls that lead to delays in payments</w:t>
      </w:r>
      <w:r w:rsidR="000834D4">
        <w:rPr>
          <w:rFonts w:ascii="Arial" w:hAnsi="Arial" w:cs="Arial"/>
        </w:rPr>
        <w:t>.</w:t>
      </w:r>
      <w:r w:rsidR="004F3313" w:rsidRPr="009D3B75">
        <w:rPr>
          <w:rFonts w:ascii="Arial" w:hAnsi="Arial" w:cs="Arial"/>
        </w:rPr>
        <w:t xml:space="preserve"> </w:t>
      </w:r>
      <w:r w:rsidR="004F3313" w:rsidRPr="009D3B75">
        <w:rPr>
          <w:rFonts w:ascii="Arial" w:hAnsi="Arial" w:cs="Arial"/>
          <w:b/>
          <w:bCs/>
          <w:shd w:val="clear" w:color="auto" w:fill="FFFFFF"/>
          <w:lang w:val="en-US"/>
        </w:rPr>
        <w:t xml:space="preserve">The Portfolio Committee </w:t>
      </w:r>
      <w:r w:rsidR="003940C9">
        <w:rPr>
          <w:rFonts w:ascii="Arial" w:hAnsi="Arial" w:cs="Arial"/>
          <w:b/>
          <w:bCs/>
          <w:shd w:val="clear" w:color="auto" w:fill="FFFFFF"/>
          <w:lang w:val="en-US"/>
        </w:rPr>
        <w:t>noted</w:t>
      </w:r>
      <w:r w:rsidR="004F3313" w:rsidRPr="009D3B75">
        <w:rPr>
          <w:rFonts w:ascii="Arial" w:hAnsi="Arial" w:cs="Arial"/>
          <w:b/>
          <w:bCs/>
          <w:shd w:val="clear" w:color="auto" w:fill="FFFFFF"/>
          <w:lang w:val="en-US"/>
        </w:rPr>
        <w:t xml:space="preserve"> </w:t>
      </w:r>
      <w:r w:rsidR="003940C9">
        <w:rPr>
          <w:rFonts w:ascii="Arial" w:hAnsi="Arial" w:cs="Arial"/>
          <w:b/>
          <w:bCs/>
          <w:shd w:val="clear" w:color="auto" w:fill="FFFFFF"/>
          <w:lang w:val="en-US"/>
        </w:rPr>
        <w:t>the indifference displayed by</w:t>
      </w:r>
      <w:r w:rsidR="004F3313" w:rsidRPr="009D3B75">
        <w:rPr>
          <w:rFonts w:ascii="Arial" w:hAnsi="Arial" w:cs="Arial"/>
          <w:b/>
          <w:bCs/>
          <w:shd w:val="clear" w:color="auto" w:fill="FFFFFF"/>
          <w:lang w:val="en-US"/>
        </w:rPr>
        <w:t xml:space="preserve"> </w:t>
      </w:r>
      <w:r w:rsidR="0061003E" w:rsidRPr="009D3B75">
        <w:rPr>
          <w:rFonts w:ascii="Arial" w:hAnsi="Arial" w:cs="Arial"/>
          <w:b/>
          <w:bCs/>
          <w:shd w:val="clear" w:color="auto" w:fill="FFFFFF"/>
          <w:lang w:val="en-US"/>
        </w:rPr>
        <w:t>D</w:t>
      </w:r>
      <w:r w:rsidR="004F3313" w:rsidRPr="009D3B75">
        <w:rPr>
          <w:rFonts w:ascii="Arial" w:hAnsi="Arial" w:cs="Arial"/>
          <w:b/>
          <w:bCs/>
          <w:shd w:val="clear" w:color="auto" w:fill="FFFFFF"/>
          <w:lang w:val="en-US"/>
        </w:rPr>
        <w:t xml:space="preserve">epartments </w:t>
      </w:r>
      <w:r w:rsidR="0061003E" w:rsidRPr="009D3B75">
        <w:rPr>
          <w:rFonts w:ascii="Arial" w:hAnsi="Arial" w:cs="Arial"/>
          <w:b/>
          <w:bCs/>
          <w:shd w:val="clear" w:color="auto" w:fill="FFFFFF"/>
          <w:lang w:val="en-US"/>
        </w:rPr>
        <w:t xml:space="preserve">of Health, Infrastructure Development, Social Development and Transport </w:t>
      </w:r>
      <w:r w:rsidR="004C1480">
        <w:rPr>
          <w:rFonts w:ascii="Arial" w:hAnsi="Arial" w:cs="Arial"/>
          <w:b/>
          <w:bCs/>
          <w:shd w:val="clear" w:color="auto" w:fill="FFFFFF"/>
          <w:lang w:val="en-US"/>
        </w:rPr>
        <w:t>in complying with</w:t>
      </w:r>
      <w:r w:rsidR="0061003E" w:rsidRPr="009D3B75">
        <w:rPr>
          <w:rFonts w:ascii="Arial" w:hAnsi="Arial" w:cs="Arial"/>
          <w:b/>
          <w:bCs/>
          <w:shd w:val="clear" w:color="auto" w:fill="FFFFFF"/>
          <w:lang w:val="en-US"/>
        </w:rPr>
        <w:t xml:space="preserve"> </w:t>
      </w:r>
      <w:r w:rsidR="00160189" w:rsidRPr="009D3B75">
        <w:rPr>
          <w:rFonts w:ascii="Arial" w:hAnsi="Arial" w:cs="Arial"/>
          <w:b/>
          <w:bCs/>
          <w:lang w:val="en-US"/>
        </w:rPr>
        <w:t>government’s 30-day payment to service providers</w:t>
      </w:r>
      <w:r w:rsidR="004C1480">
        <w:rPr>
          <w:rFonts w:ascii="Arial" w:hAnsi="Arial" w:cs="Arial"/>
          <w:b/>
          <w:bCs/>
          <w:lang w:val="en-US"/>
        </w:rPr>
        <w:t xml:space="preserve"> and will monitor their performance</w:t>
      </w:r>
      <w:r w:rsidR="0061003E" w:rsidRPr="009D3B75">
        <w:rPr>
          <w:rFonts w:ascii="Arial" w:hAnsi="Arial" w:cs="Arial"/>
          <w:b/>
          <w:bCs/>
          <w:shd w:val="clear" w:color="auto" w:fill="FFFFFF"/>
          <w:lang w:val="en-US"/>
        </w:rPr>
        <w:t xml:space="preserve">. The Portfolio Committee is </w:t>
      </w:r>
      <w:r w:rsidR="009D4B9C" w:rsidRPr="009D3B75">
        <w:rPr>
          <w:rFonts w:ascii="Arial" w:hAnsi="Arial" w:cs="Arial"/>
          <w:b/>
          <w:bCs/>
          <w:shd w:val="clear" w:color="auto" w:fill="FFFFFF"/>
          <w:lang w:val="en-US"/>
        </w:rPr>
        <w:t xml:space="preserve">also </w:t>
      </w:r>
      <w:r w:rsidR="0061003E" w:rsidRPr="009D3B75">
        <w:rPr>
          <w:rFonts w:ascii="Arial" w:hAnsi="Arial" w:cs="Arial"/>
          <w:b/>
          <w:bCs/>
          <w:shd w:val="clear" w:color="auto" w:fill="FFFFFF"/>
          <w:lang w:val="en-US"/>
        </w:rPr>
        <w:t xml:space="preserve">concerned that there is no </w:t>
      </w:r>
      <w:r w:rsidR="0061003E" w:rsidRPr="009D3B75">
        <w:rPr>
          <w:rFonts w:ascii="Arial" w:hAnsi="Arial" w:cs="Arial"/>
          <w:b/>
          <w:bCs/>
        </w:rPr>
        <w:t xml:space="preserve">clear performance management of staff in instances of </w:t>
      </w:r>
      <w:r w:rsidR="009D4B9C" w:rsidRPr="009D3B75">
        <w:rPr>
          <w:rFonts w:ascii="Arial" w:hAnsi="Arial" w:cs="Arial"/>
          <w:b/>
          <w:bCs/>
        </w:rPr>
        <w:t>flagrant disregard of constitutional and finance management provisions.</w:t>
      </w:r>
    </w:p>
    <w:p w14:paraId="6779879E" w14:textId="3C54A9A7" w:rsidR="00160189" w:rsidRPr="009D3B75" w:rsidRDefault="00160189" w:rsidP="009D3B75">
      <w:pPr>
        <w:spacing w:after="0"/>
        <w:jc w:val="both"/>
        <w:rPr>
          <w:rFonts w:ascii="Arial" w:hAnsi="Arial" w:cs="Arial"/>
          <w:b/>
          <w:bCs/>
        </w:rPr>
      </w:pPr>
    </w:p>
    <w:p w14:paraId="16FD4762" w14:textId="66F368EE" w:rsidR="00160189" w:rsidRPr="009D3B75" w:rsidRDefault="00160189" w:rsidP="009D3B75">
      <w:pPr>
        <w:spacing w:after="0"/>
        <w:jc w:val="both"/>
        <w:rPr>
          <w:rFonts w:ascii="Arial" w:hAnsi="Arial" w:cs="Arial"/>
          <w:b/>
          <w:bCs/>
        </w:rPr>
      </w:pPr>
      <w:r w:rsidRPr="009D3B75">
        <w:rPr>
          <w:rFonts w:ascii="Arial" w:hAnsi="Arial" w:cs="Arial"/>
        </w:rPr>
        <w:t xml:space="preserve">To ease the impact of non-compliance with government’s 30-day payments to service providers, GPT </w:t>
      </w:r>
      <w:r w:rsidRPr="009D3B75">
        <w:rPr>
          <w:rFonts w:ascii="Arial" w:hAnsi="Arial" w:cs="Arial"/>
          <w:lang w:val="en-US"/>
        </w:rPr>
        <w:t xml:space="preserve">has implemented the following interventions, amongst others. That is, the implementation </w:t>
      </w:r>
      <w:r w:rsidRPr="00160189">
        <w:rPr>
          <w:rFonts w:ascii="Arial" w:hAnsi="Arial" w:cs="Arial"/>
        </w:rPr>
        <w:t>of Electronic Invoice Submission (EIS) system to eliminate delays in the submission of invoices by suppliers and enable quicker payment time frames</w:t>
      </w:r>
      <w:r w:rsidRPr="009D3B75">
        <w:rPr>
          <w:rFonts w:ascii="Arial" w:hAnsi="Arial" w:cs="Arial"/>
        </w:rPr>
        <w:t>; production of e</w:t>
      </w:r>
      <w:proofErr w:type="spellStart"/>
      <w:r w:rsidRPr="009D3B75">
        <w:rPr>
          <w:rFonts w:ascii="Arial" w:hAnsi="Arial" w:cs="Arial"/>
          <w:lang w:val="en-US"/>
        </w:rPr>
        <w:t>arly</w:t>
      </w:r>
      <w:proofErr w:type="spellEnd"/>
      <w:r w:rsidRPr="009D3B75">
        <w:rPr>
          <w:rFonts w:ascii="Arial" w:hAnsi="Arial" w:cs="Arial"/>
          <w:lang w:val="en-US"/>
        </w:rPr>
        <w:t xml:space="preserve"> warning reports on the analysis of supplier invoice status submitted to CFOs as part the monthly compliance reporting; the </w:t>
      </w:r>
      <w:r w:rsidRPr="009D3B75">
        <w:rPr>
          <w:rFonts w:ascii="Arial" w:hAnsi="Arial" w:cs="Arial"/>
        </w:rPr>
        <w:t xml:space="preserve">MEC issued a directive dated 1 March 2021 advising all departments to refrain from the use of manual order-based purchasing in line with GPT’s Circular 2 of 2009 </w:t>
      </w:r>
      <w:r w:rsidRPr="009D3B75">
        <w:rPr>
          <w:rFonts w:ascii="Arial" w:hAnsi="Arial" w:cs="Arial"/>
          <w:lang w:val="en-US"/>
        </w:rPr>
        <w:t>on “</w:t>
      </w:r>
      <w:r w:rsidRPr="009D3B75">
        <w:rPr>
          <w:rFonts w:ascii="Arial" w:hAnsi="Arial" w:cs="Arial"/>
          <w:i/>
          <w:iCs/>
          <w:lang w:val="en-US"/>
        </w:rPr>
        <w:t>Financial Management Practices in GPG</w:t>
      </w:r>
      <w:r w:rsidRPr="009D3B75">
        <w:rPr>
          <w:rFonts w:ascii="Arial" w:hAnsi="Arial" w:cs="Arial"/>
          <w:lang w:val="en-US"/>
        </w:rPr>
        <w:t>” as this practice contributes to delays in supplier payments; the Provincial Accountant General’s Office has request</w:t>
      </w:r>
      <w:r w:rsidR="000834D4">
        <w:rPr>
          <w:rFonts w:ascii="Arial" w:hAnsi="Arial" w:cs="Arial"/>
          <w:lang w:val="en-US"/>
        </w:rPr>
        <w:t>ed</w:t>
      </w:r>
      <w:r w:rsidRPr="009D3B75">
        <w:rPr>
          <w:rFonts w:ascii="Arial" w:hAnsi="Arial" w:cs="Arial"/>
          <w:lang w:val="en-US"/>
        </w:rPr>
        <w:t xml:space="preserve"> Standard Operating Procedures (SOPs) from all departments’ CFOs in order to benchmark with the best performing departments; GPT to conduct </w:t>
      </w:r>
      <w:r w:rsidRPr="00160189">
        <w:rPr>
          <w:rFonts w:ascii="Arial" w:hAnsi="Arial" w:cs="Arial"/>
        </w:rPr>
        <w:t>monthly reviews of PFMA Section 40 reporting on accruals and commitments to assist departments report accurately on old outstanding invoices (accruals)</w:t>
      </w:r>
      <w:r w:rsidRPr="009D3B75">
        <w:rPr>
          <w:rFonts w:ascii="Arial" w:hAnsi="Arial" w:cs="Arial"/>
        </w:rPr>
        <w:t xml:space="preserve">; and that Gauteng Audit Services has successfully assisted the Department of Education </w:t>
      </w:r>
      <w:r w:rsidRPr="009D3B75">
        <w:rPr>
          <w:rFonts w:ascii="Arial" w:hAnsi="Arial" w:cs="Arial"/>
          <w:lang w:val="en-US"/>
        </w:rPr>
        <w:t xml:space="preserve">in eliminating duplicate/ fraudulent transactions. </w:t>
      </w:r>
      <w:r w:rsidRPr="009D3B75">
        <w:rPr>
          <w:rFonts w:ascii="Arial" w:hAnsi="Arial" w:cs="Arial"/>
          <w:b/>
          <w:bCs/>
          <w:lang w:val="en-US"/>
        </w:rPr>
        <w:t xml:space="preserve">The Portfolio </w:t>
      </w:r>
      <w:r w:rsidRPr="009D3B75">
        <w:rPr>
          <w:rFonts w:ascii="Arial" w:hAnsi="Arial" w:cs="Arial"/>
          <w:b/>
          <w:bCs/>
          <w:lang w:val="en-US"/>
        </w:rPr>
        <w:lastRenderedPageBreak/>
        <w:t>Committee acknowledges and welcomes GPT’s interventions and recommends that the services of GAS be extended to affected departments to alleviate challenges of non-compliance with government’s 30-day payment to service providers.</w:t>
      </w:r>
    </w:p>
    <w:p w14:paraId="1B4C55A2" w14:textId="77777777" w:rsidR="009D4B9C" w:rsidRPr="009D3B75" w:rsidRDefault="009D4B9C" w:rsidP="009D3B75">
      <w:pPr>
        <w:spacing w:after="0"/>
        <w:jc w:val="both"/>
        <w:rPr>
          <w:rFonts w:ascii="Arial" w:hAnsi="Arial" w:cs="Arial"/>
        </w:rPr>
      </w:pPr>
    </w:p>
    <w:p w14:paraId="0855A88B" w14:textId="656C3553" w:rsidR="00D3406F" w:rsidRPr="009D3B75" w:rsidRDefault="009D4B9C" w:rsidP="009D3B75">
      <w:pPr>
        <w:spacing w:after="0"/>
        <w:jc w:val="both"/>
        <w:rPr>
          <w:rFonts w:ascii="Arial" w:hAnsi="Arial" w:cs="Arial"/>
          <w:b/>
          <w:u w:val="single"/>
        </w:rPr>
      </w:pPr>
      <w:r w:rsidRPr="009D3B75">
        <w:rPr>
          <w:rFonts w:ascii="Arial" w:hAnsi="Arial" w:cs="Arial"/>
          <w:b/>
          <w:u w:val="single"/>
        </w:rPr>
        <w:t xml:space="preserve">Analysis of Presentations by Departments of Health Infrastructure </w:t>
      </w:r>
      <w:r w:rsidR="00680DCF" w:rsidRPr="009D3B75">
        <w:rPr>
          <w:rFonts w:ascii="Arial" w:hAnsi="Arial" w:cs="Arial"/>
          <w:b/>
          <w:u w:val="single"/>
        </w:rPr>
        <w:t>D</w:t>
      </w:r>
      <w:r w:rsidRPr="009D3B75">
        <w:rPr>
          <w:rFonts w:ascii="Arial" w:hAnsi="Arial" w:cs="Arial"/>
          <w:b/>
          <w:u w:val="single"/>
        </w:rPr>
        <w:t>evelopment, Social Development, and Community Safety</w:t>
      </w:r>
      <w:r w:rsidR="00D94100" w:rsidRPr="009D3B75">
        <w:rPr>
          <w:rFonts w:ascii="Arial" w:hAnsi="Arial" w:cs="Arial"/>
          <w:b/>
          <w:u w:val="single"/>
        </w:rPr>
        <w:t xml:space="preserve"> </w:t>
      </w:r>
    </w:p>
    <w:p w14:paraId="0855A88C" w14:textId="77777777" w:rsidR="00D94100" w:rsidRPr="009D3B75" w:rsidRDefault="00D94100" w:rsidP="009D3B75">
      <w:pPr>
        <w:spacing w:after="0"/>
        <w:jc w:val="both"/>
        <w:rPr>
          <w:rFonts w:ascii="Arial" w:hAnsi="Arial" w:cs="Arial"/>
          <w:b/>
          <w:u w:val="single"/>
        </w:rPr>
      </w:pPr>
    </w:p>
    <w:p w14:paraId="03BD293F" w14:textId="23594666" w:rsidR="00D65864" w:rsidRPr="009D3B75" w:rsidRDefault="00D65864" w:rsidP="009D3B75">
      <w:pPr>
        <w:tabs>
          <w:tab w:val="num" w:pos="720"/>
        </w:tabs>
        <w:spacing w:after="0"/>
        <w:jc w:val="both"/>
        <w:rPr>
          <w:rFonts w:ascii="Arial" w:hAnsi="Arial" w:cs="Arial"/>
          <w:b/>
          <w:bCs/>
        </w:rPr>
      </w:pPr>
      <w:r w:rsidRPr="009D3B75">
        <w:rPr>
          <w:rFonts w:ascii="Arial" w:hAnsi="Arial" w:cs="Arial"/>
        </w:rPr>
        <w:t xml:space="preserve">One of the objectives of the Focused Intervention Study was to establish the root causes of non-compliance with government’s 30-day payment to service providers. To this extent, the Portfolio Committee requested the identified Departments to make a presentation highlighting causes of non-compliance with government’s 30-day payment to service providers. </w:t>
      </w:r>
      <w:r w:rsidR="00680DCF" w:rsidRPr="009D3B75">
        <w:rPr>
          <w:rFonts w:ascii="Arial" w:hAnsi="Arial" w:cs="Arial"/>
        </w:rPr>
        <w:t xml:space="preserve">Of the three identified departments, all departments’ presentations provided the causes of non-compliance with government’s 30-day payment to service providers, </w:t>
      </w:r>
      <w:r w:rsidR="009D3B75" w:rsidRPr="009D3B75">
        <w:rPr>
          <w:rFonts w:ascii="Arial" w:hAnsi="Arial" w:cs="Arial"/>
        </w:rPr>
        <w:t>except for</w:t>
      </w:r>
      <w:r w:rsidR="00680DCF" w:rsidRPr="009D3B75">
        <w:rPr>
          <w:rFonts w:ascii="Arial" w:hAnsi="Arial" w:cs="Arial"/>
        </w:rPr>
        <w:t xml:space="preserve"> the D</w:t>
      </w:r>
      <w:r w:rsidR="004E28D1" w:rsidRPr="009D3B75">
        <w:rPr>
          <w:rFonts w:ascii="Arial" w:hAnsi="Arial" w:cs="Arial"/>
        </w:rPr>
        <w:t xml:space="preserve">epartment of Health. It is worth noting the </w:t>
      </w:r>
      <w:r w:rsidR="004E28D1" w:rsidRPr="009D3B75">
        <w:rPr>
          <w:rFonts w:ascii="Arial" w:hAnsi="Arial" w:cs="Arial"/>
          <w:shd w:val="clear" w:color="auto" w:fill="FFFFFF"/>
        </w:rPr>
        <w:t xml:space="preserve">root cause analysis is the process of discovering the root causes of challenges </w:t>
      </w:r>
      <w:r w:rsidR="009D3B75" w:rsidRPr="009D3B75">
        <w:rPr>
          <w:rFonts w:ascii="Arial" w:hAnsi="Arial" w:cs="Arial"/>
          <w:shd w:val="clear" w:color="auto" w:fill="FFFFFF"/>
        </w:rPr>
        <w:t>to</w:t>
      </w:r>
      <w:r w:rsidR="004E28D1" w:rsidRPr="009D3B75">
        <w:rPr>
          <w:rFonts w:ascii="Arial" w:hAnsi="Arial" w:cs="Arial"/>
          <w:shd w:val="clear" w:color="auto" w:fill="FFFFFF"/>
        </w:rPr>
        <w:t xml:space="preserve"> identify appropriate solutio</w:t>
      </w:r>
      <w:r w:rsidR="007045E1" w:rsidRPr="009D3B75">
        <w:rPr>
          <w:rFonts w:ascii="Arial" w:hAnsi="Arial" w:cs="Arial"/>
          <w:shd w:val="clear" w:color="auto" w:fill="FFFFFF"/>
        </w:rPr>
        <w:t>ns.</w:t>
      </w:r>
      <w:r w:rsidR="007045E1" w:rsidRPr="009D3B75">
        <w:rPr>
          <w:rFonts w:ascii="Arial" w:hAnsi="Arial" w:cs="Arial"/>
          <w:b/>
          <w:bCs/>
          <w:shd w:val="clear" w:color="auto" w:fill="FFFFFF"/>
        </w:rPr>
        <w:t xml:space="preserve"> The Portfolio Committee is concerned that failure by the Department of Health to account </w:t>
      </w:r>
      <w:r w:rsidR="00444D61" w:rsidRPr="009D3B75">
        <w:rPr>
          <w:rFonts w:ascii="Arial" w:hAnsi="Arial" w:cs="Arial"/>
          <w:b/>
          <w:bCs/>
          <w:shd w:val="clear" w:color="auto" w:fill="FFFFFF"/>
        </w:rPr>
        <w:t>why</w:t>
      </w:r>
      <w:r w:rsidR="007045E1" w:rsidRPr="009D3B75">
        <w:rPr>
          <w:rFonts w:ascii="Arial" w:hAnsi="Arial" w:cs="Arial"/>
          <w:b/>
          <w:bCs/>
          <w:shd w:val="clear" w:color="auto" w:fill="FFFFFF"/>
        </w:rPr>
        <w:t xml:space="preserve"> it is unable to comply </w:t>
      </w:r>
      <w:r w:rsidR="007045E1" w:rsidRPr="009D3B75">
        <w:rPr>
          <w:rFonts w:ascii="Arial" w:hAnsi="Arial" w:cs="Arial"/>
          <w:b/>
          <w:bCs/>
        </w:rPr>
        <w:t>with government’s 30-day payment to service providers</w:t>
      </w:r>
      <w:r w:rsidR="007045E1" w:rsidRPr="009D3B75">
        <w:rPr>
          <w:rFonts w:ascii="Arial" w:hAnsi="Arial" w:cs="Arial"/>
          <w:b/>
          <w:bCs/>
          <w:shd w:val="clear" w:color="auto" w:fill="FFFFFF"/>
        </w:rPr>
        <w:t xml:space="preserve"> </w:t>
      </w:r>
      <w:r w:rsidR="00444D61" w:rsidRPr="009D3B75">
        <w:rPr>
          <w:rFonts w:ascii="Arial" w:hAnsi="Arial" w:cs="Arial"/>
          <w:b/>
          <w:bCs/>
          <w:shd w:val="clear" w:color="auto" w:fill="FFFFFF"/>
        </w:rPr>
        <w:t>hinders</w:t>
      </w:r>
      <w:r w:rsidR="007045E1" w:rsidRPr="009D3B75">
        <w:rPr>
          <w:rFonts w:ascii="Arial" w:hAnsi="Arial" w:cs="Arial"/>
          <w:b/>
          <w:bCs/>
          <w:shd w:val="clear" w:color="auto" w:fill="FFFFFF"/>
        </w:rPr>
        <w:t xml:space="preserve"> the identification of appropriate solution to the challenge. </w:t>
      </w:r>
    </w:p>
    <w:p w14:paraId="69732484" w14:textId="77777777" w:rsidR="00D65864" w:rsidRPr="009D3B75" w:rsidRDefault="00D65864" w:rsidP="009D3B75">
      <w:pPr>
        <w:tabs>
          <w:tab w:val="num" w:pos="720"/>
        </w:tabs>
        <w:spacing w:after="0"/>
        <w:jc w:val="both"/>
        <w:rPr>
          <w:rFonts w:ascii="Arial" w:hAnsi="Arial" w:cs="Arial"/>
        </w:rPr>
      </w:pPr>
    </w:p>
    <w:p w14:paraId="46526FA4" w14:textId="230D6973" w:rsidR="008212E2" w:rsidRPr="009D3B75" w:rsidRDefault="00D65864" w:rsidP="009D3B75">
      <w:pPr>
        <w:tabs>
          <w:tab w:val="num" w:pos="720"/>
        </w:tabs>
        <w:spacing w:after="0"/>
        <w:jc w:val="both"/>
        <w:rPr>
          <w:rFonts w:ascii="Arial" w:hAnsi="Arial" w:cs="Arial"/>
          <w:shd w:val="clear" w:color="auto" w:fill="FFFFFF"/>
        </w:rPr>
      </w:pPr>
      <w:r w:rsidRPr="009D3B75">
        <w:rPr>
          <w:rFonts w:ascii="Arial" w:hAnsi="Arial" w:cs="Arial"/>
        </w:rPr>
        <w:t xml:space="preserve">The presentations </w:t>
      </w:r>
      <w:r w:rsidR="00444D61" w:rsidRPr="009D3B75">
        <w:rPr>
          <w:rFonts w:ascii="Arial" w:hAnsi="Arial" w:cs="Arial"/>
        </w:rPr>
        <w:t>highlighted the causes of non-compliance with government’s 30-day payment to service providers</w:t>
      </w:r>
      <w:r w:rsidR="003A6C35" w:rsidRPr="009D3B75">
        <w:rPr>
          <w:rFonts w:ascii="Arial" w:hAnsi="Arial" w:cs="Arial"/>
        </w:rPr>
        <w:t xml:space="preserve">, which include among others, </w:t>
      </w:r>
      <w:r w:rsidR="00D40236" w:rsidRPr="009D3B75">
        <w:rPr>
          <w:rFonts w:ascii="Arial" w:hAnsi="Arial" w:cs="Arial"/>
        </w:rPr>
        <w:t>inactive supplier bank accounts, expired tax certificates price differences between the invoice and purchase order, invalid invoice and purchase orders, late confirmation of GRV</w:t>
      </w:r>
      <w:r w:rsidR="00505D33" w:rsidRPr="009D3B75">
        <w:rPr>
          <w:rFonts w:ascii="Arial" w:hAnsi="Arial" w:cs="Arial"/>
        </w:rPr>
        <w:t>s</w:t>
      </w:r>
      <w:r w:rsidR="00D40236" w:rsidRPr="009D3B75">
        <w:rPr>
          <w:rFonts w:ascii="Arial" w:hAnsi="Arial" w:cs="Arial"/>
        </w:rPr>
        <w:t xml:space="preserve"> and the </w:t>
      </w:r>
      <w:r w:rsidR="00505D33" w:rsidRPr="009D3B75">
        <w:rPr>
          <w:rFonts w:ascii="Arial" w:hAnsi="Arial" w:cs="Arial"/>
        </w:rPr>
        <w:t xml:space="preserve">challenges within the </w:t>
      </w:r>
      <w:proofErr w:type="spellStart"/>
      <w:r w:rsidR="00505D33" w:rsidRPr="009D3B75">
        <w:rPr>
          <w:rFonts w:ascii="Arial" w:hAnsi="Arial" w:cs="Arial"/>
        </w:rPr>
        <w:t>Supatsela</w:t>
      </w:r>
      <w:proofErr w:type="spellEnd"/>
      <w:r w:rsidR="00505D33" w:rsidRPr="009D3B75">
        <w:rPr>
          <w:rFonts w:ascii="Arial" w:hAnsi="Arial" w:cs="Arial"/>
        </w:rPr>
        <w:t xml:space="preserve"> IT system for NPO payment for the Department of Social Development</w:t>
      </w:r>
      <w:r w:rsidR="00527889" w:rsidRPr="009D3B75">
        <w:rPr>
          <w:rFonts w:ascii="Arial" w:hAnsi="Arial" w:cs="Arial"/>
          <w:shd w:val="clear" w:color="auto" w:fill="FFFFFF"/>
        </w:rPr>
        <w:t xml:space="preserve">. </w:t>
      </w:r>
      <w:r w:rsidR="00F0080A" w:rsidRPr="009D3B75">
        <w:rPr>
          <w:rFonts w:ascii="Arial" w:hAnsi="Arial" w:cs="Arial"/>
          <w:shd w:val="clear" w:color="auto" w:fill="FFFFFF"/>
        </w:rPr>
        <w:t xml:space="preserve">The causes of non-compliance </w:t>
      </w:r>
      <w:r w:rsidR="00F0080A" w:rsidRPr="009D3B75">
        <w:rPr>
          <w:rFonts w:ascii="Arial" w:hAnsi="Arial" w:cs="Arial"/>
        </w:rPr>
        <w:t>with government’s 30-day payment to service providers are common throughout the identified departments, however there are peculiarities. For instance, causes idiosyncratic to the Department of Infrastructure Development</w:t>
      </w:r>
      <w:r w:rsidR="00DD61A2" w:rsidRPr="009D3B75">
        <w:rPr>
          <w:rFonts w:ascii="Arial" w:hAnsi="Arial" w:cs="Arial"/>
        </w:rPr>
        <w:t xml:space="preserve"> are service providers struggling to upload invoices on the electronic invoice system; inadequate funds on purchase orders; and late transfer of funds by client departments. </w:t>
      </w:r>
      <w:r w:rsidR="00DD61A2" w:rsidRPr="009D3B75">
        <w:rPr>
          <w:rFonts w:ascii="Arial" w:hAnsi="Arial" w:cs="Arial"/>
          <w:b/>
          <w:bCs/>
          <w:shd w:val="clear" w:color="auto" w:fill="FFFFFF"/>
        </w:rPr>
        <w:t>The Portfolio Committee is concerned</w:t>
      </w:r>
      <w:r w:rsidR="00004525" w:rsidRPr="009D3B75">
        <w:rPr>
          <w:rFonts w:ascii="Arial" w:hAnsi="Arial" w:cs="Arial"/>
          <w:b/>
          <w:bCs/>
          <w:shd w:val="clear" w:color="auto" w:fill="FFFFFF"/>
        </w:rPr>
        <w:t xml:space="preserve"> that the Department of Infrastructure Development does not adhere to procurement plans evident in insufficient funds on purchase orders</w:t>
      </w:r>
      <w:r w:rsidR="00DD61A2" w:rsidRPr="009D3B75">
        <w:rPr>
          <w:rFonts w:ascii="Arial" w:hAnsi="Arial" w:cs="Arial"/>
          <w:b/>
          <w:bCs/>
          <w:shd w:val="clear" w:color="auto" w:fill="FFFFFF"/>
        </w:rPr>
        <w:t xml:space="preserve">. </w:t>
      </w:r>
      <w:r w:rsidR="00DD61A2" w:rsidRPr="009D3B75">
        <w:rPr>
          <w:rFonts w:ascii="Arial" w:hAnsi="Arial" w:cs="Arial"/>
          <w:shd w:val="clear" w:color="auto" w:fill="FFFFFF"/>
        </w:rPr>
        <w:t xml:space="preserve">While the Department of Community Safety cited </w:t>
      </w:r>
      <w:r w:rsidR="00E555E0" w:rsidRPr="009D3B75">
        <w:rPr>
          <w:rFonts w:ascii="Arial" w:hAnsi="Arial" w:cs="Arial"/>
          <w:shd w:val="clear" w:color="auto" w:fill="FFFFFF"/>
        </w:rPr>
        <w:t>failure by end-users to confirm deliveries. Although the Department of Social Development performed better relative to other departments, the Portfolio Committee urges the Department to be resolute on the implementation of consequence management.</w:t>
      </w:r>
      <w:r w:rsidR="002215A5" w:rsidRPr="009D3B75">
        <w:rPr>
          <w:rFonts w:ascii="Arial" w:hAnsi="Arial" w:cs="Arial"/>
          <w:shd w:val="clear" w:color="auto" w:fill="FFFFFF"/>
        </w:rPr>
        <w:t xml:space="preserve"> </w:t>
      </w:r>
    </w:p>
    <w:p w14:paraId="02EA5EA4" w14:textId="743D6735" w:rsidR="00527889" w:rsidRPr="009D3B75" w:rsidRDefault="00527889" w:rsidP="009D3B75">
      <w:pPr>
        <w:tabs>
          <w:tab w:val="num" w:pos="720"/>
        </w:tabs>
        <w:spacing w:after="0"/>
        <w:jc w:val="both"/>
        <w:rPr>
          <w:rFonts w:ascii="Arial" w:hAnsi="Arial" w:cs="Arial"/>
          <w:shd w:val="clear" w:color="auto" w:fill="FFFFFF"/>
        </w:rPr>
      </w:pPr>
    </w:p>
    <w:p w14:paraId="4C3CDB78" w14:textId="553D2ACB" w:rsidR="007F76D9" w:rsidRPr="009D3B75" w:rsidRDefault="009D3B75" w:rsidP="009D3B75">
      <w:pPr>
        <w:spacing w:after="0"/>
        <w:jc w:val="both"/>
        <w:rPr>
          <w:rFonts w:ascii="Arial" w:hAnsi="Arial" w:cs="Arial"/>
          <w:shd w:val="clear" w:color="auto" w:fill="FFFFFF"/>
        </w:rPr>
      </w:pPr>
      <w:r w:rsidRPr="009D3B75">
        <w:rPr>
          <w:rFonts w:ascii="Arial" w:hAnsi="Arial" w:cs="Arial"/>
          <w:shd w:val="clear" w:color="auto" w:fill="FFFFFF"/>
        </w:rPr>
        <w:t>Regarding</w:t>
      </w:r>
      <w:r w:rsidR="007F76D9" w:rsidRPr="009D3B75">
        <w:rPr>
          <w:rFonts w:ascii="Arial" w:hAnsi="Arial" w:cs="Arial"/>
          <w:shd w:val="clear" w:color="auto" w:fill="FFFFFF"/>
        </w:rPr>
        <w:t xml:space="preserve"> whether Departments have the requisite Supply Chain Management capacity to ensure compliance with government’s 30-day payment to service providers. </w:t>
      </w:r>
      <w:r w:rsidR="00F4117F" w:rsidRPr="009D3B75">
        <w:rPr>
          <w:rFonts w:ascii="Arial" w:hAnsi="Arial" w:cs="Arial"/>
          <w:shd w:val="clear" w:color="auto" w:fill="FFFFFF"/>
        </w:rPr>
        <w:t>The Department of Community Safety indicated that SCM has no impact on compliance to the 30-day payment requirement, as the department was able to pay 100% of service providers in the past with the current capacity.</w:t>
      </w:r>
      <w:r w:rsidR="00800416" w:rsidRPr="009D3B75">
        <w:rPr>
          <w:rFonts w:ascii="Arial" w:hAnsi="Arial" w:cs="Arial"/>
          <w:shd w:val="clear" w:color="auto" w:fill="FFFFFF"/>
        </w:rPr>
        <w:t xml:space="preserve"> </w:t>
      </w:r>
      <w:r w:rsidR="002215A5" w:rsidRPr="009D3B75">
        <w:rPr>
          <w:rFonts w:ascii="Arial" w:hAnsi="Arial" w:cs="Arial"/>
          <w:shd w:val="clear" w:color="auto" w:fill="FFFFFF"/>
        </w:rPr>
        <w:t xml:space="preserve">For the Department of Infrastructure Development excluding client departments, on average 90% of service provider payments were </w:t>
      </w:r>
      <w:proofErr w:type="gramStart"/>
      <w:r w:rsidR="002215A5" w:rsidRPr="009D3B75">
        <w:rPr>
          <w:rFonts w:ascii="Arial" w:hAnsi="Arial" w:cs="Arial"/>
          <w:shd w:val="clear" w:color="auto" w:fill="FFFFFF"/>
        </w:rPr>
        <w:t>effected</w:t>
      </w:r>
      <w:proofErr w:type="gramEnd"/>
      <w:r w:rsidR="002215A5" w:rsidRPr="009D3B75">
        <w:rPr>
          <w:rFonts w:ascii="Arial" w:hAnsi="Arial" w:cs="Arial"/>
          <w:shd w:val="clear" w:color="auto" w:fill="FFFFFF"/>
        </w:rPr>
        <w:t xml:space="preserve"> and the department is currently targeting 15 days payment. While the Department of Social Development explained that SCM only create</w:t>
      </w:r>
      <w:r w:rsidR="00AB1357" w:rsidRPr="009D3B75">
        <w:rPr>
          <w:rFonts w:ascii="Arial" w:hAnsi="Arial" w:cs="Arial"/>
          <w:shd w:val="clear" w:color="auto" w:fill="FFFFFF"/>
        </w:rPr>
        <w:t>s</w:t>
      </w:r>
      <w:r w:rsidR="002215A5" w:rsidRPr="009D3B75">
        <w:rPr>
          <w:rFonts w:ascii="Arial" w:hAnsi="Arial" w:cs="Arial"/>
          <w:shd w:val="clear" w:color="auto" w:fill="FFFFFF"/>
        </w:rPr>
        <w:t xml:space="preserve"> purchase orders </w:t>
      </w:r>
      <w:r w:rsidR="00AB1357" w:rsidRPr="00AB1357">
        <w:rPr>
          <w:rFonts w:ascii="Arial" w:hAnsi="Arial" w:cs="Arial"/>
          <w:shd w:val="clear" w:color="auto" w:fill="FFFFFF"/>
          <w:lang w:val="en-US"/>
        </w:rPr>
        <w:t>at the request of the departmental end</w:t>
      </w:r>
      <w:r w:rsidR="00AB1357" w:rsidRPr="009D3B75">
        <w:rPr>
          <w:rFonts w:ascii="Arial" w:hAnsi="Arial" w:cs="Arial"/>
          <w:shd w:val="clear" w:color="auto" w:fill="FFFFFF"/>
          <w:lang w:val="en-US"/>
        </w:rPr>
        <w:t>-users in</w:t>
      </w:r>
      <w:r w:rsidR="00AB1357" w:rsidRPr="00AB1357">
        <w:rPr>
          <w:rFonts w:ascii="Arial" w:hAnsi="Arial" w:cs="Arial"/>
          <w:shd w:val="clear" w:color="auto" w:fill="FFFFFF"/>
          <w:lang w:val="en-US"/>
        </w:rPr>
        <w:t xml:space="preserve"> the payment of suppliers value chain</w:t>
      </w:r>
      <w:r w:rsidR="00AB1357" w:rsidRPr="009D3B75">
        <w:rPr>
          <w:rFonts w:ascii="Arial" w:hAnsi="Arial" w:cs="Arial"/>
          <w:shd w:val="clear" w:color="auto" w:fill="FFFFFF"/>
          <w:lang w:val="en-US"/>
        </w:rPr>
        <w:t xml:space="preserve">, on the contrary the financial directorate posts the departmental payments that meets the three way matching, that is, </w:t>
      </w:r>
      <w:r w:rsidR="00AB1357" w:rsidRPr="00AB1357">
        <w:rPr>
          <w:rFonts w:ascii="Arial" w:hAnsi="Arial" w:cs="Arial"/>
          <w:shd w:val="clear" w:color="auto" w:fill="FFFFFF"/>
        </w:rPr>
        <w:t>purchase order, Electronically submitted invoice and the completed goods received voucher by the end</w:t>
      </w:r>
      <w:r w:rsidR="00AB1357" w:rsidRPr="009D3B75">
        <w:rPr>
          <w:rFonts w:ascii="Arial" w:hAnsi="Arial" w:cs="Arial"/>
          <w:shd w:val="clear" w:color="auto" w:fill="FFFFFF"/>
        </w:rPr>
        <w:t>-</w:t>
      </w:r>
      <w:r w:rsidR="00AB1357" w:rsidRPr="00AB1357">
        <w:rPr>
          <w:rFonts w:ascii="Arial" w:hAnsi="Arial" w:cs="Arial"/>
          <w:shd w:val="clear" w:color="auto" w:fill="FFFFFF"/>
        </w:rPr>
        <w:t>user.</w:t>
      </w:r>
      <w:r w:rsidR="00AB1357" w:rsidRPr="009D3B75">
        <w:rPr>
          <w:rFonts w:ascii="Arial" w:hAnsi="Arial" w:cs="Arial"/>
          <w:shd w:val="clear" w:color="auto" w:fill="FFFFFF"/>
        </w:rPr>
        <w:t xml:space="preserve"> Finally, the Department of Health indicated that every </w:t>
      </w:r>
      <w:r w:rsidR="00AB1357" w:rsidRPr="009D3B75">
        <w:rPr>
          <w:rFonts w:ascii="Arial" w:hAnsi="Arial" w:cs="Arial"/>
          <w:shd w:val="clear" w:color="auto" w:fill="FFFFFF"/>
          <w:lang w:val="en-GB"/>
        </w:rPr>
        <w:t xml:space="preserve">health institution has a transit unit staffed with competent SCM officials responsible for receiving goods from suppliers and for </w:t>
      </w:r>
      <w:r w:rsidR="00AB1357" w:rsidRPr="009D3B75">
        <w:rPr>
          <w:rFonts w:ascii="Arial" w:hAnsi="Arial" w:cs="Arial"/>
          <w:shd w:val="clear" w:color="auto" w:fill="FFFFFF"/>
          <w:lang w:val="en-GB"/>
        </w:rPr>
        <w:lastRenderedPageBreak/>
        <w:t xml:space="preserve">completing the RLS02. </w:t>
      </w:r>
      <w:r w:rsidR="00AB1357" w:rsidRPr="009D3B75">
        <w:rPr>
          <w:rFonts w:ascii="Arial" w:hAnsi="Arial" w:cs="Arial"/>
          <w:b/>
          <w:bCs/>
          <w:shd w:val="clear" w:color="auto" w:fill="FFFFFF"/>
        </w:rPr>
        <w:t>The Portfolio Committee is concerned that the Department of Health recorded the least performance in respect of compliance to government’s 30-day payment to service providers despite it</w:t>
      </w:r>
      <w:r w:rsidR="000F326E">
        <w:rPr>
          <w:rFonts w:ascii="Arial" w:hAnsi="Arial" w:cs="Arial"/>
          <w:b/>
          <w:bCs/>
          <w:shd w:val="clear" w:color="auto" w:fill="FFFFFF"/>
        </w:rPr>
        <w:t>s</w:t>
      </w:r>
      <w:r w:rsidR="00AB1357" w:rsidRPr="009D3B75">
        <w:rPr>
          <w:rFonts w:ascii="Arial" w:hAnsi="Arial" w:cs="Arial"/>
          <w:b/>
          <w:bCs/>
          <w:shd w:val="clear" w:color="auto" w:fill="FFFFFF"/>
        </w:rPr>
        <w:t xml:space="preserve"> claims that it is staffed with competent SCM officials. </w:t>
      </w:r>
    </w:p>
    <w:p w14:paraId="37D02336" w14:textId="77777777" w:rsidR="007F76D9" w:rsidRPr="009D3B75" w:rsidRDefault="007F76D9" w:rsidP="009D3B75">
      <w:pPr>
        <w:spacing w:after="0"/>
        <w:jc w:val="both"/>
        <w:rPr>
          <w:rFonts w:ascii="Arial" w:hAnsi="Arial" w:cs="Arial"/>
          <w:shd w:val="clear" w:color="auto" w:fill="FFFFFF"/>
        </w:rPr>
      </w:pPr>
    </w:p>
    <w:p w14:paraId="4F227BA5" w14:textId="54932556" w:rsidR="00FF2B08" w:rsidRPr="009D3B75" w:rsidRDefault="00FF2B08" w:rsidP="009D3B75">
      <w:pPr>
        <w:spacing w:after="0"/>
        <w:jc w:val="both"/>
        <w:rPr>
          <w:rFonts w:ascii="Arial" w:hAnsi="Arial" w:cs="Arial"/>
        </w:rPr>
      </w:pPr>
      <w:r w:rsidRPr="009D3B75">
        <w:rPr>
          <w:rFonts w:ascii="Arial" w:hAnsi="Arial" w:cs="Arial"/>
          <w:shd w:val="clear" w:color="auto" w:fill="FFFFFF"/>
        </w:rPr>
        <w:t xml:space="preserve">Related to whether the </w:t>
      </w:r>
      <w:r w:rsidRPr="009D3B75">
        <w:rPr>
          <w:rFonts w:ascii="Arial" w:hAnsi="Arial" w:cs="Arial"/>
          <w:shd w:val="clear" w:color="auto" w:fill="FFFFFF"/>
          <w:lang w:val="en-GB"/>
        </w:rPr>
        <w:t xml:space="preserve">Department have SCM capacity to ensure compliance with government’s 30-day payment to service providers, is </w:t>
      </w:r>
      <w:r w:rsidR="00556267" w:rsidRPr="009D3B75">
        <w:rPr>
          <w:rFonts w:ascii="Arial" w:hAnsi="Arial" w:cs="Arial"/>
          <w:shd w:val="clear" w:color="auto" w:fill="FFFFFF"/>
          <w:lang w:val="en-GB"/>
        </w:rPr>
        <w:t xml:space="preserve">the </w:t>
      </w:r>
      <w:r w:rsidRPr="009D3B75">
        <w:rPr>
          <w:rFonts w:ascii="Arial" w:hAnsi="Arial" w:cs="Arial"/>
          <w:shd w:val="clear" w:color="auto" w:fill="FFFFFF"/>
          <w:lang w:val="en-GB"/>
        </w:rPr>
        <w:t xml:space="preserve">extent </w:t>
      </w:r>
      <w:r w:rsidR="00556267" w:rsidRPr="009D3B75">
        <w:rPr>
          <w:rFonts w:ascii="Arial" w:hAnsi="Arial" w:cs="Arial"/>
          <w:shd w:val="clear" w:color="auto" w:fill="FFFFFF"/>
          <w:lang w:val="en-GB"/>
        </w:rPr>
        <w:t xml:space="preserve">to which </w:t>
      </w:r>
      <w:r w:rsidRPr="009D3B75">
        <w:rPr>
          <w:rFonts w:ascii="Arial" w:hAnsi="Arial" w:cs="Arial"/>
          <w:shd w:val="clear" w:color="auto" w:fill="FFFFFF"/>
          <w:lang w:val="en-GB"/>
        </w:rPr>
        <w:t xml:space="preserve">SCM processes set and prepared to ensure same. </w:t>
      </w:r>
      <w:r w:rsidRPr="009D3B75">
        <w:rPr>
          <w:rFonts w:ascii="Arial" w:hAnsi="Arial" w:cs="Arial"/>
          <w:b/>
          <w:bCs/>
          <w:shd w:val="clear" w:color="auto" w:fill="FFFFFF"/>
          <w:lang w:val="en-GB"/>
        </w:rPr>
        <w:t>The Portfolio Committee noted with appreciation that the Department of Community Safety has adequate internal control processes/systems to ensure compliance with the 30-day payment requirement</w:t>
      </w:r>
      <w:r w:rsidRPr="009D3B75">
        <w:rPr>
          <w:rFonts w:ascii="Arial" w:hAnsi="Arial" w:cs="Arial"/>
          <w:shd w:val="clear" w:color="auto" w:fill="FFFFFF"/>
          <w:lang w:val="en-GB"/>
        </w:rPr>
        <w:t xml:space="preserve">. </w:t>
      </w:r>
      <w:r w:rsidRPr="009D3B75">
        <w:rPr>
          <w:rFonts w:ascii="Arial" w:hAnsi="Arial" w:cs="Arial"/>
          <w:shd w:val="clear" w:color="auto" w:fill="FFFFFF"/>
        </w:rPr>
        <w:t xml:space="preserve">In the same vein, the Department of Health reported that </w:t>
      </w:r>
      <w:r w:rsidRPr="009D3B75">
        <w:rPr>
          <w:rFonts w:ascii="Arial" w:hAnsi="Arial" w:cs="Arial"/>
          <w:shd w:val="clear" w:color="auto" w:fill="FFFFFF"/>
          <w:lang w:val="en-GB"/>
        </w:rPr>
        <w:t>SCM officials verify the receipt of goods against the purchase order and delivery note</w:t>
      </w:r>
      <w:r w:rsidR="00B92DFD" w:rsidRPr="009D3B75">
        <w:rPr>
          <w:rFonts w:ascii="Arial" w:hAnsi="Arial" w:cs="Arial"/>
          <w:shd w:val="clear" w:color="auto" w:fill="FFFFFF"/>
          <w:lang w:val="en-GB"/>
        </w:rPr>
        <w:t xml:space="preserve">, they complete the RLS02 and capture the GRV on SAP within 48 hours to ensure a 3-way match between purchase order, GRV and invoice. On the other hand, upon recommendation of the </w:t>
      </w:r>
      <w:r w:rsidR="00B92DFD" w:rsidRPr="009D3B75">
        <w:rPr>
          <w:rFonts w:ascii="Arial" w:hAnsi="Arial" w:cs="Arial"/>
          <w:shd w:val="clear" w:color="auto" w:fill="FFFFFF"/>
          <w:lang w:val="en-US"/>
        </w:rPr>
        <w:t>successful bidder, an appointment letter is issued by the Department of Infrastructure Development or the client department, a purchase order is created by either Department of Infrastructure Development or the client department</w:t>
      </w:r>
      <w:r w:rsidR="00B16395" w:rsidRPr="009D3B75">
        <w:rPr>
          <w:rFonts w:ascii="Arial" w:hAnsi="Arial" w:cs="Arial"/>
          <w:shd w:val="clear" w:color="auto" w:fill="FFFFFF"/>
          <w:lang w:val="en-US"/>
        </w:rPr>
        <w:t xml:space="preserve">. To avoid instances where client departments did not create purchase orders, Department of Infrastructure Development undertook to create purchase orders for all service providers to improve the turnaround time and achieve 100% target. </w:t>
      </w:r>
      <w:r w:rsidR="00B16395" w:rsidRPr="009D3B75">
        <w:rPr>
          <w:rFonts w:ascii="Arial" w:hAnsi="Arial" w:cs="Arial"/>
          <w:b/>
          <w:bCs/>
          <w:shd w:val="clear" w:color="auto" w:fill="FFFFFF"/>
          <w:lang w:val="en-GB"/>
        </w:rPr>
        <w:t xml:space="preserve">The Portfolio Committee welcomed the </w:t>
      </w:r>
      <w:r w:rsidR="004078EE" w:rsidRPr="009D3B75">
        <w:rPr>
          <w:rFonts w:ascii="Arial" w:hAnsi="Arial" w:cs="Arial"/>
          <w:b/>
          <w:bCs/>
          <w:shd w:val="clear" w:color="auto" w:fill="FFFFFF"/>
          <w:lang w:val="en-GB"/>
        </w:rPr>
        <w:t xml:space="preserve">updating of processes within the </w:t>
      </w:r>
      <w:r w:rsidR="00B16395" w:rsidRPr="009D3B75">
        <w:rPr>
          <w:rFonts w:ascii="Arial" w:hAnsi="Arial" w:cs="Arial"/>
          <w:b/>
          <w:bCs/>
          <w:shd w:val="clear" w:color="auto" w:fill="FFFFFF"/>
          <w:lang w:val="en-GB"/>
        </w:rPr>
        <w:t>Department of Social Development</w:t>
      </w:r>
      <w:r w:rsidR="004078EE" w:rsidRPr="009D3B75">
        <w:rPr>
          <w:rFonts w:ascii="Arial" w:hAnsi="Arial" w:cs="Arial"/>
          <w:b/>
          <w:bCs/>
          <w:shd w:val="clear" w:color="auto" w:fill="FFFFFF"/>
          <w:lang w:val="en-GB"/>
        </w:rPr>
        <w:t xml:space="preserve"> </w:t>
      </w:r>
      <w:r w:rsidR="004078EE" w:rsidRPr="009D3B75">
        <w:rPr>
          <w:rFonts w:ascii="Arial" w:hAnsi="Arial" w:cs="Arial"/>
          <w:b/>
          <w:bCs/>
          <w:shd w:val="clear" w:color="auto" w:fill="FFFFFF"/>
          <w:lang w:val="en-US"/>
        </w:rPr>
        <w:t>to ensure that all service providers are paid within 30 days.</w:t>
      </w:r>
    </w:p>
    <w:p w14:paraId="629223C9" w14:textId="77777777" w:rsidR="00FF2B08" w:rsidRPr="009D3B75" w:rsidRDefault="00FF2B08" w:rsidP="009D3B75">
      <w:pPr>
        <w:spacing w:after="0"/>
        <w:jc w:val="both"/>
        <w:rPr>
          <w:rFonts w:ascii="Arial" w:hAnsi="Arial" w:cs="Arial"/>
        </w:rPr>
      </w:pPr>
    </w:p>
    <w:p w14:paraId="73B834DB" w14:textId="5550B463" w:rsidR="004078EE" w:rsidRPr="009D3B75" w:rsidRDefault="004078EE" w:rsidP="009D3B75">
      <w:pPr>
        <w:spacing w:after="0"/>
        <w:jc w:val="both"/>
        <w:rPr>
          <w:rFonts w:ascii="Arial" w:hAnsi="Arial" w:cs="Arial"/>
          <w:b/>
          <w:bCs/>
          <w:lang w:val="en-GB"/>
        </w:rPr>
      </w:pPr>
      <w:r w:rsidRPr="009D3B75">
        <w:rPr>
          <w:rFonts w:ascii="Arial" w:hAnsi="Arial" w:cs="Arial"/>
        </w:rPr>
        <w:t xml:space="preserve">In the endeavour to ensure that </w:t>
      </w:r>
      <w:r w:rsidRPr="009D3B75">
        <w:rPr>
          <w:rFonts w:ascii="Arial" w:hAnsi="Arial" w:cs="Arial"/>
          <w:lang w:val="en-GB"/>
        </w:rPr>
        <w:t xml:space="preserve">systems in place to follow up on incidents on non-compliance with government’s 30-day payment to service providers. </w:t>
      </w:r>
      <w:r w:rsidR="003C0003" w:rsidRPr="009D3B75">
        <w:rPr>
          <w:rFonts w:ascii="Arial" w:hAnsi="Arial" w:cs="Arial"/>
          <w:lang w:val="en-GB"/>
        </w:rPr>
        <w:t>The Department of Infrastructure Development outlined that their strategy to follow up on non-compliance involves, the creation of a dedicated team to deal with exceptions, the establishment of a war room to deal with issues of non-compliance</w:t>
      </w:r>
      <w:r w:rsidR="00C335FD" w:rsidRPr="009D3B75">
        <w:rPr>
          <w:rFonts w:ascii="Arial" w:hAnsi="Arial" w:cs="Arial"/>
          <w:lang w:val="en-GB"/>
        </w:rPr>
        <w:t>, regular meetings with end-users and providing early warning systems to identify longstanding invoices. Equally, th</w:t>
      </w:r>
      <w:r w:rsidRPr="009D3B75">
        <w:rPr>
          <w:rFonts w:ascii="Arial" w:hAnsi="Arial" w:cs="Arial"/>
          <w:lang w:val="en-GB"/>
        </w:rPr>
        <w:t>e Department of Community Safety confirmed that after payments a report was retrieved which identifies areas of non-compliance, the CFO informs the HOD of units that contributed to such, and consequence management letters are sent to offenders.</w:t>
      </w:r>
      <w:r w:rsidR="00C335FD" w:rsidRPr="009D3B75">
        <w:rPr>
          <w:rFonts w:ascii="Arial" w:hAnsi="Arial" w:cs="Arial"/>
          <w:lang w:val="en-GB"/>
        </w:rPr>
        <w:t xml:space="preserve"> At the same time, The Department of Social Development indicated that the Financial Accounting Directorate downloads invoice tracking register daily to manage the turn-around number of days. </w:t>
      </w:r>
      <w:r w:rsidRPr="009D3B75">
        <w:rPr>
          <w:rFonts w:ascii="Arial" w:hAnsi="Arial" w:cs="Arial"/>
          <w:b/>
          <w:bCs/>
          <w:lang w:val="en-GB"/>
        </w:rPr>
        <w:t>The Portfolio Committee commended the Department</w:t>
      </w:r>
      <w:r w:rsidR="00590294">
        <w:rPr>
          <w:rFonts w:ascii="Arial" w:hAnsi="Arial" w:cs="Arial"/>
          <w:b/>
          <w:bCs/>
          <w:lang w:val="en-GB"/>
        </w:rPr>
        <w:t>’</w:t>
      </w:r>
      <w:r w:rsidR="00C335FD" w:rsidRPr="009D3B75">
        <w:rPr>
          <w:rFonts w:ascii="Arial" w:hAnsi="Arial" w:cs="Arial"/>
          <w:b/>
          <w:bCs/>
          <w:lang w:val="en-GB"/>
        </w:rPr>
        <w:t>s efforts in putting systems in place to follow-up on non-compliance</w:t>
      </w:r>
      <w:r w:rsidR="004710AC" w:rsidRPr="009D3B75">
        <w:rPr>
          <w:rFonts w:ascii="Arial" w:hAnsi="Arial" w:cs="Arial"/>
          <w:b/>
          <w:bCs/>
          <w:lang w:val="en-GB"/>
        </w:rPr>
        <w:t>, it is however concerned about the implementation of various systems by respective departments to attain the objective of following-up on non-compliance.</w:t>
      </w:r>
    </w:p>
    <w:p w14:paraId="3525E4C7" w14:textId="77777777" w:rsidR="004710AC" w:rsidRPr="009D3B75" w:rsidRDefault="004710AC" w:rsidP="009D3B75">
      <w:pPr>
        <w:spacing w:after="0"/>
        <w:jc w:val="both"/>
        <w:rPr>
          <w:rFonts w:ascii="Arial" w:hAnsi="Arial" w:cs="Arial"/>
        </w:rPr>
      </w:pPr>
    </w:p>
    <w:p w14:paraId="249C6239" w14:textId="01FB294F" w:rsidR="00AE1253" w:rsidRPr="00AE1253" w:rsidRDefault="004710AC" w:rsidP="009D3B75">
      <w:pPr>
        <w:spacing w:after="0"/>
        <w:jc w:val="both"/>
        <w:rPr>
          <w:rFonts w:ascii="Arial" w:hAnsi="Arial" w:cs="Arial"/>
        </w:rPr>
      </w:pPr>
      <w:r w:rsidRPr="009D3B75">
        <w:rPr>
          <w:rFonts w:ascii="Arial" w:hAnsi="Arial" w:cs="Arial"/>
        </w:rPr>
        <w:t xml:space="preserve">Associated with the </w:t>
      </w:r>
      <w:r w:rsidR="0042138B" w:rsidRPr="009D3B75">
        <w:rPr>
          <w:rFonts w:ascii="Arial" w:hAnsi="Arial" w:cs="Arial"/>
        </w:rPr>
        <w:t xml:space="preserve">follow-up mechanisms on non-compliance is the degree to which departments instituted dispute resolution mechanisms to ensure compliance </w:t>
      </w:r>
      <w:r w:rsidR="0042138B" w:rsidRPr="009D3B75">
        <w:rPr>
          <w:rFonts w:ascii="Arial" w:hAnsi="Arial" w:cs="Arial"/>
          <w:lang w:val="en-GB"/>
        </w:rPr>
        <w:t>with government’s 30-day payment to service providers. To resolve disputes, the Department of Community Safety relies on paragraph 8.2.3 of the Treasury Regulations, which stipulates that, arrangements can be entered into with the supplier should there be a</w:t>
      </w:r>
      <w:r w:rsidR="00AE1253" w:rsidRPr="009D3B75">
        <w:rPr>
          <w:rFonts w:ascii="Arial" w:hAnsi="Arial" w:cs="Arial"/>
          <w:lang w:val="en-GB"/>
        </w:rPr>
        <w:t>ny</w:t>
      </w:r>
      <w:r w:rsidR="0042138B" w:rsidRPr="009D3B75">
        <w:rPr>
          <w:rFonts w:ascii="Arial" w:hAnsi="Arial" w:cs="Arial"/>
          <w:lang w:val="en-GB"/>
        </w:rPr>
        <w:t xml:space="preserve"> challenge with paying within 30 days.</w:t>
      </w:r>
      <w:r w:rsidR="00AE1253" w:rsidRPr="009D3B75">
        <w:rPr>
          <w:rFonts w:ascii="Arial" w:hAnsi="Arial" w:cs="Arial"/>
          <w:lang w:val="en-GB"/>
        </w:rPr>
        <w:t xml:space="preserve"> On the other hand, </w:t>
      </w:r>
      <w:r w:rsidR="00AE1253" w:rsidRPr="00AE1253">
        <w:rPr>
          <w:rFonts w:ascii="Arial" w:hAnsi="Arial" w:cs="Arial"/>
          <w:lang w:val="en-US"/>
        </w:rPr>
        <w:t>Department</w:t>
      </w:r>
      <w:r w:rsidR="00AE1253" w:rsidRPr="009D3B75">
        <w:rPr>
          <w:rFonts w:ascii="Arial" w:hAnsi="Arial" w:cs="Arial"/>
          <w:lang w:val="en-US"/>
        </w:rPr>
        <w:t xml:space="preserve"> of Social Development </w:t>
      </w:r>
      <w:r w:rsidR="00AE1253" w:rsidRPr="00AE1253">
        <w:rPr>
          <w:rFonts w:ascii="Arial" w:hAnsi="Arial" w:cs="Arial"/>
          <w:lang w:val="en-US"/>
        </w:rPr>
        <w:t>end</w:t>
      </w:r>
      <w:r w:rsidR="00AE1253" w:rsidRPr="009D3B75">
        <w:rPr>
          <w:rFonts w:ascii="Arial" w:hAnsi="Arial" w:cs="Arial"/>
          <w:lang w:val="en-US"/>
        </w:rPr>
        <w:t>-</w:t>
      </w:r>
      <w:r w:rsidR="00AE1253" w:rsidRPr="00AE1253">
        <w:rPr>
          <w:rFonts w:ascii="Arial" w:hAnsi="Arial" w:cs="Arial"/>
          <w:lang w:val="en-US"/>
        </w:rPr>
        <w:t xml:space="preserve">users </w:t>
      </w:r>
      <w:r w:rsidR="00AE1253" w:rsidRPr="009D3B75">
        <w:rPr>
          <w:rFonts w:ascii="Arial" w:hAnsi="Arial" w:cs="Arial"/>
          <w:lang w:val="en-US"/>
        </w:rPr>
        <w:t xml:space="preserve">are required to </w:t>
      </w:r>
      <w:r w:rsidR="00AE1253" w:rsidRPr="00AE1253">
        <w:rPr>
          <w:rFonts w:ascii="Arial" w:hAnsi="Arial" w:cs="Arial"/>
          <w:lang w:val="en-US"/>
        </w:rPr>
        <w:t>sign off the goods received vouchers as evidence that the department has received the goods and services they have ordered.</w:t>
      </w:r>
      <w:r w:rsidR="00AE1253" w:rsidRPr="009D3B75">
        <w:rPr>
          <w:rFonts w:ascii="Arial" w:hAnsi="Arial" w:cs="Arial"/>
          <w:lang w:val="en-US"/>
        </w:rPr>
        <w:t xml:space="preserve"> Consequently, the </w:t>
      </w:r>
      <w:r w:rsidR="00AE1253" w:rsidRPr="00AE1253">
        <w:rPr>
          <w:rFonts w:ascii="Arial" w:hAnsi="Arial" w:cs="Arial"/>
          <w:lang w:val="en-US"/>
        </w:rPr>
        <w:t>Standard Operating Procedure giving the end</w:t>
      </w:r>
      <w:r w:rsidR="00AE1253" w:rsidRPr="009D3B75">
        <w:rPr>
          <w:rFonts w:ascii="Arial" w:hAnsi="Arial" w:cs="Arial"/>
          <w:lang w:val="en-US"/>
        </w:rPr>
        <w:t>-</w:t>
      </w:r>
      <w:r w:rsidR="00AE1253" w:rsidRPr="00AE1253">
        <w:rPr>
          <w:rFonts w:ascii="Arial" w:hAnsi="Arial" w:cs="Arial"/>
          <w:lang w:val="en-US"/>
        </w:rPr>
        <w:t xml:space="preserve">users 48 hours to </w:t>
      </w:r>
      <w:r w:rsidR="00AE1253" w:rsidRPr="009D3B75">
        <w:rPr>
          <w:rFonts w:ascii="Arial" w:hAnsi="Arial" w:cs="Arial"/>
          <w:lang w:val="en-US"/>
        </w:rPr>
        <w:t>perform the 3-way match</w:t>
      </w:r>
      <w:r w:rsidR="00AE1253" w:rsidRPr="00AE1253">
        <w:rPr>
          <w:rFonts w:ascii="Arial" w:hAnsi="Arial" w:cs="Arial"/>
          <w:lang w:val="en-US"/>
        </w:rPr>
        <w:t xml:space="preserve"> </w:t>
      </w:r>
      <w:r w:rsidR="00AE1253" w:rsidRPr="009D3B75">
        <w:rPr>
          <w:rFonts w:ascii="Arial" w:hAnsi="Arial" w:cs="Arial"/>
          <w:lang w:val="en-US"/>
        </w:rPr>
        <w:t>would</w:t>
      </w:r>
      <w:r w:rsidR="00AE1253" w:rsidRPr="00AE1253">
        <w:rPr>
          <w:rFonts w:ascii="Arial" w:hAnsi="Arial" w:cs="Arial"/>
          <w:lang w:val="en-US"/>
        </w:rPr>
        <w:t xml:space="preserve"> lead to improved response and ensure that payments happen within 30 days.</w:t>
      </w:r>
      <w:r w:rsidR="00AE1253" w:rsidRPr="009D3B75">
        <w:rPr>
          <w:rFonts w:ascii="Arial" w:hAnsi="Arial" w:cs="Arial"/>
          <w:lang w:val="en-US"/>
        </w:rPr>
        <w:t xml:space="preserve"> </w:t>
      </w:r>
      <w:r w:rsidR="00AE1253" w:rsidRPr="009D3B75">
        <w:rPr>
          <w:rFonts w:ascii="Arial" w:hAnsi="Arial" w:cs="Arial"/>
          <w:lang w:val="en-GB"/>
        </w:rPr>
        <w:t xml:space="preserve">Moreover, the Department of Infrastructure Development requires that the GRV is endorsed by the end-user and the service provider as </w:t>
      </w:r>
      <w:r w:rsidR="00AE1253" w:rsidRPr="009D3B75">
        <w:rPr>
          <w:rFonts w:ascii="Arial" w:hAnsi="Arial" w:cs="Arial"/>
          <w:lang w:val="en-GB"/>
        </w:rPr>
        <w:lastRenderedPageBreak/>
        <w:t>evidence that both parties agree to the amount to be invoiced.</w:t>
      </w:r>
      <w:r w:rsidR="00AE1253" w:rsidRPr="009D3B75">
        <w:rPr>
          <w:rFonts w:ascii="Arial" w:hAnsi="Arial" w:cs="Arial"/>
          <w:b/>
          <w:bCs/>
          <w:lang w:val="en-GB"/>
        </w:rPr>
        <w:t xml:space="preserve"> Over and above, the Portfolio Committee applauded the department by elevating the issues of non-compliance with government’s 30-day payment to service providers to the MEC, by creating an e-mail that allows service providers to lodge disputes.</w:t>
      </w:r>
    </w:p>
    <w:p w14:paraId="3D5FA178" w14:textId="052762AE" w:rsidR="0042138B" w:rsidRPr="009D3B75" w:rsidRDefault="0042138B" w:rsidP="009D3B75">
      <w:pPr>
        <w:spacing w:after="0"/>
        <w:jc w:val="both"/>
        <w:rPr>
          <w:rFonts w:ascii="Arial" w:hAnsi="Arial" w:cs="Arial"/>
        </w:rPr>
      </w:pPr>
      <w:r w:rsidRPr="009D3B75">
        <w:rPr>
          <w:rFonts w:ascii="Arial" w:hAnsi="Arial" w:cs="Arial"/>
          <w:lang w:val="en-GB"/>
        </w:rPr>
        <w:t xml:space="preserve"> </w:t>
      </w:r>
    </w:p>
    <w:p w14:paraId="38158E6D" w14:textId="534685AA" w:rsidR="00A92660" w:rsidRPr="009D3B75" w:rsidRDefault="00AE1253" w:rsidP="009D3B75">
      <w:pPr>
        <w:spacing w:after="0"/>
        <w:jc w:val="both"/>
        <w:rPr>
          <w:rFonts w:ascii="Arial" w:hAnsi="Arial" w:cs="Arial"/>
          <w:lang w:val="en-US"/>
        </w:rPr>
      </w:pPr>
      <w:r w:rsidRPr="009D3B75">
        <w:rPr>
          <w:rFonts w:ascii="Arial" w:hAnsi="Arial" w:cs="Arial"/>
        </w:rPr>
        <w:t xml:space="preserve">To deter officials from causing non-compliance with government’s 30-day payment to service provider, some departments invariably </w:t>
      </w:r>
      <w:r w:rsidR="004710AC" w:rsidRPr="009D3B75">
        <w:rPr>
          <w:rFonts w:ascii="Arial" w:hAnsi="Arial" w:cs="Arial"/>
        </w:rPr>
        <w:t>invoke</w:t>
      </w:r>
      <w:r w:rsidR="00BD2B8C" w:rsidRPr="009D3B75">
        <w:rPr>
          <w:rFonts w:ascii="Arial" w:hAnsi="Arial" w:cs="Arial"/>
        </w:rPr>
        <w:t>d</w:t>
      </w:r>
      <w:r w:rsidR="004710AC" w:rsidRPr="009D3B75">
        <w:rPr>
          <w:rFonts w:ascii="Arial" w:hAnsi="Arial" w:cs="Arial"/>
        </w:rPr>
        <w:t xml:space="preserve"> consequence management in instances where departmental officials are the cause of non-compliance.</w:t>
      </w:r>
      <w:r w:rsidR="00BD2B8C" w:rsidRPr="009D3B75">
        <w:rPr>
          <w:rFonts w:ascii="Arial" w:hAnsi="Arial" w:cs="Arial"/>
        </w:rPr>
        <w:t xml:space="preserve"> The Departments of Infrastructure, Social Development and Community Development are resolute in implementing consequence management, as there are clear-cut procedures to institute same. To this extent, the Department of Infrastructure Development has commissioned </w:t>
      </w:r>
      <w:r w:rsidR="00BD2B8C" w:rsidRPr="009D3B75">
        <w:rPr>
          <w:rFonts w:ascii="Arial" w:hAnsi="Arial" w:cs="Arial"/>
          <w:lang w:val="en-US"/>
        </w:rPr>
        <w:t xml:space="preserve">an Independent Service Provider to investigate non-compliance with SCM Policies and financial accruals, and failure to process invoices within the prescribed 30 Days Period. The report emanating from the investigation has since been forwarded to Labour Relations for Consequence Management, as per Recommendations contained in the report. </w:t>
      </w:r>
    </w:p>
    <w:p w14:paraId="6D23CADD" w14:textId="77777777" w:rsidR="00A92660" w:rsidRPr="009D3B75" w:rsidRDefault="00A92660" w:rsidP="009D3B75">
      <w:pPr>
        <w:spacing w:after="0"/>
        <w:jc w:val="both"/>
        <w:rPr>
          <w:rFonts w:ascii="Arial" w:hAnsi="Arial" w:cs="Arial"/>
          <w:lang w:val="en-US"/>
        </w:rPr>
      </w:pPr>
    </w:p>
    <w:p w14:paraId="6BE11B4E" w14:textId="65754604" w:rsidR="004710AC" w:rsidRPr="009D3B75" w:rsidRDefault="003711A3" w:rsidP="009D3B75">
      <w:pPr>
        <w:spacing w:after="0"/>
        <w:jc w:val="both"/>
        <w:rPr>
          <w:rFonts w:ascii="Arial" w:hAnsi="Arial" w:cs="Arial"/>
          <w:b/>
          <w:bCs/>
          <w:lang w:val="en-US"/>
        </w:rPr>
      </w:pPr>
      <w:r w:rsidRPr="009D3B75">
        <w:rPr>
          <w:rFonts w:ascii="Arial" w:hAnsi="Arial" w:cs="Arial"/>
          <w:lang w:val="en-US"/>
        </w:rPr>
        <w:t xml:space="preserve">While the HOD for the Department of Community Safety issued a directive to </w:t>
      </w:r>
      <w:r w:rsidRPr="003711A3">
        <w:rPr>
          <w:rFonts w:ascii="Arial" w:hAnsi="Arial" w:cs="Arial"/>
        </w:rPr>
        <w:t xml:space="preserve">all the units that the goods received note should be sent to the CFO’s office within 48hrs of goods received </w:t>
      </w:r>
      <w:r w:rsidRPr="009D3B75">
        <w:rPr>
          <w:rFonts w:ascii="Arial" w:hAnsi="Arial" w:cs="Arial"/>
        </w:rPr>
        <w:t>and</w:t>
      </w:r>
      <w:r w:rsidRPr="003711A3">
        <w:rPr>
          <w:rFonts w:ascii="Arial" w:hAnsi="Arial" w:cs="Arial"/>
        </w:rPr>
        <w:t xml:space="preserve"> services being rendered.</w:t>
      </w:r>
      <w:r w:rsidRPr="009D3B75">
        <w:rPr>
          <w:rFonts w:ascii="Arial" w:hAnsi="Arial" w:cs="Arial"/>
        </w:rPr>
        <w:t xml:space="preserve"> </w:t>
      </w:r>
      <w:r w:rsidRPr="009D3B75">
        <w:rPr>
          <w:rFonts w:ascii="Arial" w:hAnsi="Arial" w:cs="Arial"/>
          <w:b/>
          <w:bCs/>
        </w:rPr>
        <w:t xml:space="preserve">The Portfolio Committee noted with appreciation that failure to </w:t>
      </w:r>
      <w:r w:rsidRPr="009D3B75">
        <w:rPr>
          <w:rFonts w:ascii="Arial" w:hAnsi="Arial" w:cs="Arial"/>
          <w:b/>
          <w:bCs/>
          <w:lang w:val="en-US"/>
        </w:rPr>
        <w:t xml:space="preserve">comply with this </w:t>
      </w:r>
      <w:r w:rsidR="00004525" w:rsidRPr="009D3B75">
        <w:rPr>
          <w:rFonts w:ascii="Arial" w:hAnsi="Arial" w:cs="Arial"/>
          <w:b/>
          <w:bCs/>
          <w:lang w:val="en-US"/>
        </w:rPr>
        <w:t>d</w:t>
      </w:r>
      <w:r w:rsidRPr="009D3B75">
        <w:rPr>
          <w:rFonts w:ascii="Arial" w:hAnsi="Arial" w:cs="Arial"/>
          <w:b/>
          <w:bCs/>
          <w:lang w:val="en-US"/>
        </w:rPr>
        <w:t xml:space="preserve">irective will result in a </w:t>
      </w:r>
      <w:r w:rsidR="00004525" w:rsidRPr="009D3B75">
        <w:rPr>
          <w:rFonts w:ascii="Arial" w:hAnsi="Arial" w:cs="Arial"/>
          <w:b/>
          <w:bCs/>
          <w:lang w:val="en-US"/>
        </w:rPr>
        <w:t>f</w:t>
      </w:r>
      <w:r w:rsidRPr="009D3B75">
        <w:rPr>
          <w:rFonts w:ascii="Arial" w:hAnsi="Arial" w:cs="Arial"/>
          <w:b/>
          <w:bCs/>
          <w:lang w:val="en-US"/>
        </w:rPr>
        <w:t xml:space="preserve">inal </w:t>
      </w:r>
      <w:r w:rsidR="00004525" w:rsidRPr="009D3B75">
        <w:rPr>
          <w:rFonts w:ascii="Arial" w:hAnsi="Arial" w:cs="Arial"/>
          <w:b/>
          <w:bCs/>
          <w:lang w:val="en-US"/>
        </w:rPr>
        <w:t>w</w:t>
      </w:r>
      <w:r w:rsidRPr="009D3B75">
        <w:rPr>
          <w:rFonts w:ascii="Arial" w:hAnsi="Arial" w:cs="Arial"/>
          <w:b/>
          <w:bCs/>
          <w:lang w:val="en-US"/>
        </w:rPr>
        <w:t xml:space="preserve">ritten </w:t>
      </w:r>
      <w:r w:rsidR="00004525" w:rsidRPr="009D3B75">
        <w:rPr>
          <w:rFonts w:ascii="Arial" w:hAnsi="Arial" w:cs="Arial"/>
          <w:b/>
          <w:bCs/>
          <w:lang w:val="en-US"/>
        </w:rPr>
        <w:t>w</w:t>
      </w:r>
      <w:r w:rsidRPr="009D3B75">
        <w:rPr>
          <w:rFonts w:ascii="Arial" w:hAnsi="Arial" w:cs="Arial"/>
          <w:b/>
          <w:bCs/>
          <w:lang w:val="en-US"/>
        </w:rPr>
        <w:t xml:space="preserve">arning issued to an official who directly causes the non-compliance. </w:t>
      </w:r>
      <w:r w:rsidRPr="009D3B75">
        <w:rPr>
          <w:rFonts w:ascii="Arial" w:hAnsi="Arial" w:cs="Arial"/>
          <w:lang w:val="en-US"/>
        </w:rPr>
        <w:t xml:space="preserve">Although the Department of Social Development did not </w:t>
      </w:r>
      <w:r w:rsidR="00A92660" w:rsidRPr="009D3B75">
        <w:rPr>
          <w:rFonts w:ascii="Arial" w:hAnsi="Arial" w:cs="Arial"/>
          <w:lang w:val="en-US"/>
        </w:rPr>
        <w:t>invoke</w:t>
      </w:r>
      <w:r w:rsidRPr="009D3B75">
        <w:rPr>
          <w:rFonts w:ascii="Arial" w:hAnsi="Arial" w:cs="Arial"/>
          <w:lang w:val="en-US"/>
        </w:rPr>
        <w:t xml:space="preserve"> any consequence management to officials who caused non-compliance in the 2021/22 financial year</w:t>
      </w:r>
      <w:r w:rsidR="00A92660" w:rsidRPr="009D3B75">
        <w:rPr>
          <w:rFonts w:ascii="Arial" w:hAnsi="Arial" w:cs="Arial"/>
          <w:lang w:val="en-US"/>
        </w:rPr>
        <w:t xml:space="preserve">, consequence management would be invoked from April 2022 henceforth, as the new Standard Operating Procedure entails the implementation </w:t>
      </w:r>
      <w:r w:rsidR="00AB5E74">
        <w:rPr>
          <w:rFonts w:ascii="Arial" w:hAnsi="Arial" w:cs="Arial"/>
          <w:lang w:val="en-US"/>
        </w:rPr>
        <w:t xml:space="preserve">of </w:t>
      </w:r>
      <w:r w:rsidR="00A92660" w:rsidRPr="009D3B75">
        <w:rPr>
          <w:rFonts w:ascii="Arial" w:hAnsi="Arial" w:cs="Arial"/>
          <w:lang w:val="en-US"/>
        </w:rPr>
        <w:t>same.</w:t>
      </w:r>
      <w:r w:rsidR="00A92660" w:rsidRPr="009D3B75">
        <w:rPr>
          <w:rFonts w:ascii="Arial" w:hAnsi="Arial" w:cs="Arial"/>
          <w:b/>
          <w:bCs/>
          <w:lang w:val="en-US"/>
        </w:rPr>
        <w:t xml:space="preserve"> </w:t>
      </w:r>
      <w:r w:rsidR="00A92660" w:rsidRPr="009D3B75">
        <w:rPr>
          <w:rFonts w:ascii="Arial" w:hAnsi="Arial" w:cs="Arial"/>
          <w:lang w:val="en-US"/>
        </w:rPr>
        <w:t>On the contrary</w:t>
      </w:r>
      <w:r w:rsidR="00BD2B8C" w:rsidRPr="009D3B75">
        <w:rPr>
          <w:rFonts w:ascii="Arial" w:hAnsi="Arial" w:cs="Arial"/>
        </w:rPr>
        <w:t xml:space="preserve">, the presentation of the Department of Health is silent on the implementation of consequence management to curb non-compliance. </w:t>
      </w:r>
      <w:r w:rsidR="00A92660" w:rsidRPr="009D3B75">
        <w:rPr>
          <w:rFonts w:ascii="Arial" w:hAnsi="Arial" w:cs="Arial"/>
          <w:b/>
          <w:bCs/>
          <w:lang w:val="en-GB"/>
        </w:rPr>
        <w:t xml:space="preserve">The Portfolio Committee is concerned that the Department of Health is casual about compliance with government’s 30-day payment to service providers, </w:t>
      </w:r>
      <w:r w:rsidR="00556267" w:rsidRPr="009D3B75">
        <w:rPr>
          <w:rFonts w:ascii="Arial" w:hAnsi="Arial" w:cs="Arial"/>
          <w:b/>
          <w:bCs/>
          <w:lang w:val="en-GB"/>
        </w:rPr>
        <w:t>as a result</w:t>
      </w:r>
      <w:r w:rsidR="00A92660" w:rsidRPr="009D3B75">
        <w:rPr>
          <w:rFonts w:ascii="Arial" w:hAnsi="Arial" w:cs="Arial"/>
          <w:b/>
          <w:bCs/>
          <w:lang w:val="en-GB"/>
        </w:rPr>
        <w:t xml:space="preserve"> it did not report about consequence management.</w:t>
      </w:r>
    </w:p>
    <w:p w14:paraId="705A0228" w14:textId="77777777" w:rsidR="00AD6B5B" w:rsidRPr="009D3B75" w:rsidRDefault="00AD6B5B" w:rsidP="009D3B75">
      <w:pPr>
        <w:spacing w:after="0"/>
        <w:jc w:val="both"/>
        <w:rPr>
          <w:rFonts w:ascii="Arial" w:hAnsi="Arial" w:cs="Arial"/>
        </w:rPr>
      </w:pPr>
    </w:p>
    <w:p w14:paraId="0855A90B" w14:textId="77777777" w:rsidR="00634D8A" w:rsidRPr="009D3B75" w:rsidRDefault="00634D8A"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FINDINGS, RECOMMENDATIONS AND IMPLICATIONS ON LAW MAKING</w:t>
      </w:r>
      <w:bookmarkEnd w:id="14"/>
      <w:bookmarkEnd w:id="15"/>
    </w:p>
    <w:p w14:paraId="0855A90C" w14:textId="77777777" w:rsidR="005225D7" w:rsidRPr="009D3B75" w:rsidRDefault="005225D7" w:rsidP="009D3B75">
      <w:pPr>
        <w:pStyle w:val="NoSpacing"/>
        <w:spacing w:line="276" w:lineRule="auto"/>
        <w:jc w:val="both"/>
        <w:rPr>
          <w:rFonts w:ascii="Arial" w:hAnsi="Arial" w:cs="Arial"/>
        </w:rPr>
      </w:pPr>
    </w:p>
    <w:p w14:paraId="0855A90D" w14:textId="77777777" w:rsidR="00652035" w:rsidRPr="009D3B75" w:rsidRDefault="00652035" w:rsidP="009D3B75">
      <w:pPr>
        <w:pStyle w:val="ListParagraph"/>
        <w:numPr>
          <w:ilvl w:val="0"/>
          <w:numId w:val="3"/>
        </w:numPr>
        <w:spacing w:after="0"/>
        <w:ind w:left="567" w:hanging="283"/>
        <w:rPr>
          <w:rFonts w:ascii="Arial" w:hAnsi="Arial" w:cs="Arial"/>
          <w:b/>
          <w:bCs/>
        </w:rPr>
      </w:pPr>
      <w:r w:rsidRPr="009D3B75">
        <w:rPr>
          <w:rFonts w:ascii="Arial" w:hAnsi="Arial" w:cs="Arial"/>
          <w:b/>
          <w:bCs/>
        </w:rPr>
        <w:t>Committee Findings / Concerns</w:t>
      </w:r>
    </w:p>
    <w:p w14:paraId="0855A90E" w14:textId="28075061" w:rsidR="00652035" w:rsidRPr="009D3B75" w:rsidRDefault="00652035" w:rsidP="009D3B75">
      <w:pPr>
        <w:spacing w:after="0"/>
        <w:ind w:firstLine="567"/>
        <w:rPr>
          <w:rFonts w:ascii="Arial" w:hAnsi="Arial" w:cs="Arial"/>
          <w:bCs/>
        </w:rPr>
      </w:pPr>
      <w:r w:rsidRPr="009D3B75">
        <w:rPr>
          <w:rFonts w:ascii="Arial" w:hAnsi="Arial" w:cs="Arial"/>
          <w:bCs/>
        </w:rPr>
        <w:t xml:space="preserve">The Committee is concerned </w:t>
      </w:r>
      <w:r w:rsidR="00004525" w:rsidRPr="009D3B75">
        <w:rPr>
          <w:rFonts w:ascii="Arial" w:hAnsi="Arial" w:cs="Arial"/>
          <w:bCs/>
        </w:rPr>
        <w:t>that</w:t>
      </w:r>
      <w:r w:rsidRPr="009D3B75">
        <w:rPr>
          <w:rFonts w:ascii="Arial" w:hAnsi="Arial" w:cs="Arial"/>
          <w:bCs/>
        </w:rPr>
        <w:t xml:space="preserve">: </w:t>
      </w:r>
    </w:p>
    <w:p w14:paraId="0855A90F" w14:textId="77777777" w:rsidR="00C11D3D" w:rsidRPr="009D3B75" w:rsidRDefault="00C11D3D" w:rsidP="009D3B75">
      <w:pPr>
        <w:spacing w:after="0"/>
        <w:rPr>
          <w:rFonts w:ascii="Arial" w:hAnsi="Arial" w:cs="Arial"/>
          <w:b/>
          <w:bCs/>
        </w:rPr>
      </w:pPr>
    </w:p>
    <w:p w14:paraId="05DE6BD9" w14:textId="70CD0EAA" w:rsidR="00004525" w:rsidRPr="009D3B75" w:rsidRDefault="00004525" w:rsidP="009D3B75">
      <w:pPr>
        <w:pStyle w:val="ListParagraph"/>
        <w:numPr>
          <w:ilvl w:val="0"/>
          <w:numId w:val="2"/>
        </w:numPr>
        <w:spacing w:after="0"/>
        <w:jc w:val="both"/>
        <w:rPr>
          <w:rFonts w:ascii="Arial" w:hAnsi="Arial" w:cs="Arial"/>
          <w:b/>
        </w:rPr>
      </w:pPr>
      <w:r w:rsidRPr="009D3B75">
        <w:rPr>
          <w:rFonts w:ascii="Arial" w:hAnsi="Arial" w:cs="Arial"/>
          <w:b/>
          <w:bCs/>
          <w:lang w:val="en-GB"/>
        </w:rPr>
        <w:t>The Department of Health did not co</w:t>
      </w:r>
      <w:r w:rsidR="00E31978">
        <w:rPr>
          <w:rFonts w:ascii="Arial" w:hAnsi="Arial" w:cs="Arial"/>
          <w:b/>
          <w:bCs/>
          <w:lang w:val="en-GB"/>
        </w:rPr>
        <w:t>operate</w:t>
      </w:r>
      <w:r w:rsidRPr="009D3B75">
        <w:rPr>
          <w:rFonts w:ascii="Arial" w:hAnsi="Arial" w:cs="Arial"/>
          <w:b/>
          <w:bCs/>
          <w:lang w:val="en-GB"/>
        </w:rPr>
        <w:t xml:space="preserve"> with the PSC in its obligation </w:t>
      </w:r>
      <w:r w:rsidRPr="009D3B75">
        <w:rPr>
          <w:rFonts w:ascii="Arial" w:hAnsi="Arial" w:cs="Arial"/>
          <w:b/>
          <w:bCs/>
          <w:shd w:val="clear" w:color="auto" w:fill="FFFFFF"/>
        </w:rPr>
        <w:t>to promote measures that would ensure effective and efficient performance within the department and to promote values and principles of public administration as set out in the Constitution;</w:t>
      </w:r>
    </w:p>
    <w:p w14:paraId="404CBEE5" w14:textId="77777777" w:rsidR="00004525" w:rsidRPr="009D3B75" w:rsidRDefault="00004525" w:rsidP="009D3B75">
      <w:pPr>
        <w:pStyle w:val="ListParagraph"/>
        <w:rPr>
          <w:rFonts w:ascii="Arial" w:hAnsi="Arial" w:cs="Arial"/>
          <w:b/>
        </w:rPr>
      </w:pPr>
    </w:p>
    <w:p w14:paraId="1DB83EC5" w14:textId="389635D0" w:rsidR="00004525" w:rsidRPr="009D3B75" w:rsidRDefault="00004525" w:rsidP="009D3B75">
      <w:pPr>
        <w:pStyle w:val="ListParagraph"/>
        <w:numPr>
          <w:ilvl w:val="0"/>
          <w:numId w:val="2"/>
        </w:numPr>
        <w:spacing w:after="0"/>
        <w:jc w:val="both"/>
        <w:rPr>
          <w:rFonts w:ascii="Arial" w:hAnsi="Arial" w:cs="Arial"/>
          <w:b/>
        </w:rPr>
      </w:pPr>
      <w:r w:rsidRPr="009D3B75">
        <w:rPr>
          <w:rFonts w:ascii="Arial" w:hAnsi="Arial" w:cs="Arial"/>
          <w:b/>
          <w:bCs/>
          <w:shd w:val="clear" w:color="auto" w:fill="FFFFFF"/>
        </w:rPr>
        <w:t xml:space="preserve">The Department of Health’s claims age analysis in October 2021 amounted to 101 days and </w:t>
      </w:r>
      <w:r w:rsidR="004C1480">
        <w:rPr>
          <w:rFonts w:ascii="Arial" w:hAnsi="Arial" w:cs="Arial"/>
          <w:b/>
          <w:bCs/>
          <w:shd w:val="clear" w:color="auto" w:fill="FFFFFF"/>
        </w:rPr>
        <w:t xml:space="preserve">that </w:t>
      </w:r>
      <w:r w:rsidRPr="009D3B75">
        <w:rPr>
          <w:rFonts w:ascii="Arial" w:hAnsi="Arial" w:cs="Arial"/>
          <w:b/>
          <w:bCs/>
          <w:shd w:val="clear" w:color="auto" w:fill="FFFFFF"/>
        </w:rPr>
        <w:t>it took the department 142 days to pay contractors</w:t>
      </w:r>
      <w:r w:rsidR="004C1480">
        <w:rPr>
          <w:rFonts w:ascii="Arial" w:hAnsi="Arial" w:cs="Arial"/>
          <w:b/>
          <w:bCs/>
          <w:shd w:val="clear" w:color="auto" w:fill="FFFFFF"/>
        </w:rPr>
        <w:t xml:space="preserve"> in February 2022</w:t>
      </w:r>
      <w:r w:rsidRPr="009D3B75">
        <w:rPr>
          <w:rFonts w:ascii="Arial" w:hAnsi="Arial" w:cs="Arial"/>
          <w:b/>
          <w:bCs/>
          <w:shd w:val="clear" w:color="auto" w:fill="FFFFFF"/>
        </w:rPr>
        <w:t>;</w:t>
      </w:r>
    </w:p>
    <w:p w14:paraId="4ABA6B58" w14:textId="77777777" w:rsidR="00004525" w:rsidRPr="009D3B75" w:rsidRDefault="00004525" w:rsidP="009D3B75">
      <w:pPr>
        <w:pStyle w:val="ListParagraph"/>
        <w:rPr>
          <w:rFonts w:ascii="Arial" w:hAnsi="Arial" w:cs="Arial"/>
          <w:b/>
        </w:rPr>
      </w:pPr>
    </w:p>
    <w:p w14:paraId="10B6AA92" w14:textId="2243378B" w:rsidR="00004525" w:rsidRPr="009D3B75" w:rsidRDefault="00004525" w:rsidP="009D3B75">
      <w:pPr>
        <w:pStyle w:val="ListParagraph"/>
        <w:numPr>
          <w:ilvl w:val="0"/>
          <w:numId w:val="2"/>
        </w:numPr>
        <w:tabs>
          <w:tab w:val="num" w:pos="720"/>
        </w:tabs>
        <w:spacing w:after="0"/>
        <w:jc w:val="both"/>
        <w:rPr>
          <w:rFonts w:ascii="Arial" w:hAnsi="Arial" w:cs="Arial"/>
          <w:b/>
          <w:bCs/>
        </w:rPr>
      </w:pPr>
      <w:r w:rsidRPr="009D3B75">
        <w:rPr>
          <w:rFonts w:ascii="Arial" w:hAnsi="Arial" w:cs="Arial"/>
          <w:b/>
          <w:bCs/>
          <w:shd w:val="clear" w:color="auto" w:fill="FFFFFF"/>
        </w:rPr>
        <w:t xml:space="preserve">Failure by the Department of Health to account why it is unable to comply </w:t>
      </w:r>
      <w:r w:rsidRPr="009D3B75">
        <w:rPr>
          <w:rFonts w:ascii="Arial" w:hAnsi="Arial" w:cs="Arial"/>
          <w:b/>
          <w:bCs/>
        </w:rPr>
        <w:t>with government’s 30-day payment to service providers</w:t>
      </w:r>
      <w:r w:rsidRPr="009D3B75">
        <w:rPr>
          <w:rFonts w:ascii="Arial" w:hAnsi="Arial" w:cs="Arial"/>
          <w:b/>
          <w:bCs/>
          <w:shd w:val="clear" w:color="auto" w:fill="FFFFFF"/>
        </w:rPr>
        <w:t xml:space="preserve"> hinders the identification of appropriate solution to the challenge; </w:t>
      </w:r>
    </w:p>
    <w:p w14:paraId="40DC131D" w14:textId="77777777" w:rsidR="00004525" w:rsidRPr="009D3B75" w:rsidRDefault="00004525" w:rsidP="009D3B75">
      <w:pPr>
        <w:pStyle w:val="ListParagraph"/>
        <w:rPr>
          <w:rFonts w:ascii="Arial" w:hAnsi="Arial" w:cs="Arial"/>
          <w:b/>
        </w:rPr>
      </w:pPr>
    </w:p>
    <w:p w14:paraId="0855A914" w14:textId="68228BCB" w:rsidR="003D26CD" w:rsidRPr="009D3B75" w:rsidRDefault="00004525" w:rsidP="009D3B75">
      <w:pPr>
        <w:pStyle w:val="ListParagraph"/>
        <w:numPr>
          <w:ilvl w:val="0"/>
          <w:numId w:val="2"/>
        </w:numPr>
        <w:spacing w:after="0"/>
        <w:jc w:val="both"/>
        <w:rPr>
          <w:rFonts w:ascii="Arial" w:hAnsi="Arial" w:cs="Arial"/>
          <w:b/>
        </w:rPr>
      </w:pPr>
      <w:r w:rsidRPr="009D3B75">
        <w:rPr>
          <w:rFonts w:ascii="Arial" w:hAnsi="Arial" w:cs="Arial"/>
          <w:b/>
          <w:bCs/>
          <w:shd w:val="clear" w:color="auto" w:fill="FFFFFF"/>
        </w:rPr>
        <w:lastRenderedPageBreak/>
        <w:t>The Department of Infrastructure Development does not adhere to procurement plans evident in insufficient funds on purchase orders;</w:t>
      </w:r>
    </w:p>
    <w:p w14:paraId="0726E959" w14:textId="77777777" w:rsidR="00004525" w:rsidRPr="009D3B75" w:rsidRDefault="00004525" w:rsidP="009D3B75">
      <w:pPr>
        <w:pStyle w:val="ListParagraph"/>
        <w:rPr>
          <w:rFonts w:ascii="Arial" w:hAnsi="Arial" w:cs="Arial"/>
          <w:b/>
        </w:rPr>
      </w:pPr>
    </w:p>
    <w:p w14:paraId="393D7E66" w14:textId="5F0BFF56" w:rsidR="00004525" w:rsidRPr="009D3B75" w:rsidRDefault="00004525" w:rsidP="009D3B75">
      <w:pPr>
        <w:pStyle w:val="ListParagraph"/>
        <w:numPr>
          <w:ilvl w:val="0"/>
          <w:numId w:val="2"/>
        </w:numPr>
        <w:spacing w:after="0"/>
        <w:jc w:val="both"/>
        <w:rPr>
          <w:rFonts w:ascii="Arial" w:hAnsi="Arial" w:cs="Arial"/>
          <w:shd w:val="clear" w:color="auto" w:fill="FFFFFF"/>
        </w:rPr>
      </w:pPr>
      <w:r w:rsidRPr="009D3B75">
        <w:rPr>
          <w:rFonts w:ascii="Arial" w:hAnsi="Arial" w:cs="Arial"/>
          <w:b/>
          <w:bCs/>
          <w:shd w:val="clear" w:color="auto" w:fill="FFFFFF"/>
        </w:rPr>
        <w:t>The Department of Health recorded the least performance in respect of compliance to government’s 30-day payment to service providers despite it</w:t>
      </w:r>
      <w:r w:rsidR="00AB5E74">
        <w:rPr>
          <w:rFonts w:ascii="Arial" w:hAnsi="Arial" w:cs="Arial"/>
          <w:b/>
          <w:bCs/>
          <w:shd w:val="clear" w:color="auto" w:fill="FFFFFF"/>
        </w:rPr>
        <w:t>s</w:t>
      </w:r>
      <w:r w:rsidRPr="009D3B75">
        <w:rPr>
          <w:rFonts w:ascii="Arial" w:hAnsi="Arial" w:cs="Arial"/>
          <w:b/>
          <w:bCs/>
          <w:shd w:val="clear" w:color="auto" w:fill="FFFFFF"/>
        </w:rPr>
        <w:t xml:space="preserve"> claims that it is staffed with competent SCM officials; </w:t>
      </w:r>
    </w:p>
    <w:p w14:paraId="5F9975AE" w14:textId="77777777" w:rsidR="00004525" w:rsidRPr="009D3B75" w:rsidRDefault="00004525" w:rsidP="009D3B75">
      <w:pPr>
        <w:pStyle w:val="ListParagraph"/>
        <w:rPr>
          <w:rFonts w:ascii="Arial" w:hAnsi="Arial" w:cs="Arial"/>
          <w:b/>
        </w:rPr>
      </w:pPr>
    </w:p>
    <w:p w14:paraId="6787CB91" w14:textId="63F151F4" w:rsidR="00004525" w:rsidRPr="009D3B75" w:rsidRDefault="00004525" w:rsidP="009D3B75">
      <w:pPr>
        <w:pStyle w:val="ListParagraph"/>
        <w:numPr>
          <w:ilvl w:val="0"/>
          <w:numId w:val="2"/>
        </w:numPr>
        <w:spacing w:after="0"/>
        <w:jc w:val="both"/>
        <w:rPr>
          <w:rFonts w:ascii="Arial" w:hAnsi="Arial" w:cs="Arial"/>
          <w:b/>
          <w:bCs/>
          <w:lang w:val="en-GB"/>
        </w:rPr>
      </w:pPr>
      <w:r w:rsidRPr="009D3B75">
        <w:rPr>
          <w:rFonts w:ascii="Arial" w:hAnsi="Arial" w:cs="Arial"/>
          <w:b/>
          <w:bCs/>
          <w:lang w:val="en-GB"/>
        </w:rPr>
        <w:t>The implementation of various systems by respective departments to attain the objective of following-up on non-compliance; and</w:t>
      </w:r>
    </w:p>
    <w:p w14:paraId="22046ECD" w14:textId="77777777" w:rsidR="00004525" w:rsidRPr="009D3B75" w:rsidRDefault="00004525" w:rsidP="009D3B75">
      <w:pPr>
        <w:pStyle w:val="ListParagraph"/>
        <w:rPr>
          <w:rFonts w:ascii="Arial" w:hAnsi="Arial" w:cs="Arial"/>
          <w:b/>
        </w:rPr>
      </w:pPr>
    </w:p>
    <w:p w14:paraId="73B0525B" w14:textId="2DC577CC" w:rsidR="00004525" w:rsidRPr="009D3B75" w:rsidRDefault="00004525" w:rsidP="009D3B75">
      <w:pPr>
        <w:pStyle w:val="ListParagraph"/>
        <w:numPr>
          <w:ilvl w:val="0"/>
          <w:numId w:val="2"/>
        </w:numPr>
        <w:spacing w:after="0"/>
        <w:jc w:val="both"/>
        <w:rPr>
          <w:rFonts w:ascii="Arial" w:hAnsi="Arial" w:cs="Arial"/>
          <w:b/>
          <w:bCs/>
        </w:rPr>
      </w:pPr>
      <w:r w:rsidRPr="009D3B75">
        <w:rPr>
          <w:rFonts w:ascii="Arial" w:hAnsi="Arial" w:cs="Arial"/>
          <w:b/>
          <w:bCs/>
          <w:lang w:val="en-GB"/>
        </w:rPr>
        <w:t>The Department of Health is casual about compliance with government’s 30-day payment to service providers, as a result it did not report about consequence management.</w:t>
      </w:r>
    </w:p>
    <w:p w14:paraId="0855A915" w14:textId="77777777" w:rsidR="003D26CD" w:rsidRPr="009D3B75" w:rsidRDefault="003D26CD" w:rsidP="009D3B75">
      <w:pPr>
        <w:pStyle w:val="ListParagraph"/>
        <w:spacing w:after="0"/>
        <w:rPr>
          <w:rFonts w:ascii="Arial" w:hAnsi="Arial" w:cs="Arial"/>
          <w:b/>
        </w:rPr>
      </w:pPr>
    </w:p>
    <w:p w14:paraId="0855A916" w14:textId="77777777" w:rsidR="00652035" w:rsidRPr="009D3B75" w:rsidRDefault="00652035" w:rsidP="009D3B75">
      <w:pPr>
        <w:pStyle w:val="ListParagraph"/>
        <w:numPr>
          <w:ilvl w:val="0"/>
          <w:numId w:val="3"/>
        </w:numPr>
        <w:spacing w:after="0"/>
        <w:ind w:left="720" w:hanging="450"/>
        <w:rPr>
          <w:rFonts w:ascii="Arial" w:hAnsi="Arial" w:cs="Arial"/>
          <w:b/>
          <w:bCs/>
        </w:rPr>
      </w:pPr>
      <w:r w:rsidRPr="009D3B75">
        <w:rPr>
          <w:rFonts w:ascii="Arial" w:hAnsi="Arial" w:cs="Arial"/>
          <w:b/>
          <w:bCs/>
        </w:rPr>
        <w:t>Committee Recommendations</w:t>
      </w:r>
    </w:p>
    <w:p w14:paraId="0855A917" w14:textId="30B568AC" w:rsidR="00652035" w:rsidRPr="009D3B75" w:rsidRDefault="00652035" w:rsidP="009D3B75">
      <w:pPr>
        <w:spacing w:after="0"/>
        <w:ind w:left="720"/>
        <w:jc w:val="both"/>
        <w:rPr>
          <w:rFonts w:ascii="Arial" w:hAnsi="Arial" w:cs="Arial"/>
          <w:b/>
        </w:rPr>
      </w:pPr>
      <w:r w:rsidRPr="009D3B75">
        <w:rPr>
          <w:rFonts w:ascii="Arial" w:hAnsi="Arial" w:cs="Arial"/>
        </w:rPr>
        <w:t xml:space="preserve">After assessing the FIS Report, the Portfolio Committee recommends the following and requests for responses by </w:t>
      </w:r>
      <w:r w:rsidR="0095292D" w:rsidRPr="009D3B75">
        <w:rPr>
          <w:rFonts w:ascii="Arial" w:hAnsi="Arial" w:cs="Arial"/>
          <w:b/>
        </w:rPr>
        <w:t xml:space="preserve">29 </w:t>
      </w:r>
      <w:r w:rsidR="00AE38E0" w:rsidRPr="009D3B75">
        <w:rPr>
          <w:rFonts w:ascii="Arial" w:hAnsi="Arial" w:cs="Arial"/>
          <w:b/>
        </w:rPr>
        <w:t>J</w:t>
      </w:r>
      <w:r w:rsidR="0095292D" w:rsidRPr="009D3B75">
        <w:rPr>
          <w:rFonts w:ascii="Arial" w:hAnsi="Arial" w:cs="Arial"/>
          <w:b/>
        </w:rPr>
        <w:t>uly</w:t>
      </w:r>
      <w:r w:rsidRPr="009D3B75">
        <w:rPr>
          <w:rFonts w:ascii="Arial" w:hAnsi="Arial" w:cs="Arial"/>
          <w:b/>
        </w:rPr>
        <w:t xml:space="preserve"> 20</w:t>
      </w:r>
      <w:r w:rsidR="00AE38E0" w:rsidRPr="009D3B75">
        <w:rPr>
          <w:rFonts w:ascii="Arial" w:hAnsi="Arial" w:cs="Arial"/>
          <w:b/>
        </w:rPr>
        <w:t>22</w:t>
      </w:r>
      <w:r w:rsidRPr="009D3B75">
        <w:rPr>
          <w:rFonts w:ascii="Arial" w:hAnsi="Arial" w:cs="Arial"/>
          <w:b/>
        </w:rPr>
        <w:t>:</w:t>
      </w:r>
    </w:p>
    <w:p w14:paraId="0855A918" w14:textId="77777777" w:rsidR="000A301F" w:rsidRPr="009D3B75" w:rsidRDefault="000A301F" w:rsidP="009D3B75">
      <w:pPr>
        <w:spacing w:after="0"/>
        <w:jc w:val="both"/>
        <w:rPr>
          <w:rFonts w:ascii="Arial" w:hAnsi="Arial" w:cs="Arial"/>
          <w:b/>
        </w:rPr>
      </w:pPr>
    </w:p>
    <w:p w14:paraId="104D4CFB" w14:textId="7901EA9B"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lang w:val="en-GB"/>
        </w:rPr>
        <w:t>Th</w:t>
      </w:r>
      <w:r w:rsidR="007C23EA" w:rsidRPr="009D3B75">
        <w:rPr>
          <w:rFonts w:ascii="Arial" w:hAnsi="Arial" w:cs="Arial"/>
          <w:b/>
          <w:bCs/>
          <w:lang w:val="en-GB"/>
        </w:rPr>
        <w:t xml:space="preserve">at the </w:t>
      </w:r>
      <w:r w:rsidRPr="009D3B75">
        <w:rPr>
          <w:rFonts w:ascii="Arial" w:hAnsi="Arial" w:cs="Arial"/>
          <w:b/>
          <w:bCs/>
          <w:lang w:val="en-GB"/>
        </w:rPr>
        <w:t xml:space="preserve">Department of Health </w:t>
      </w:r>
      <w:r w:rsidR="003C4120" w:rsidRPr="009D3B75">
        <w:rPr>
          <w:rFonts w:ascii="Arial" w:hAnsi="Arial" w:cs="Arial"/>
          <w:b/>
          <w:bCs/>
          <w:lang w:val="en-GB"/>
        </w:rPr>
        <w:t xml:space="preserve">should provide cogent reason why it </w:t>
      </w:r>
      <w:r w:rsidRPr="009D3B75">
        <w:rPr>
          <w:rFonts w:ascii="Arial" w:hAnsi="Arial" w:cs="Arial"/>
          <w:b/>
          <w:bCs/>
          <w:lang w:val="en-GB"/>
        </w:rPr>
        <w:t>did not co</w:t>
      </w:r>
      <w:r w:rsidR="003C4120" w:rsidRPr="009D3B75">
        <w:rPr>
          <w:rFonts w:ascii="Arial" w:hAnsi="Arial" w:cs="Arial"/>
          <w:b/>
          <w:bCs/>
          <w:lang w:val="en-GB"/>
        </w:rPr>
        <w:t xml:space="preserve">operate with </w:t>
      </w:r>
      <w:r w:rsidRPr="009D3B75">
        <w:rPr>
          <w:rFonts w:ascii="Arial" w:hAnsi="Arial" w:cs="Arial"/>
          <w:b/>
          <w:bCs/>
          <w:lang w:val="en-GB"/>
        </w:rPr>
        <w:t xml:space="preserve">the PSC in its obligation </w:t>
      </w:r>
      <w:r w:rsidRPr="009D3B75">
        <w:rPr>
          <w:rFonts w:ascii="Arial" w:hAnsi="Arial" w:cs="Arial"/>
          <w:b/>
          <w:bCs/>
          <w:shd w:val="clear" w:color="auto" w:fill="FFFFFF"/>
        </w:rPr>
        <w:t>to promote measures that would ensure effective and efficient performance within the department and to promote values and principles of public administration as set out in the Constitution;</w:t>
      </w:r>
    </w:p>
    <w:p w14:paraId="0713F5D2" w14:textId="77777777" w:rsidR="00CC5E20" w:rsidRPr="009D3B75" w:rsidRDefault="00CC5E20" w:rsidP="009D3B75">
      <w:pPr>
        <w:pStyle w:val="ListParagraph"/>
        <w:spacing w:after="0"/>
        <w:jc w:val="both"/>
        <w:rPr>
          <w:rFonts w:ascii="Arial" w:hAnsi="Arial" w:cs="Arial"/>
          <w:b/>
        </w:rPr>
      </w:pPr>
    </w:p>
    <w:p w14:paraId="1EA37FBD" w14:textId="76C8D764"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shd w:val="clear" w:color="auto" w:fill="FFFFFF"/>
        </w:rPr>
        <w:t>Th</w:t>
      </w:r>
      <w:r w:rsidR="003C4120" w:rsidRPr="009D3B75">
        <w:rPr>
          <w:rFonts w:ascii="Arial" w:hAnsi="Arial" w:cs="Arial"/>
          <w:b/>
          <w:bCs/>
          <w:shd w:val="clear" w:color="auto" w:fill="FFFFFF"/>
        </w:rPr>
        <w:t>at the</w:t>
      </w:r>
      <w:r w:rsidRPr="009D3B75">
        <w:rPr>
          <w:rFonts w:ascii="Arial" w:hAnsi="Arial" w:cs="Arial"/>
          <w:b/>
          <w:bCs/>
          <w:shd w:val="clear" w:color="auto" w:fill="FFFFFF"/>
        </w:rPr>
        <w:t xml:space="preserve"> Department of Health</w:t>
      </w:r>
      <w:r w:rsidR="003C4120" w:rsidRPr="009D3B75">
        <w:rPr>
          <w:rFonts w:ascii="Arial" w:hAnsi="Arial" w:cs="Arial"/>
          <w:b/>
          <w:bCs/>
          <w:shd w:val="clear" w:color="auto" w:fill="FFFFFF"/>
        </w:rPr>
        <w:t xml:space="preserve"> should develop and submit a turn-around financial management strategy highlighting how it intends improving on its debt age analysis and the timely payment of </w:t>
      </w:r>
      <w:r w:rsidRPr="009D3B75">
        <w:rPr>
          <w:rFonts w:ascii="Arial" w:hAnsi="Arial" w:cs="Arial"/>
          <w:b/>
          <w:bCs/>
          <w:shd w:val="clear" w:color="auto" w:fill="FFFFFF"/>
        </w:rPr>
        <w:t>contractors;</w:t>
      </w:r>
    </w:p>
    <w:p w14:paraId="0168477C" w14:textId="77777777" w:rsidR="00CC5E20" w:rsidRPr="009D3B75" w:rsidRDefault="00CC5E20" w:rsidP="009D3B75">
      <w:pPr>
        <w:pStyle w:val="ListParagraph"/>
        <w:rPr>
          <w:rFonts w:ascii="Arial" w:hAnsi="Arial" w:cs="Arial"/>
          <w:b/>
          <w:bCs/>
          <w:shd w:val="clear" w:color="auto" w:fill="FFFFFF"/>
        </w:rPr>
      </w:pPr>
    </w:p>
    <w:p w14:paraId="1A80A6A8" w14:textId="4CE72958" w:rsidR="00CC5E20" w:rsidRPr="009D3B75" w:rsidRDefault="003C4120" w:rsidP="009D3B75">
      <w:pPr>
        <w:pStyle w:val="ListParagraph"/>
        <w:numPr>
          <w:ilvl w:val="0"/>
          <w:numId w:val="22"/>
        </w:numPr>
        <w:spacing w:after="0"/>
        <w:jc w:val="both"/>
        <w:rPr>
          <w:rFonts w:ascii="Arial" w:hAnsi="Arial" w:cs="Arial"/>
          <w:b/>
        </w:rPr>
      </w:pPr>
      <w:r w:rsidRPr="009D3B75">
        <w:rPr>
          <w:rFonts w:ascii="Arial" w:hAnsi="Arial" w:cs="Arial"/>
          <w:b/>
          <w:bCs/>
          <w:shd w:val="clear" w:color="auto" w:fill="FFFFFF"/>
        </w:rPr>
        <w:t xml:space="preserve">That the </w:t>
      </w:r>
      <w:r w:rsidR="00CC5E20" w:rsidRPr="009D3B75">
        <w:rPr>
          <w:rFonts w:ascii="Arial" w:hAnsi="Arial" w:cs="Arial"/>
          <w:b/>
          <w:bCs/>
          <w:shd w:val="clear" w:color="auto" w:fill="FFFFFF"/>
        </w:rPr>
        <w:t xml:space="preserve">Department of Health </w:t>
      </w:r>
      <w:r w:rsidRPr="009D3B75">
        <w:rPr>
          <w:rFonts w:ascii="Arial" w:hAnsi="Arial" w:cs="Arial"/>
          <w:b/>
          <w:bCs/>
          <w:shd w:val="clear" w:color="auto" w:fill="FFFFFF"/>
        </w:rPr>
        <w:t xml:space="preserve">should provide a report highlighting reason </w:t>
      </w:r>
      <w:r w:rsidR="00CC5E20" w:rsidRPr="009D3B75">
        <w:rPr>
          <w:rFonts w:ascii="Arial" w:hAnsi="Arial" w:cs="Arial"/>
          <w:b/>
          <w:bCs/>
          <w:shd w:val="clear" w:color="auto" w:fill="FFFFFF"/>
        </w:rPr>
        <w:t xml:space="preserve">why it is unable to comply </w:t>
      </w:r>
      <w:r w:rsidR="00CC5E20" w:rsidRPr="009D3B75">
        <w:rPr>
          <w:rFonts w:ascii="Arial" w:hAnsi="Arial" w:cs="Arial"/>
          <w:b/>
          <w:bCs/>
        </w:rPr>
        <w:t>with government’s 30-day payment to service providers</w:t>
      </w:r>
      <w:r w:rsidRPr="009D3B75">
        <w:rPr>
          <w:rFonts w:ascii="Arial" w:hAnsi="Arial" w:cs="Arial"/>
          <w:b/>
          <w:bCs/>
          <w:shd w:val="clear" w:color="auto" w:fill="FFFFFF"/>
        </w:rPr>
        <w:t xml:space="preserve">, which </w:t>
      </w:r>
      <w:r w:rsidR="00CC5E20" w:rsidRPr="009D3B75">
        <w:rPr>
          <w:rFonts w:ascii="Arial" w:hAnsi="Arial" w:cs="Arial"/>
          <w:b/>
          <w:bCs/>
          <w:shd w:val="clear" w:color="auto" w:fill="FFFFFF"/>
        </w:rPr>
        <w:t xml:space="preserve">hinders the identification of appropriate solution to the challenge; </w:t>
      </w:r>
    </w:p>
    <w:p w14:paraId="548641C3" w14:textId="77777777" w:rsidR="00CC5E20" w:rsidRPr="009D3B75" w:rsidRDefault="00CC5E20" w:rsidP="009D3B75">
      <w:pPr>
        <w:pStyle w:val="ListParagraph"/>
        <w:rPr>
          <w:rFonts w:ascii="Arial" w:hAnsi="Arial" w:cs="Arial"/>
          <w:b/>
          <w:bCs/>
          <w:shd w:val="clear" w:color="auto" w:fill="FFFFFF"/>
        </w:rPr>
      </w:pPr>
    </w:p>
    <w:p w14:paraId="2A8A7995" w14:textId="5D262520"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shd w:val="clear" w:color="auto" w:fill="FFFFFF"/>
        </w:rPr>
        <w:t>Th</w:t>
      </w:r>
      <w:r w:rsidR="003C4120" w:rsidRPr="009D3B75">
        <w:rPr>
          <w:rFonts w:ascii="Arial" w:hAnsi="Arial" w:cs="Arial"/>
          <w:b/>
          <w:bCs/>
          <w:shd w:val="clear" w:color="auto" w:fill="FFFFFF"/>
        </w:rPr>
        <w:t xml:space="preserve">at the </w:t>
      </w:r>
      <w:r w:rsidRPr="009D3B75">
        <w:rPr>
          <w:rFonts w:ascii="Arial" w:hAnsi="Arial" w:cs="Arial"/>
          <w:b/>
          <w:bCs/>
          <w:shd w:val="clear" w:color="auto" w:fill="FFFFFF"/>
        </w:rPr>
        <w:t xml:space="preserve">Department of Infrastructure Development </w:t>
      </w:r>
      <w:r w:rsidR="003C4120" w:rsidRPr="009D3B75">
        <w:rPr>
          <w:rFonts w:ascii="Arial" w:hAnsi="Arial" w:cs="Arial"/>
          <w:b/>
          <w:bCs/>
          <w:shd w:val="clear" w:color="auto" w:fill="FFFFFF"/>
        </w:rPr>
        <w:t xml:space="preserve">should develop and submit a plan on how it intends </w:t>
      </w:r>
      <w:r w:rsidRPr="009D3B75">
        <w:rPr>
          <w:rFonts w:ascii="Arial" w:hAnsi="Arial" w:cs="Arial"/>
          <w:b/>
          <w:bCs/>
          <w:shd w:val="clear" w:color="auto" w:fill="FFFFFF"/>
        </w:rPr>
        <w:t>adher</w:t>
      </w:r>
      <w:r w:rsidR="003C4120" w:rsidRPr="009D3B75">
        <w:rPr>
          <w:rFonts w:ascii="Arial" w:hAnsi="Arial" w:cs="Arial"/>
          <w:b/>
          <w:bCs/>
          <w:shd w:val="clear" w:color="auto" w:fill="FFFFFF"/>
        </w:rPr>
        <w:t>ing to</w:t>
      </w:r>
      <w:r w:rsidRPr="009D3B75">
        <w:rPr>
          <w:rFonts w:ascii="Arial" w:hAnsi="Arial" w:cs="Arial"/>
          <w:b/>
          <w:bCs/>
          <w:shd w:val="clear" w:color="auto" w:fill="FFFFFF"/>
        </w:rPr>
        <w:t xml:space="preserve"> procurement plans evident in </w:t>
      </w:r>
      <w:r w:rsidR="003C4120" w:rsidRPr="009D3B75">
        <w:rPr>
          <w:rFonts w:ascii="Arial" w:hAnsi="Arial" w:cs="Arial"/>
          <w:b/>
          <w:bCs/>
          <w:shd w:val="clear" w:color="auto" w:fill="FFFFFF"/>
        </w:rPr>
        <w:t xml:space="preserve">budget </w:t>
      </w:r>
      <w:r w:rsidR="009D3B75" w:rsidRPr="009D3B75">
        <w:rPr>
          <w:rFonts w:ascii="Arial" w:hAnsi="Arial" w:cs="Arial"/>
          <w:b/>
          <w:bCs/>
          <w:shd w:val="clear" w:color="auto" w:fill="FFFFFF"/>
        </w:rPr>
        <w:t>overruns</w:t>
      </w:r>
      <w:r w:rsidRPr="009D3B75">
        <w:rPr>
          <w:rFonts w:ascii="Arial" w:hAnsi="Arial" w:cs="Arial"/>
          <w:b/>
          <w:bCs/>
          <w:shd w:val="clear" w:color="auto" w:fill="FFFFFF"/>
        </w:rPr>
        <w:t xml:space="preserve"> on purchase orders;</w:t>
      </w:r>
    </w:p>
    <w:p w14:paraId="1D670380" w14:textId="77777777" w:rsidR="00CC5E20" w:rsidRPr="009D3B75" w:rsidRDefault="00CC5E20" w:rsidP="009D3B75">
      <w:pPr>
        <w:pStyle w:val="ListParagraph"/>
        <w:rPr>
          <w:rFonts w:ascii="Arial" w:hAnsi="Arial" w:cs="Arial"/>
          <w:b/>
          <w:bCs/>
          <w:shd w:val="clear" w:color="auto" w:fill="FFFFFF"/>
        </w:rPr>
      </w:pPr>
    </w:p>
    <w:p w14:paraId="7F544230" w14:textId="6A4F780E"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shd w:val="clear" w:color="auto" w:fill="FFFFFF"/>
        </w:rPr>
        <w:t>Th</w:t>
      </w:r>
      <w:r w:rsidR="003C4120" w:rsidRPr="009D3B75">
        <w:rPr>
          <w:rFonts w:ascii="Arial" w:hAnsi="Arial" w:cs="Arial"/>
          <w:b/>
          <w:bCs/>
          <w:shd w:val="clear" w:color="auto" w:fill="FFFFFF"/>
        </w:rPr>
        <w:t xml:space="preserve">at the </w:t>
      </w:r>
      <w:r w:rsidRPr="009D3B75">
        <w:rPr>
          <w:rFonts w:ascii="Arial" w:hAnsi="Arial" w:cs="Arial"/>
          <w:b/>
          <w:bCs/>
          <w:shd w:val="clear" w:color="auto" w:fill="FFFFFF"/>
        </w:rPr>
        <w:t xml:space="preserve">Department of Health </w:t>
      </w:r>
      <w:r w:rsidR="003C4120" w:rsidRPr="009D3B75">
        <w:rPr>
          <w:rFonts w:ascii="Arial" w:hAnsi="Arial" w:cs="Arial"/>
          <w:b/>
          <w:bCs/>
          <w:shd w:val="clear" w:color="auto" w:fill="FFFFFF"/>
        </w:rPr>
        <w:t xml:space="preserve">should account through a report </w:t>
      </w:r>
      <w:r w:rsidR="009D3B75" w:rsidRPr="009D3B75">
        <w:rPr>
          <w:rFonts w:ascii="Arial" w:hAnsi="Arial" w:cs="Arial"/>
          <w:b/>
          <w:bCs/>
          <w:shd w:val="clear" w:color="auto" w:fill="FFFFFF"/>
        </w:rPr>
        <w:t xml:space="preserve">on the credibility of the </w:t>
      </w:r>
      <w:r w:rsidRPr="009D3B75">
        <w:rPr>
          <w:rFonts w:ascii="Arial" w:hAnsi="Arial" w:cs="Arial"/>
          <w:b/>
          <w:bCs/>
          <w:shd w:val="clear" w:color="auto" w:fill="FFFFFF"/>
        </w:rPr>
        <w:t>competen</w:t>
      </w:r>
      <w:r w:rsidR="009D3B75" w:rsidRPr="009D3B75">
        <w:rPr>
          <w:rFonts w:ascii="Arial" w:hAnsi="Arial" w:cs="Arial"/>
          <w:b/>
          <w:bCs/>
          <w:shd w:val="clear" w:color="auto" w:fill="FFFFFF"/>
        </w:rPr>
        <w:t>cies of their</w:t>
      </w:r>
      <w:r w:rsidRPr="009D3B75">
        <w:rPr>
          <w:rFonts w:ascii="Arial" w:hAnsi="Arial" w:cs="Arial"/>
          <w:b/>
          <w:bCs/>
          <w:shd w:val="clear" w:color="auto" w:fill="FFFFFF"/>
        </w:rPr>
        <w:t xml:space="preserve"> SCM officials</w:t>
      </w:r>
      <w:r w:rsidR="009D3B75" w:rsidRPr="009D3B75">
        <w:rPr>
          <w:rFonts w:ascii="Arial" w:hAnsi="Arial" w:cs="Arial"/>
          <w:b/>
          <w:bCs/>
          <w:shd w:val="clear" w:color="auto" w:fill="FFFFFF"/>
        </w:rPr>
        <w:t xml:space="preserve">, </w:t>
      </w:r>
      <w:proofErr w:type="gramStart"/>
      <w:r w:rsidR="009D3B75" w:rsidRPr="009D3B75">
        <w:rPr>
          <w:rFonts w:ascii="Arial" w:hAnsi="Arial" w:cs="Arial"/>
          <w:b/>
          <w:bCs/>
          <w:shd w:val="clear" w:color="auto" w:fill="FFFFFF"/>
        </w:rPr>
        <w:t>in light of</w:t>
      </w:r>
      <w:proofErr w:type="gramEnd"/>
      <w:r w:rsidR="009D3B75" w:rsidRPr="009D3B75">
        <w:rPr>
          <w:rFonts w:ascii="Arial" w:hAnsi="Arial" w:cs="Arial"/>
          <w:b/>
          <w:bCs/>
          <w:shd w:val="clear" w:color="auto" w:fill="FFFFFF"/>
        </w:rPr>
        <w:t xml:space="preserve"> the department’s performance being poor in respect of compliance to government’s 30-day payment to service providers</w:t>
      </w:r>
      <w:r w:rsidR="00AB5E74">
        <w:rPr>
          <w:rFonts w:ascii="Arial" w:hAnsi="Arial" w:cs="Arial"/>
          <w:b/>
          <w:bCs/>
          <w:shd w:val="clear" w:color="auto" w:fill="FFFFFF"/>
        </w:rPr>
        <w:t>;</w:t>
      </w:r>
      <w:r w:rsidRPr="009D3B75">
        <w:rPr>
          <w:rFonts w:ascii="Arial" w:hAnsi="Arial" w:cs="Arial"/>
          <w:b/>
          <w:bCs/>
          <w:shd w:val="clear" w:color="auto" w:fill="FFFFFF"/>
        </w:rPr>
        <w:t xml:space="preserve"> </w:t>
      </w:r>
    </w:p>
    <w:p w14:paraId="5E7C189B" w14:textId="77777777" w:rsidR="00CC5E20" w:rsidRPr="009D3B75" w:rsidRDefault="00CC5E20" w:rsidP="009D3B75">
      <w:pPr>
        <w:pStyle w:val="ListParagraph"/>
        <w:rPr>
          <w:rFonts w:ascii="Arial" w:hAnsi="Arial" w:cs="Arial"/>
          <w:b/>
          <w:bCs/>
          <w:lang w:val="en-GB"/>
        </w:rPr>
      </w:pPr>
    </w:p>
    <w:p w14:paraId="0413EE75" w14:textId="26C6FFB3"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lang w:val="en-GB"/>
        </w:rPr>
        <w:t>Th</w:t>
      </w:r>
      <w:r w:rsidR="009D3B75" w:rsidRPr="009D3B75">
        <w:rPr>
          <w:rFonts w:ascii="Arial" w:hAnsi="Arial" w:cs="Arial"/>
          <w:b/>
          <w:bCs/>
          <w:lang w:val="en-GB"/>
        </w:rPr>
        <w:t xml:space="preserve">at GPT should draft and submit uniform Standard Operating Procedures for the implementation of follow-up mechanisms on non-compliance, rather than respective departments implementing </w:t>
      </w:r>
      <w:r w:rsidRPr="009D3B75">
        <w:rPr>
          <w:rFonts w:ascii="Arial" w:hAnsi="Arial" w:cs="Arial"/>
          <w:b/>
          <w:bCs/>
          <w:lang w:val="en-GB"/>
        </w:rPr>
        <w:t>various systems to attain the objective of following-up on non-compliance; and</w:t>
      </w:r>
    </w:p>
    <w:p w14:paraId="0BAFA95E" w14:textId="77777777" w:rsidR="00CC5E20" w:rsidRPr="009D3B75" w:rsidRDefault="00CC5E20" w:rsidP="009D3B75">
      <w:pPr>
        <w:pStyle w:val="ListParagraph"/>
        <w:rPr>
          <w:rFonts w:ascii="Arial" w:hAnsi="Arial" w:cs="Arial"/>
          <w:b/>
          <w:bCs/>
          <w:lang w:val="en-GB"/>
        </w:rPr>
      </w:pPr>
    </w:p>
    <w:p w14:paraId="2E09D58A" w14:textId="737FBA15" w:rsidR="00CC5E20" w:rsidRPr="009D3B75" w:rsidRDefault="00CC5E20" w:rsidP="009D3B75">
      <w:pPr>
        <w:pStyle w:val="ListParagraph"/>
        <w:numPr>
          <w:ilvl w:val="0"/>
          <w:numId w:val="22"/>
        </w:numPr>
        <w:spacing w:after="0"/>
        <w:jc w:val="both"/>
        <w:rPr>
          <w:rFonts w:ascii="Arial" w:hAnsi="Arial" w:cs="Arial"/>
          <w:b/>
        </w:rPr>
      </w:pPr>
      <w:r w:rsidRPr="009D3B75">
        <w:rPr>
          <w:rFonts w:ascii="Arial" w:hAnsi="Arial" w:cs="Arial"/>
          <w:b/>
          <w:bCs/>
          <w:lang w:val="en-GB"/>
        </w:rPr>
        <w:t>Th</w:t>
      </w:r>
      <w:r w:rsidR="009D3B75" w:rsidRPr="009D3B75">
        <w:rPr>
          <w:rFonts w:ascii="Arial" w:hAnsi="Arial" w:cs="Arial"/>
          <w:b/>
          <w:bCs/>
          <w:lang w:val="en-GB"/>
        </w:rPr>
        <w:t xml:space="preserve">at the </w:t>
      </w:r>
      <w:r w:rsidRPr="009D3B75">
        <w:rPr>
          <w:rFonts w:ascii="Arial" w:hAnsi="Arial" w:cs="Arial"/>
          <w:b/>
          <w:bCs/>
          <w:lang w:val="en-GB"/>
        </w:rPr>
        <w:t xml:space="preserve">Department of Health </w:t>
      </w:r>
      <w:r w:rsidR="009D3B75" w:rsidRPr="009D3B75">
        <w:rPr>
          <w:rFonts w:ascii="Arial" w:hAnsi="Arial" w:cs="Arial"/>
          <w:b/>
          <w:bCs/>
          <w:lang w:val="en-GB"/>
        </w:rPr>
        <w:t>should submit a plan demonstrating its determination to curb non-</w:t>
      </w:r>
      <w:r w:rsidRPr="009D3B75">
        <w:rPr>
          <w:rFonts w:ascii="Arial" w:hAnsi="Arial" w:cs="Arial"/>
          <w:b/>
          <w:bCs/>
          <w:lang w:val="en-GB"/>
        </w:rPr>
        <w:t xml:space="preserve">compliance with government’s 30-day payment to service providers, </w:t>
      </w:r>
      <w:r w:rsidR="009D3B75" w:rsidRPr="009D3B75">
        <w:rPr>
          <w:rFonts w:ascii="Arial" w:hAnsi="Arial" w:cs="Arial"/>
          <w:b/>
          <w:bCs/>
          <w:lang w:val="en-GB"/>
        </w:rPr>
        <w:t xml:space="preserve">via </w:t>
      </w:r>
      <w:r w:rsidRPr="009D3B75">
        <w:rPr>
          <w:rFonts w:ascii="Arial" w:hAnsi="Arial" w:cs="Arial"/>
          <w:b/>
          <w:bCs/>
          <w:lang w:val="en-GB"/>
        </w:rPr>
        <w:t>consequence management.</w:t>
      </w:r>
    </w:p>
    <w:p w14:paraId="0FD58C98" w14:textId="77777777" w:rsidR="00990F11" w:rsidRPr="009D3B75" w:rsidRDefault="00990F11" w:rsidP="009D3B75">
      <w:pPr>
        <w:spacing w:after="0"/>
        <w:jc w:val="both"/>
        <w:rPr>
          <w:rFonts w:ascii="Arial" w:hAnsi="Arial" w:cs="Arial"/>
          <w:b/>
        </w:rPr>
      </w:pPr>
    </w:p>
    <w:p w14:paraId="0855A91F" w14:textId="77777777" w:rsidR="000232FD" w:rsidRPr="009D3B75" w:rsidRDefault="00634D8A"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bookmarkStart w:id="16" w:name="_Toc395007654"/>
      <w:bookmarkStart w:id="17" w:name="_Toc401138939"/>
      <w:r w:rsidRPr="009D3B75">
        <w:rPr>
          <w:rFonts w:ascii="Arial" w:hAnsi="Arial" w:cs="Arial"/>
          <w:color w:val="auto"/>
          <w:sz w:val="22"/>
          <w:szCs w:val="22"/>
        </w:rPr>
        <w:t>ACKNOWLEDGEMENTS</w:t>
      </w:r>
      <w:bookmarkEnd w:id="16"/>
      <w:bookmarkEnd w:id="17"/>
    </w:p>
    <w:p w14:paraId="0855A920" w14:textId="77777777" w:rsidR="00E341A3" w:rsidRPr="009D3B75" w:rsidRDefault="00E341A3" w:rsidP="009D3B75">
      <w:pPr>
        <w:pStyle w:val="BodyTextIndent3"/>
        <w:spacing w:after="0" w:line="276" w:lineRule="auto"/>
        <w:ind w:left="0"/>
        <w:jc w:val="both"/>
        <w:rPr>
          <w:rFonts w:ascii="Arial" w:hAnsi="Arial" w:cs="Arial"/>
          <w:sz w:val="22"/>
          <w:szCs w:val="22"/>
        </w:rPr>
      </w:pPr>
    </w:p>
    <w:p w14:paraId="0555FE93" w14:textId="5D0BA2C7" w:rsidR="00AE38E0" w:rsidRPr="009D3B75" w:rsidRDefault="00AE38E0" w:rsidP="009D3B75">
      <w:pPr>
        <w:spacing w:after="0"/>
        <w:jc w:val="both"/>
        <w:rPr>
          <w:rFonts w:ascii="Arial" w:hAnsi="Arial" w:cs="Arial"/>
        </w:rPr>
      </w:pPr>
      <w:r w:rsidRPr="009D3B75">
        <w:rPr>
          <w:rFonts w:ascii="Arial" w:hAnsi="Arial" w:cs="Arial"/>
        </w:rPr>
        <w:t xml:space="preserve">The Portfolio Committee extends gratitude to the Honourable MEC N. Nkomo Ralehoko, the Head of Department Ms. N. </w:t>
      </w:r>
      <w:proofErr w:type="spellStart"/>
      <w:r w:rsidRPr="009D3B75">
        <w:rPr>
          <w:rFonts w:ascii="Arial" w:hAnsi="Arial" w:cs="Arial"/>
        </w:rPr>
        <w:t>Mnyani</w:t>
      </w:r>
      <w:proofErr w:type="spellEnd"/>
      <w:r w:rsidRPr="009D3B75">
        <w:rPr>
          <w:rFonts w:ascii="Arial" w:hAnsi="Arial" w:cs="Arial"/>
        </w:rPr>
        <w:t xml:space="preserve"> and officials of the Gauteng Provincial Treasury for their cooperation d</w:t>
      </w:r>
      <w:r w:rsidR="00E974CB" w:rsidRPr="009D3B75">
        <w:rPr>
          <w:rFonts w:ascii="Arial" w:hAnsi="Arial" w:cs="Arial"/>
        </w:rPr>
        <w:t xml:space="preserve"> </w:t>
      </w:r>
      <w:proofErr w:type="spellStart"/>
      <w:r w:rsidRPr="009D3B75">
        <w:rPr>
          <w:rFonts w:ascii="Arial" w:hAnsi="Arial" w:cs="Arial"/>
        </w:rPr>
        <w:t>uring</w:t>
      </w:r>
      <w:proofErr w:type="spellEnd"/>
      <w:r w:rsidRPr="009D3B75">
        <w:rPr>
          <w:rFonts w:ascii="Arial" w:hAnsi="Arial" w:cs="Arial"/>
        </w:rPr>
        <w:t xml:space="preserve"> the </w:t>
      </w:r>
      <w:r w:rsidR="001E7DBF" w:rsidRPr="009D3B75">
        <w:rPr>
          <w:rFonts w:ascii="Arial" w:hAnsi="Arial" w:cs="Arial"/>
        </w:rPr>
        <w:t xml:space="preserve">during the FIS process. Gratitude is also extended to </w:t>
      </w:r>
      <w:r w:rsidR="00CC5E20" w:rsidRPr="009D3B75">
        <w:rPr>
          <w:rFonts w:ascii="Arial" w:hAnsi="Arial" w:cs="Arial"/>
        </w:rPr>
        <w:t xml:space="preserve">the Public Service Commission </w:t>
      </w:r>
      <w:r w:rsidRPr="009D3B75">
        <w:rPr>
          <w:rFonts w:ascii="Arial" w:hAnsi="Arial" w:cs="Arial"/>
        </w:rPr>
        <w:t xml:space="preserve">and </w:t>
      </w:r>
      <w:r w:rsidR="00CC5E20" w:rsidRPr="009D3B75">
        <w:rPr>
          <w:rFonts w:ascii="Arial" w:hAnsi="Arial" w:cs="Arial"/>
        </w:rPr>
        <w:t xml:space="preserve">Departments of Health, Social Development, Community Safety and Infrastructure Development </w:t>
      </w:r>
      <w:r w:rsidR="00385A33" w:rsidRPr="009D3B75">
        <w:rPr>
          <w:rFonts w:ascii="Arial" w:hAnsi="Arial" w:cs="Arial"/>
        </w:rPr>
        <w:t xml:space="preserve">for their </w:t>
      </w:r>
      <w:r w:rsidR="001E7DBF" w:rsidRPr="009D3B75">
        <w:rPr>
          <w:rFonts w:ascii="Arial" w:hAnsi="Arial" w:cs="Arial"/>
        </w:rPr>
        <w:t>participat</w:t>
      </w:r>
      <w:r w:rsidR="00385A33" w:rsidRPr="009D3B75">
        <w:rPr>
          <w:rFonts w:ascii="Arial" w:hAnsi="Arial" w:cs="Arial"/>
        </w:rPr>
        <w:t>ion</w:t>
      </w:r>
      <w:r w:rsidR="001E7DBF" w:rsidRPr="009D3B75">
        <w:rPr>
          <w:rFonts w:ascii="Arial" w:hAnsi="Arial" w:cs="Arial"/>
        </w:rPr>
        <w:t xml:space="preserve"> in the FIS process.</w:t>
      </w:r>
    </w:p>
    <w:p w14:paraId="4F5B336D" w14:textId="2B768103" w:rsidR="00AE38E0" w:rsidRPr="009D3B75" w:rsidRDefault="00AE38E0" w:rsidP="009D3B75">
      <w:pPr>
        <w:spacing w:after="0"/>
        <w:rPr>
          <w:rFonts w:ascii="Arial" w:hAnsi="Arial" w:cs="Arial"/>
        </w:rPr>
      </w:pPr>
    </w:p>
    <w:p w14:paraId="40F7CAC7" w14:textId="03420FC5" w:rsidR="00385A33" w:rsidRPr="009D3B75" w:rsidRDefault="00385A33" w:rsidP="009D3B75">
      <w:pPr>
        <w:jc w:val="both"/>
        <w:rPr>
          <w:rFonts w:ascii="Arial" w:hAnsi="Arial" w:cs="Arial"/>
        </w:rPr>
      </w:pPr>
      <w:r w:rsidRPr="009D3B75">
        <w:rPr>
          <w:rFonts w:ascii="Arial" w:hAnsi="Arial" w:cs="Arial"/>
        </w:rPr>
        <w:t xml:space="preserve">Appreciation for diligence, dedication and commitment shown during deliberations on the FIS process goes to all Members of the Finance Portfolio Committee Mr. P. Malema; Dr. M.R. Phaladi-Digamela; Mr. W. Matsheke; Dr. B. Masuku; Mr. </w:t>
      </w:r>
      <w:r w:rsidR="00CC5E20" w:rsidRPr="009D3B75">
        <w:rPr>
          <w:rFonts w:ascii="Arial" w:hAnsi="Arial" w:cs="Arial"/>
        </w:rPr>
        <w:t>P</w:t>
      </w:r>
      <w:r w:rsidRPr="009D3B75">
        <w:rPr>
          <w:rFonts w:ascii="Arial" w:hAnsi="Arial" w:cs="Arial"/>
        </w:rPr>
        <w:t xml:space="preserve">. </w:t>
      </w:r>
      <w:r w:rsidR="00CC5E20" w:rsidRPr="009D3B75">
        <w:rPr>
          <w:rFonts w:ascii="Arial" w:hAnsi="Arial" w:cs="Arial"/>
        </w:rPr>
        <w:t>Atkinson</w:t>
      </w:r>
      <w:r w:rsidRPr="009D3B75">
        <w:rPr>
          <w:rFonts w:ascii="Arial" w:hAnsi="Arial" w:cs="Arial"/>
        </w:rPr>
        <w:t>; Ms. A. Randall; Mr K.C. Mazwi; and Mr. I. Mukwevho.</w:t>
      </w:r>
    </w:p>
    <w:p w14:paraId="0855A926" w14:textId="643E7D96" w:rsidR="00505332" w:rsidRPr="009D3B75" w:rsidRDefault="00385A33" w:rsidP="009D3B75">
      <w:pPr>
        <w:spacing w:after="0"/>
        <w:jc w:val="both"/>
        <w:rPr>
          <w:rFonts w:ascii="Arial" w:hAnsi="Arial" w:cs="Arial"/>
        </w:rPr>
      </w:pPr>
      <w:r w:rsidRPr="009D3B75">
        <w:rPr>
          <w:rFonts w:ascii="Arial" w:hAnsi="Arial" w:cs="Arial"/>
        </w:rPr>
        <w:t xml:space="preserve">The Committee’s gratitude is extended to the following support staff: Group Committee Coordinator Mr. T. </w:t>
      </w:r>
      <w:r w:rsidR="00CC5E20" w:rsidRPr="009D3B75">
        <w:rPr>
          <w:rFonts w:ascii="Arial" w:hAnsi="Arial" w:cs="Arial"/>
        </w:rPr>
        <w:t>Bodibe</w:t>
      </w:r>
      <w:r w:rsidRPr="009D3B75">
        <w:rPr>
          <w:rFonts w:ascii="Arial" w:hAnsi="Arial" w:cs="Arial"/>
        </w:rPr>
        <w:t xml:space="preserve">; Senior Committee Coordinators Mr. J. Ntsane and </w:t>
      </w:r>
      <w:r w:rsidR="00CC5E20" w:rsidRPr="009D3B75">
        <w:rPr>
          <w:rFonts w:ascii="Arial" w:hAnsi="Arial" w:cs="Arial"/>
        </w:rPr>
        <w:t>Ms. C. De Beer (Acting)</w:t>
      </w:r>
      <w:r w:rsidRPr="009D3B75">
        <w:rPr>
          <w:rFonts w:ascii="Arial" w:hAnsi="Arial" w:cs="Arial"/>
        </w:rPr>
        <w:t>, Researchers Mr. M. Tshehla and Ms. L. Chiloane; Senior Information Officer Mr. W. Nsibande; Media Officer Mr. A. Dikola; Committee Administrators Mr. Z. Mabuza, Service Officer Ms. R. Msimanga, Catering Assistant Ms. E. Nthene and Hansard Recorder Ms. R. Singh.</w:t>
      </w:r>
    </w:p>
    <w:p w14:paraId="7FCC9EF6" w14:textId="77777777" w:rsidR="00385A33" w:rsidRPr="009D3B75" w:rsidRDefault="00385A33" w:rsidP="009D3B75">
      <w:pPr>
        <w:spacing w:after="0"/>
        <w:rPr>
          <w:rFonts w:ascii="Arial" w:hAnsi="Arial" w:cs="Arial"/>
        </w:rPr>
      </w:pPr>
    </w:p>
    <w:p w14:paraId="0855A927" w14:textId="77777777" w:rsidR="006F7DC1" w:rsidRPr="009D3B75" w:rsidRDefault="006F7DC1" w:rsidP="009D3B75">
      <w:pPr>
        <w:pStyle w:val="Heading1"/>
        <w:numPr>
          <w:ilvl w:val="0"/>
          <w:numId w:val="1"/>
        </w:numPr>
        <w:shd w:val="clear" w:color="auto" w:fill="F2F2F2" w:themeFill="background1" w:themeFillShade="F2"/>
        <w:spacing w:before="0" w:line="276" w:lineRule="auto"/>
        <w:ind w:left="567" w:hanging="567"/>
        <w:rPr>
          <w:rFonts w:ascii="Arial" w:hAnsi="Arial" w:cs="Arial"/>
          <w:color w:val="auto"/>
          <w:sz w:val="22"/>
          <w:szCs w:val="22"/>
        </w:rPr>
      </w:pPr>
      <w:r w:rsidRPr="009D3B75">
        <w:rPr>
          <w:rFonts w:ascii="Arial" w:hAnsi="Arial" w:cs="Arial"/>
          <w:color w:val="auto"/>
          <w:sz w:val="22"/>
          <w:szCs w:val="22"/>
        </w:rPr>
        <w:t xml:space="preserve">ADOPTION </w:t>
      </w:r>
    </w:p>
    <w:p w14:paraId="0855A928" w14:textId="77777777" w:rsidR="00E341A3" w:rsidRPr="009D3B75" w:rsidRDefault="00E341A3" w:rsidP="009D3B75">
      <w:pPr>
        <w:spacing w:after="0"/>
        <w:jc w:val="both"/>
        <w:rPr>
          <w:rFonts w:ascii="Arial" w:hAnsi="Arial" w:cs="Arial"/>
          <w:bCs/>
        </w:rPr>
      </w:pPr>
    </w:p>
    <w:p w14:paraId="0855A929" w14:textId="34AA3F22" w:rsidR="00F3749D" w:rsidRPr="009D3B75" w:rsidRDefault="00176826" w:rsidP="009D3B75">
      <w:pPr>
        <w:jc w:val="both"/>
        <w:rPr>
          <w:rFonts w:ascii="Arial" w:hAnsi="Arial" w:cs="Arial"/>
          <w:b/>
          <w:bCs/>
        </w:rPr>
      </w:pPr>
      <w:r w:rsidRPr="009D3B75">
        <w:rPr>
          <w:rFonts w:ascii="Arial" w:hAnsi="Arial" w:cs="Arial"/>
          <w:bCs/>
        </w:rPr>
        <w:t xml:space="preserve">After due consideration the </w:t>
      </w:r>
      <w:r w:rsidR="00E341A3" w:rsidRPr="009D3B75">
        <w:rPr>
          <w:rFonts w:ascii="Arial" w:hAnsi="Arial" w:cs="Arial"/>
          <w:bCs/>
        </w:rPr>
        <w:t>Finance Portfolio</w:t>
      </w:r>
      <w:r w:rsidRPr="009D3B75">
        <w:rPr>
          <w:rFonts w:ascii="Arial" w:hAnsi="Arial" w:cs="Arial"/>
          <w:bCs/>
        </w:rPr>
        <w:t xml:space="preserve"> Committee unanimously adopted the FIS Report </w:t>
      </w:r>
      <w:r w:rsidR="002C1455" w:rsidRPr="009D3B75">
        <w:rPr>
          <w:rFonts w:ascii="Arial" w:hAnsi="Arial" w:cs="Arial"/>
          <w:bCs/>
        </w:rPr>
        <w:t>t</w:t>
      </w:r>
      <w:r w:rsidR="00E341A3" w:rsidRPr="009D3B75">
        <w:rPr>
          <w:rFonts w:ascii="Arial" w:hAnsi="Arial" w:cs="Arial"/>
          <w:bCs/>
        </w:rPr>
        <w:t>itled</w:t>
      </w:r>
      <w:r w:rsidR="00ED23D0" w:rsidRPr="009D3B75">
        <w:rPr>
          <w:rFonts w:ascii="Arial" w:hAnsi="Arial" w:cs="Arial"/>
          <w:bCs/>
        </w:rPr>
        <w:t xml:space="preserve"> “</w:t>
      </w:r>
      <w:r w:rsidR="00CC5E20" w:rsidRPr="009D3B75">
        <w:rPr>
          <w:rFonts w:ascii="Arial" w:hAnsi="Arial" w:cs="Arial"/>
          <w:b/>
          <w:bCs/>
        </w:rPr>
        <w:t>Gauteng Provincial Government’s Compliance with Government’s 30-Day Payment to Service Providers</w:t>
      </w:r>
      <w:r w:rsidR="00E10892" w:rsidRPr="009D3B75">
        <w:rPr>
          <w:rFonts w:ascii="Arial" w:hAnsi="Arial" w:cs="Arial"/>
          <w:b/>
          <w:i/>
        </w:rPr>
        <w:t>”</w:t>
      </w:r>
      <w:r w:rsidRPr="009D3B75">
        <w:rPr>
          <w:rFonts w:ascii="Arial" w:hAnsi="Arial" w:cs="Arial"/>
          <w:b/>
          <w:bCs/>
        </w:rPr>
        <w:t>.</w:t>
      </w:r>
      <w:r w:rsidR="00542674" w:rsidRPr="009D3B75">
        <w:rPr>
          <w:rFonts w:ascii="Arial" w:hAnsi="Arial" w:cs="Arial"/>
          <w:b/>
          <w:bCs/>
        </w:rPr>
        <w:t xml:space="preserve"> </w:t>
      </w:r>
    </w:p>
    <w:p w14:paraId="0855A92A" w14:textId="1584259E" w:rsidR="00CF2427" w:rsidRPr="009D3B75" w:rsidRDefault="0056424D" w:rsidP="009D3B75">
      <w:pPr>
        <w:jc w:val="both"/>
        <w:rPr>
          <w:rFonts w:ascii="Arial" w:eastAsia="Times New Roman" w:hAnsi="Arial" w:cs="Arial"/>
        </w:rPr>
      </w:pPr>
      <w:r w:rsidRPr="009D3B75">
        <w:rPr>
          <w:rFonts w:ascii="Arial" w:eastAsia="Times New Roman" w:hAnsi="Arial" w:cs="Arial"/>
        </w:rPr>
        <w:t>In accordance with Rule 16</w:t>
      </w:r>
      <w:r w:rsidR="00CB733A">
        <w:rPr>
          <w:rFonts w:ascii="Arial" w:eastAsia="Times New Roman" w:hAnsi="Arial" w:cs="Arial"/>
        </w:rPr>
        <w:t>5</w:t>
      </w:r>
      <w:r w:rsidRPr="009D3B75">
        <w:rPr>
          <w:rFonts w:ascii="Arial" w:eastAsia="Times New Roman" w:hAnsi="Arial" w:cs="Arial"/>
        </w:rPr>
        <w:t xml:space="preserve">, the </w:t>
      </w:r>
      <w:r w:rsidR="00E341A3" w:rsidRPr="009D3B75">
        <w:rPr>
          <w:rFonts w:ascii="Arial" w:eastAsia="Times New Roman" w:hAnsi="Arial" w:cs="Arial"/>
        </w:rPr>
        <w:t xml:space="preserve">Finance </w:t>
      </w:r>
      <w:r w:rsidRPr="009D3B75">
        <w:rPr>
          <w:rFonts w:ascii="Arial" w:eastAsia="Times New Roman" w:hAnsi="Arial" w:cs="Arial"/>
        </w:rPr>
        <w:t xml:space="preserve">Portfolio Committee presents to the House the Focussed Intervention Study (FIS) Report </w:t>
      </w:r>
      <w:r w:rsidR="00ED23D0" w:rsidRPr="009D3B75">
        <w:rPr>
          <w:rFonts w:ascii="Arial" w:eastAsia="Times New Roman" w:hAnsi="Arial" w:cs="Arial"/>
        </w:rPr>
        <w:t>titled</w:t>
      </w:r>
      <w:r w:rsidRPr="009D3B75">
        <w:rPr>
          <w:rFonts w:ascii="Arial" w:eastAsia="Times New Roman" w:hAnsi="Arial" w:cs="Arial"/>
        </w:rPr>
        <w:t xml:space="preserve"> “</w:t>
      </w:r>
      <w:r w:rsidR="00CC5E20" w:rsidRPr="009D3B75">
        <w:rPr>
          <w:rFonts w:ascii="Arial" w:hAnsi="Arial" w:cs="Arial"/>
          <w:b/>
          <w:bCs/>
        </w:rPr>
        <w:t>Gauteng Provincial Government’s Compliance with Government’s 30-Day Payment to Service Providers</w:t>
      </w:r>
      <w:r w:rsidRPr="009D3B75">
        <w:rPr>
          <w:rFonts w:ascii="Arial" w:eastAsia="Times New Roman" w:hAnsi="Arial" w:cs="Arial"/>
        </w:rPr>
        <w:t>”</w:t>
      </w:r>
      <w:r w:rsidRPr="009D3B75">
        <w:rPr>
          <w:rFonts w:ascii="Arial" w:hAnsi="Arial" w:cs="Arial"/>
        </w:rPr>
        <w:t xml:space="preserve"> </w:t>
      </w:r>
      <w:r w:rsidRPr="009D3B75">
        <w:rPr>
          <w:rFonts w:ascii="Arial" w:eastAsia="Times New Roman" w:hAnsi="Arial" w:cs="Arial"/>
        </w:rPr>
        <w:t>for ado</w:t>
      </w:r>
      <w:r w:rsidR="00F3749D" w:rsidRPr="009D3B75">
        <w:rPr>
          <w:rFonts w:ascii="Arial" w:eastAsia="Times New Roman" w:hAnsi="Arial" w:cs="Arial"/>
        </w:rPr>
        <w:t xml:space="preserve">ption; </w:t>
      </w:r>
      <w:proofErr w:type="gramStart"/>
      <w:r w:rsidR="00F3749D" w:rsidRPr="009D3B75">
        <w:rPr>
          <w:rFonts w:ascii="Arial" w:eastAsia="Times New Roman" w:hAnsi="Arial" w:cs="Arial"/>
        </w:rPr>
        <w:t>taking into account</w:t>
      </w:r>
      <w:proofErr w:type="gramEnd"/>
      <w:r w:rsidR="00F3749D" w:rsidRPr="009D3B75">
        <w:rPr>
          <w:rFonts w:ascii="Arial" w:eastAsia="Times New Roman" w:hAnsi="Arial" w:cs="Arial"/>
        </w:rPr>
        <w:t xml:space="preserve"> the r</w:t>
      </w:r>
      <w:r w:rsidRPr="009D3B75">
        <w:rPr>
          <w:rFonts w:ascii="Arial" w:eastAsia="Times New Roman" w:hAnsi="Arial" w:cs="Arial"/>
        </w:rPr>
        <w:t>ecommendati</w:t>
      </w:r>
      <w:r w:rsidR="00CE5989" w:rsidRPr="009D3B75">
        <w:rPr>
          <w:rFonts w:ascii="Arial" w:eastAsia="Times New Roman" w:hAnsi="Arial" w:cs="Arial"/>
        </w:rPr>
        <w:t>ons made i</w:t>
      </w:r>
      <w:r w:rsidR="00F3749D" w:rsidRPr="009D3B75">
        <w:rPr>
          <w:rFonts w:ascii="Arial" w:eastAsia="Times New Roman" w:hAnsi="Arial" w:cs="Arial"/>
        </w:rPr>
        <w:t>n the</w:t>
      </w:r>
      <w:r w:rsidR="00C176AA" w:rsidRPr="009D3B75">
        <w:rPr>
          <w:rFonts w:ascii="Arial" w:eastAsia="Times New Roman" w:hAnsi="Arial" w:cs="Arial"/>
        </w:rPr>
        <w:t xml:space="preserve"> report.</w:t>
      </w:r>
    </w:p>
    <w:sectPr w:rsidR="00CF2427" w:rsidRPr="009D3B75" w:rsidSect="001411EA">
      <w:footerReference w:type="default" r:id="rId10"/>
      <w:pgSz w:w="11906" w:h="16838"/>
      <w:pgMar w:top="1440" w:right="1440" w:bottom="1135"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B3C92" w14:textId="77777777" w:rsidR="007C6A0B" w:rsidRDefault="007C6A0B" w:rsidP="00A87770">
      <w:pPr>
        <w:spacing w:after="0" w:line="240" w:lineRule="auto"/>
      </w:pPr>
      <w:r>
        <w:separator/>
      </w:r>
    </w:p>
  </w:endnote>
  <w:endnote w:type="continuationSeparator" w:id="0">
    <w:p w14:paraId="1611E268" w14:textId="77777777" w:rsidR="007C6A0B" w:rsidRDefault="007C6A0B"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A930" w14:textId="61DCC0EE" w:rsidR="00DD0783" w:rsidRPr="00815EDA" w:rsidRDefault="003940C9" w:rsidP="00075BFC">
    <w:pPr>
      <w:pStyle w:val="Footer"/>
      <w:tabs>
        <w:tab w:val="left" w:pos="7430"/>
      </w:tabs>
      <w:rPr>
        <w:rFonts w:ascii="Arial Narrow" w:hAnsi="Arial Narrow"/>
      </w:rPr>
    </w:pPr>
    <w:r>
      <w:rPr>
        <w:rFonts w:ascii="Arial Narrow" w:hAnsi="Arial Narrow"/>
        <w:b/>
        <w:sz w:val="20"/>
        <w:szCs w:val="20"/>
      </w:rPr>
      <w:t>Adopted</w:t>
    </w:r>
    <w:r w:rsidR="00DD0783">
      <w:rPr>
        <w:rFonts w:ascii="Arial Narrow" w:hAnsi="Arial Narrow"/>
        <w:b/>
        <w:sz w:val="20"/>
        <w:szCs w:val="20"/>
      </w:rPr>
      <w:t xml:space="preserve"> Finance Portfolio Committee </w:t>
    </w:r>
    <w:r w:rsidR="00DD0783" w:rsidRPr="0004251A">
      <w:rPr>
        <w:rFonts w:ascii="Arial Narrow" w:hAnsi="Arial Narrow"/>
        <w:b/>
        <w:sz w:val="20"/>
        <w:szCs w:val="20"/>
      </w:rPr>
      <w:t>FIS Oversight Report</w:t>
    </w:r>
    <w:r w:rsidR="00DD0783">
      <w:rPr>
        <w:rFonts w:ascii="Arial Narrow" w:hAnsi="Arial Narrow"/>
        <w:b/>
        <w:sz w:val="20"/>
        <w:szCs w:val="20"/>
      </w:rPr>
      <w:t xml:space="preserve"> 20</w:t>
    </w:r>
    <w:r w:rsidR="001F6A65">
      <w:rPr>
        <w:rFonts w:ascii="Arial Narrow" w:hAnsi="Arial Narrow"/>
        <w:b/>
        <w:sz w:val="20"/>
        <w:szCs w:val="20"/>
      </w:rPr>
      <w:t>2</w:t>
    </w:r>
    <w:r w:rsidR="00E974CB">
      <w:rPr>
        <w:rFonts w:ascii="Arial Narrow" w:hAnsi="Arial Narrow"/>
        <w:b/>
        <w:sz w:val="20"/>
        <w:szCs w:val="20"/>
      </w:rPr>
      <w:t>2</w:t>
    </w:r>
    <w:r w:rsidR="00DD0783" w:rsidRPr="00815EDA">
      <w:rPr>
        <w:rFonts w:ascii="Arial Narrow" w:hAnsi="Arial Narrow"/>
      </w:rPr>
      <w:t xml:space="preserve"> </w:t>
    </w:r>
    <w:r w:rsidR="009275D3">
      <w:rPr>
        <w:rFonts w:ascii="Arial Narrow" w:hAnsi="Arial Narrow"/>
      </w:rPr>
      <w:t xml:space="preserve"> </w:t>
    </w:r>
    <w:r w:rsidR="00DD0783" w:rsidRPr="00815EDA">
      <w:rPr>
        <w:rFonts w:ascii="Arial Narrow" w:hAnsi="Arial Narrow"/>
      </w:rPr>
      <w:t xml:space="preserve"> </w:t>
    </w:r>
    <w:sdt>
      <w:sdtPr>
        <w:rPr>
          <w:rFonts w:ascii="Arial Narrow" w:hAnsi="Arial Narrow"/>
        </w:rPr>
        <w:id w:val="2313826"/>
        <w:docPartObj>
          <w:docPartGallery w:val="Page Numbers (Bottom of Page)"/>
          <w:docPartUnique/>
        </w:docPartObj>
      </w:sdtPr>
      <w:sdtEndPr/>
      <w:sdtContent>
        <w:sdt>
          <w:sdtPr>
            <w:rPr>
              <w:rFonts w:ascii="Arial Narrow" w:hAnsi="Arial Narrow"/>
            </w:rPr>
            <w:id w:val="565050523"/>
            <w:docPartObj>
              <w:docPartGallery w:val="Page Numbers (Top of Page)"/>
              <w:docPartUnique/>
            </w:docPartObj>
          </w:sdtPr>
          <w:sdtEndPr/>
          <w:sdtContent>
            <w:r w:rsidR="00DD0783">
              <w:rPr>
                <w:rFonts w:ascii="Arial Narrow" w:hAnsi="Arial Narrow"/>
              </w:rPr>
              <w:tab/>
            </w:r>
            <w:r w:rsidR="00DD0783">
              <w:rPr>
                <w:rFonts w:ascii="Arial Narrow" w:hAnsi="Arial Narrow"/>
              </w:rPr>
              <w:tab/>
            </w:r>
            <w:r w:rsidR="00DD0783" w:rsidRPr="00815EDA">
              <w:rPr>
                <w:rFonts w:ascii="Arial Narrow" w:hAnsi="Arial Narrow"/>
              </w:rPr>
              <w:t xml:space="preserve">Page </w:t>
            </w:r>
            <w:r w:rsidR="00DD0783" w:rsidRPr="00815EDA">
              <w:rPr>
                <w:rFonts w:ascii="Arial Narrow" w:hAnsi="Arial Narrow"/>
                <w:b/>
              </w:rPr>
              <w:fldChar w:fldCharType="begin"/>
            </w:r>
            <w:r w:rsidR="00DD0783" w:rsidRPr="00815EDA">
              <w:rPr>
                <w:rFonts w:ascii="Arial Narrow" w:hAnsi="Arial Narrow"/>
                <w:b/>
              </w:rPr>
              <w:instrText xml:space="preserve"> PAGE </w:instrText>
            </w:r>
            <w:r w:rsidR="00DD0783" w:rsidRPr="00815EDA">
              <w:rPr>
                <w:rFonts w:ascii="Arial Narrow" w:hAnsi="Arial Narrow"/>
                <w:b/>
              </w:rPr>
              <w:fldChar w:fldCharType="separate"/>
            </w:r>
            <w:r w:rsidR="002331FF">
              <w:rPr>
                <w:rFonts w:ascii="Arial Narrow" w:hAnsi="Arial Narrow"/>
                <w:b/>
                <w:noProof/>
              </w:rPr>
              <w:t>14</w:t>
            </w:r>
            <w:r w:rsidR="00DD0783" w:rsidRPr="00815EDA">
              <w:rPr>
                <w:rFonts w:ascii="Arial Narrow" w:hAnsi="Arial Narrow"/>
                <w:b/>
              </w:rPr>
              <w:fldChar w:fldCharType="end"/>
            </w:r>
            <w:r w:rsidR="00DD0783" w:rsidRPr="00815EDA">
              <w:rPr>
                <w:rFonts w:ascii="Arial Narrow" w:hAnsi="Arial Narrow"/>
              </w:rPr>
              <w:t xml:space="preserve"> of </w:t>
            </w:r>
            <w:r w:rsidR="00DD0783" w:rsidRPr="00815EDA">
              <w:rPr>
                <w:rFonts w:ascii="Arial Narrow" w:hAnsi="Arial Narrow"/>
                <w:b/>
              </w:rPr>
              <w:fldChar w:fldCharType="begin"/>
            </w:r>
            <w:r w:rsidR="00DD0783" w:rsidRPr="00815EDA">
              <w:rPr>
                <w:rFonts w:ascii="Arial Narrow" w:hAnsi="Arial Narrow"/>
                <w:b/>
              </w:rPr>
              <w:instrText xml:space="preserve"> NUMPAGES  </w:instrText>
            </w:r>
            <w:r w:rsidR="00DD0783" w:rsidRPr="00815EDA">
              <w:rPr>
                <w:rFonts w:ascii="Arial Narrow" w:hAnsi="Arial Narrow"/>
                <w:b/>
              </w:rPr>
              <w:fldChar w:fldCharType="separate"/>
            </w:r>
            <w:r w:rsidR="002331FF">
              <w:rPr>
                <w:rFonts w:ascii="Arial Narrow" w:hAnsi="Arial Narrow"/>
                <w:b/>
                <w:noProof/>
              </w:rPr>
              <w:t>14</w:t>
            </w:r>
            <w:r w:rsidR="00DD0783" w:rsidRPr="00815EDA">
              <w:rPr>
                <w:rFonts w:ascii="Arial Narrow" w:hAnsi="Arial Narrow"/>
                <w:b/>
              </w:rPr>
              <w:fldChar w:fldCharType="end"/>
            </w:r>
          </w:sdtContent>
        </w:sdt>
      </w:sdtContent>
    </w:sdt>
  </w:p>
  <w:p w14:paraId="0855A931" w14:textId="77777777" w:rsidR="00DD0783" w:rsidRPr="00815EDA" w:rsidRDefault="00DD0783">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98E7" w14:textId="77777777" w:rsidR="007C6A0B" w:rsidRDefault="007C6A0B" w:rsidP="00A87770">
      <w:pPr>
        <w:spacing w:after="0" w:line="240" w:lineRule="auto"/>
      </w:pPr>
      <w:r>
        <w:separator/>
      </w:r>
    </w:p>
  </w:footnote>
  <w:footnote w:type="continuationSeparator" w:id="0">
    <w:p w14:paraId="7149EF98" w14:textId="77777777" w:rsidR="007C6A0B" w:rsidRDefault="007C6A0B"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E30"/>
    <w:multiLevelType w:val="hybridMultilevel"/>
    <w:tmpl w:val="43465FB6"/>
    <w:lvl w:ilvl="0" w:tplc="678CF16A">
      <w:start w:val="1"/>
      <w:numFmt w:val="bullet"/>
      <w:lvlText w:val=""/>
      <w:lvlJc w:val="left"/>
      <w:pPr>
        <w:tabs>
          <w:tab w:val="num" w:pos="720"/>
        </w:tabs>
        <w:ind w:left="720" w:hanging="360"/>
      </w:pPr>
      <w:rPr>
        <w:rFonts w:ascii="Wingdings" w:hAnsi="Wingdings" w:hint="default"/>
      </w:rPr>
    </w:lvl>
    <w:lvl w:ilvl="1" w:tplc="056EB494" w:tentative="1">
      <w:start w:val="1"/>
      <w:numFmt w:val="bullet"/>
      <w:lvlText w:val=""/>
      <w:lvlJc w:val="left"/>
      <w:pPr>
        <w:tabs>
          <w:tab w:val="num" w:pos="1440"/>
        </w:tabs>
        <w:ind w:left="1440" w:hanging="360"/>
      </w:pPr>
      <w:rPr>
        <w:rFonts w:ascii="Wingdings" w:hAnsi="Wingdings" w:hint="default"/>
      </w:rPr>
    </w:lvl>
    <w:lvl w:ilvl="2" w:tplc="348C3FE6" w:tentative="1">
      <w:start w:val="1"/>
      <w:numFmt w:val="bullet"/>
      <w:lvlText w:val=""/>
      <w:lvlJc w:val="left"/>
      <w:pPr>
        <w:tabs>
          <w:tab w:val="num" w:pos="2160"/>
        </w:tabs>
        <w:ind w:left="2160" w:hanging="360"/>
      </w:pPr>
      <w:rPr>
        <w:rFonts w:ascii="Wingdings" w:hAnsi="Wingdings" w:hint="default"/>
      </w:rPr>
    </w:lvl>
    <w:lvl w:ilvl="3" w:tplc="CD54A98C" w:tentative="1">
      <w:start w:val="1"/>
      <w:numFmt w:val="bullet"/>
      <w:lvlText w:val=""/>
      <w:lvlJc w:val="left"/>
      <w:pPr>
        <w:tabs>
          <w:tab w:val="num" w:pos="2880"/>
        </w:tabs>
        <w:ind w:left="2880" w:hanging="360"/>
      </w:pPr>
      <w:rPr>
        <w:rFonts w:ascii="Wingdings" w:hAnsi="Wingdings" w:hint="default"/>
      </w:rPr>
    </w:lvl>
    <w:lvl w:ilvl="4" w:tplc="0BBC91E8" w:tentative="1">
      <w:start w:val="1"/>
      <w:numFmt w:val="bullet"/>
      <w:lvlText w:val=""/>
      <w:lvlJc w:val="left"/>
      <w:pPr>
        <w:tabs>
          <w:tab w:val="num" w:pos="3600"/>
        </w:tabs>
        <w:ind w:left="3600" w:hanging="360"/>
      </w:pPr>
      <w:rPr>
        <w:rFonts w:ascii="Wingdings" w:hAnsi="Wingdings" w:hint="default"/>
      </w:rPr>
    </w:lvl>
    <w:lvl w:ilvl="5" w:tplc="FF0050EC" w:tentative="1">
      <w:start w:val="1"/>
      <w:numFmt w:val="bullet"/>
      <w:lvlText w:val=""/>
      <w:lvlJc w:val="left"/>
      <w:pPr>
        <w:tabs>
          <w:tab w:val="num" w:pos="4320"/>
        </w:tabs>
        <w:ind w:left="4320" w:hanging="360"/>
      </w:pPr>
      <w:rPr>
        <w:rFonts w:ascii="Wingdings" w:hAnsi="Wingdings" w:hint="default"/>
      </w:rPr>
    </w:lvl>
    <w:lvl w:ilvl="6" w:tplc="D4289D2C" w:tentative="1">
      <w:start w:val="1"/>
      <w:numFmt w:val="bullet"/>
      <w:lvlText w:val=""/>
      <w:lvlJc w:val="left"/>
      <w:pPr>
        <w:tabs>
          <w:tab w:val="num" w:pos="5040"/>
        </w:tabs>
        <w:ind w:left="5040" w:hanging="360"/>
      </w:pPr>
      <w:rPr>
        <w:rFonts w:ascii="Wingdings" w:hAnsi="Wingdings" w:hint="default"/>
      </w:rPr>
    </w:lvl>
    <w:lvl w:ilvl="7" w:tplc="4F88A626" w:tentative="1">
      <w:start w:val="1"/>
      <w:numFmt w:val="bullet"/>
      <w:lvlText w:val=""/>
      <w:lvlJc w:val="left"/>
      <w:pPr>
        <w:tabs>
          <w:tab w:val="num" w:pos="5760"/>
        </w:tabs>
        <w:ind w:left="5760" w:hanging="360"/>
      </w:pPr>
      <w:rPr>
        <w:rFonts w:ascii="Wingdings" w:hAnsi="Wingdings" w:hint="default"/>
      </w:rPr>
    </w:lvl>
    <w:lvl w:ilvl="8" w:tplc="8CB687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F2212"/>
    <w:multiLevelType w:val="hybridMultilevel"/>
    <w:tmpl w:val="8F94CA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AD2398"/>
    <w:multiLevelType w:val="hybridMultilevel"/>
    <w:tmpl w:val="7B3661B4"/>
    <w:lvl w:ilvl="0" w:tplc="0409000B">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 w15:restartNumberingAfterBreak="0">
    <w:nsid w:val="143910B8"/>
    <w:multiLevelType w:val="hybridMultilevel"/>
    <w:tmpl w:val="0FE28D9C"/>
    <w:lvl w:ilvl="0" w:tplc="0FBC0408">
      <w:start w:val="1"/>
      <w:numFmt w:val="bullet"/>
      <w:lvlText w:val="•"/>
      <w:lvlJc w:val="left"/>
      <w:pPr>
        <w:tabs>
          <w:tab w:val="num" w:pos="720"/>
        </w:tabs>
        <w:ind w:left="720" w:hanging="360"/>
      </w:pPr>
      <w:rPr>
        <w:rFonts w:ascii="Arial" w:hAnsi="Arial" w:hint="default"/>
      </w:rPr>
    </w:lvl>
    <w:lvl w:ilvl="1" w:tplc="ED822C30" w:tentative="1">
      <w:start w:val="1"/>
      <w:numFmt w:val="bullet"/>
      <w:lvlText w:val="•"/>
      <w:lvlJc w:val="left"/>
      <w:pPr>
        <w:tabs>
          <w:tab w:val="num" w:pos="1440"/>
        </w:tabs>
        <w:ind w:left="1440" w:hanging="360"/>
      </w:pPr>
      <w:rPr>
        <w:rFonts w:ascii="Arial" w:hAnsi="Arial" w:hint="default"/>
      </w:rPr>
    </w:lvl>
    <w:lvl w:ilvl="2" w:tplc="7584B720" w:tentative="1">
      <w:start w:val="1"/>
      <w:numFmt w:val="bullet"/>
      <w:lvlText w:val="•"/>
      <w:lvlJc w:val="left"/>
      <w:pPr>
        <w:tabs>
          <w:tab w:val="num" w:pos="2160"/>
        </w:tabs>
        <w:ind w:left="2160" w:hanging="360"/>
      </w:pPr>
      <w:rPr>
        <w:rFonts w:ascii="Arial" w:hAnsi="Arial" w:hint="default"/>
      </w:rPr>
    </w:lvl>
    <w:lvl w:ilvl="3" w:tplc="E33CF4CE" w:tentative="1">
      <w:start w:val="1"/>
      <w:numFmt w:val="bullet"/>
      <w:lvlText w:val="•"/>
      <w:lvlJc w:val="left"/>
      <w:pPr>
        <w:tabs>
          <w:tab w:val="num" w:pos="2880"/>
        </w:tabs>
        <w:ind w:left="2880" w:hanging="360"/>
      </w:pPr>
      <w:rPr>
        <w:rFonts w:ascii="Arial" w:hAnsi="Arial" w:hint="default"/>
      </w:rPr>
    </w:lvl>
    <w:lvl w:ilvl="4" w:tplc="258AABD8" w:tentative="1">
      <w:start w:val="1"/>
      <w:numFmt w:val="bullet"/>
      <w:lvlText w:val="•"/>
      <w:lvlJc w:val="left"/>
      <w:pPr>
        <w:tabs>
          <w:tab w:val="num" w:pos="3600"/>
        </w:tabs>
        <w:ind w:left="3600" w:hanging="360"/>
      </w:pPr>
      <w:rPr>
        <w:rFonts w:ascii="Arial" w:hAnsi="Arial" w:hint="default"/>
      </w:rPr>
    </w:lvl>
    <w:lvl w:ilvl="5" w:tplc="2E9C967C" w:tentative="1">
      <w:start w:val="1"/>
      <w:numFmt w:val="bullet"/>
      <w:lvlText w:val="•"/>
      <w:lvlJc w:val="left"/>
      <w:pPr>
        <w:tabs>
          <w:tab w:val="num" w:pos="4320"/>
        </w:tabs>
        <w:ind w:left="4320" w:hanging="360"/>
      </w:pPr>
      <w:rPr>
        <w:rFonts w:ascii="Arial" w:hAnsi="Arial" w:hint="default"/>
      </w:rPr>
    </w:lvl>
    <w:lvl w:ilvl="6" w:tplc="B2F8412A" w:tentative="1">
      <w:start w:val="1"/>
      <w:numFmt w:val="bullet"/>
      <w:lvlText w:val="•"/>
      <w:lvlJc w:val="left"/>
      <w:pPr>
        <w:tabs>
          <w:tab w:val="num" w:pos="5040"/>
        </w:tabs>
        <w:ind w:left="5040" w:hanging="360"/>
      </w:pPr>
      <w:rPr>
        <w:rFonts w:ascii="Arial" w:hAnsi="Arial" w:hint="default"/>
      </w:rPr>
    </w:lvl>
    <w:lvl w:ilvl="7" w:tplc="4FD27FDA" w:tentative="1">
      <w:start w:val="1"/>
      <w:numFmt w:val="bullet"/>
      <w:lvlText w:val="•"/>
      <w:lvlJc w:val="left"/>
      <w:pPr>
        <w:tabs>
          <w:tab w:val="num" w:pos="5760"/>
        </w:tabs>
        <w:ind w:left="5760" w:hanging="360"/>
      </w:pPr>
      <w:rPr>
        <w:rFonts w:ascii="Arial" w:hAnsi="Arial" w:hint="default"/>
      </w:rPr>
    </w:lvl>
    <w:lvl w:ilvl="8" w:tplc="663435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65D75D0"/>
    <w:multiLevelType w:val="hybridMultilevel"/>
    <w:tmpl w:val="5814878A"/>
    <w:lvl w:ilvl="0" w:tplc="3BEE85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C7627"/>
    <w:multiLevelType w:val="hybridMultilevel"/>
    <w:tmpl w:val="0908B8DE"/>
    <w:lvl w:ilvl="0" w:tplc="9D649F2C">
      <w:start w:val="1"/>
      <w:numFmt w:val="bullet"/>
      <w:lvlText w:val="•"/>
      <w:lvlJc w:val="left"/>
      <w:pPr>
        <w:tabs>
          <w:tab w:val="num" w:pos="720"/>
        </w:tabs>
        <w:ind w:left="720" w:hanging="360"/>
      </w:pPr>
      <w:rPr>
        <w:rFonts w:ascii="Arial" w:hAnsi="Arial" w:hint="default"/>
      </w:rPr>
    </w:lvl>
    <w:lvl w:ilvl="1" w:tplc="F77AC1C2" w:tentative="1">
      <w:start w:val="1"/>
      <w:numFmt w:val="bullet"/>
      <w:lvlText w:val="•"/>
      <w:lvlJc w:val="left"/>
      <w:pPr>
        <w:tabs>
          <w:tab w:val="num" w:pos="1440"/>
        </w:tabs>
        <w:ind w:left="1440" w:hanging="360"/>
      </w:pPr>
      <w:rPr>
        <w:rFonts w:ascii="Arial" w:hAnsi="Arial" w:hint="default"/>
      </w:rPr>
    </w:lvl>
    <w:lvl w:ilvl="2" w:tplc="DAA81292" w:tentative="1">
      <w:start w:val="1"/>
      <w:numFmt w:val="bullet"/>
      <w:lvlText w:val="•"/>
      <w:lvlJc w:val="left"/>
      <w:pPr>
        <w:tabs>
          <w:tab w:val="num" w:pos="2160"/>
        </w:tabs>
        <w:ind w:left="2160" w:hanging="360"/>
      </w:pPr>
      <w:rPr>
        <w:rFonts w:ascii="Arial" w:hAnsi="Arial" w:hint="default"/>
      </w:rPr>
    </w:lvl>
    <w:lvl w:ilvl="3" w:tplc="C96E170E" w:tentative="1">
      <w:start w:val="1"/>
      <w:numFmt w:val="bullet"/>
      <w:lvlText w:val="•"/>
      <w:lvlJc w:val="left"/>
      <w:pPr>
        <w:tabs>
          <w:tab w:val="num" w:pos="2880"/>
        </w:tabs>
        <w:ind w:left="2880" w:hanging="360"/>
      </w:pPr>
      <w:rPr>
        <w:rFonts w:ascii="Arial" w:hAnsi="Arial" w:hint="default"/>
      </w:rPr>
    </w:lvl>
    <w:lvl w:ilvl="4" w:tplc="D034E3B2" w:tentative="1">
      <w:start w:val="1"/>
      <w:numFmt w:val="bullet"/>
      <w:lvlText w:val="•"/>
      <w:lvlJc w:val="left"/>
      <w:pPr>
        <w:tabs>
          <w:tab w:val="num" w:pos="3600"/>
        </w:tabs>
        <w:ind w:left="3600" w:hanging="360"/>
      </w:pPr>
      <w:rPr>
        <w:rFonts w:ascii="Arial" w:hAnsi="Arial" w:hint="default"/>
      </w:rPr>
    </w:lvl>
    <w:lvl w:ilvl="5" w:tplc="E48C7674" w:tentative="1">
      <w:start w:val="1"/>
      <w:numFmt w:val="bullet"/>
      <w:lvlText w:val="•"/>
      <w:lvlJc w:val="left"/>
      <w:pPr>
        <w:tabs>
          <w:tab w:val="num" w:pos="4320"/>
        </w:tabs>
        <w:ind w:left="4320" w:hanging="360"/>
      </w:pPr>
      <w:rPr>
        <w:rFonts w:ascii="Arial" w:hAnsi="Arial" w:hint="default"/>
      </w:rPr>
    </w:lvl>
    <w:lvl w:ilvl="6" w:tplc="C15C871A" w:tentative="1">
      <w:start w:val="1"/>
      <w:numFmt w:val="bullet"/>
      <w:lvlText w:val="•"/>
      <w:lvlJc w:val="left"/>
      <w:pPr>
        <w:tabs>
          <w:tab w:val="num" w:pos="5040"/>
        </w:tabs>
        <w:ind w:left="5040" w:hanging="360"/>
      </w:pPr>
      <w:rPr>
        <w:rFonts w:ascii="Arial" w:hAnsi="Arial" w:hint="default"/>
      </w:rPr>
    </w:lvl>
    <w:lvl w:ilvl="7" w:tplc="87FEC5CC" w:tentative="1">
      <w:start w:val="1"/>
      <w:numFmt w:val="bullet"/>
      <w:lvlText w:val="•"/>
      <w:lvlJc w:val="left"/>
      <w:pPr>
        <w:tabs>
          <w:tab w:val="num" w:pos="5760"/>
        </w:tabs>
        <w:ind w:left="5760" w:hanging="360"/>
      </w:pPr>
      <w:rPr>
        <w:rFonts w:ascii="Arial" w:hAnsi="Arial" w:hint="default"/>
      </w:rPr>
    </w:lvl>
    <w:lvl w:ilvl="8" w:tplc="9E9421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943CC8"/>
    <w:multiLevelType w:val="hybridMultilevel"/>
    <w:tmpl w:val="FB7080F8"/>
    <w:lvl w:ilvl="0" w:tplc="13920A6A">
      <w:start w:val="1"/>
      <w:numFmt w:val="bullet"/>
      <w:lvlText w:val=""/>
      <w:lvlJc w:val="left"/>
      <w:pPr>
        <w:tabs>
          <w:tab w:val="num" w:pos="720"/>
        </w:tabs>
        <w:ind w:left="720" w:hanging="360"/>
      </w:pPr>
      <w:rPr>
        <w:rFonts w:ascii="Wingdings" w:hAnsi="Wingdings" w:hint="default"/>
      </w:rPr>
    </w:lvl>
    <w:lvl w:ilvl="1" w:tplc="EFA8834C" w:tentative="1">
      <w:start w:val="1"/>
      <w:numFmt w:val="bullet"/>
      <w:lvlText w:val=""/>
      <w:lvlJc w:val="left"/>
      <w:pPr>
        <w:tabs>
          <w:tab w:val="num" w:pos="1440"/>
        </w:tabs>
        <w:ind w:left="1440" w:hanging="360"/>
      </w:pPr>
      <w:rPr>
        <w:rFonts w:ascii="Wingdings" w:hAnsi="Wingdings" w:hint="default"/>
      </w:rPr>
    </w:lvl>
    <w:lvl w:ilvl="2" w:tplc="602E3570" w:tentative="1">
      <w:start w:val="1"/>
      <w:numFmt w:val="bullet"/>
      <w:lvlText w:val=""/>
      <w:lvlJc w:val="left"/>
      <w:pPr>
        <w:tabs>
          <w:tab w:val="num" w:pos="2160"/>
        </w:tabs>
        <w:ind w:left="2160" w:hanging="360"/>
      </w:pPr>
      <w:rPr>
        <w:rFonts w:ascii="Wingdings" w:hAnsi="Wingdings" w:hint="default"/>
      </w:rPr>
    </w:lvl>
    <w:lvl w:ilvl="3" w:tplc="97BCA812" w:tentative="1">
      <w:start w:val="1"/>
      <w:numFmt w:val="bullet"/>
      <w:lvlText w:val=""/>
      <w:lvlJc w:val="left"/>
      <w:pPr>
        <w:tabs>
          <w:tab w:val="num" w:pos="2880"/>
        </w:tabs>
        <w:ind w:left="2880" w:hanging="360"/>
      </w:pPr>
      <w:rPr>
        <w:rFonts w:ascii="Wingdings" w:hAnsi="Wingdings" w:hint="default"/>
      </w:rPr>
    </w:lvl>
    <w:lvl w:ilvl="4" w:tplc="5EA42B00" w:tentative="1">
      <w:start w:val="1"/>
      <w:numFmt w:val="bullet"/>
      <w:lvlText w:val=""/>
      <w:lvlJc w:val="left"/>
      <w:pPr>
        <w:tabs>
          <w:tab w:val="num" w:pos="3600"/>
        </w:tabs>
        <w:ind w:left="3600" w:hanging="360"/>
      </w:pPr>
      <w:rPr>
        <w:rFonts w:ascii="Wingdings" w:hAnsi="Wingdings" w:hint="default"/>
      </w:rPr>
    </w:lvl>
    <w:lvl w:ilvl="5" w:tplc="0FBC1D3C" w:tentative="1">
      <w:start w:val="1"/>
      <w:numFmt w:val="bullet"/>
      <w:lvlText w:val=""/>
      <w:lvlJc w:val="left"/>
      <w:pPr>
        <w:tabs>
          <w:tab w:val="num" w:pos="4320"/>
        </w:tabs>
        <w:ind w:left="4320" w:hanging="360"/>
      </w:pPr>
      <w:rPr>
        <w:rFonts w:ascii="Wingdings" w:hAnsi="Wingdings" w:hint="default"/>
      </w:rPr>
    </w:lvl>
    <w:lvl w:ilvl="6" w:tplc="EEE8FD38" w:tentative="1">
      <w:start w:val="1"/>
      <w:numFmt w:val="bullet"/>
      <w:lvlText w:val=""/>
      <w:lvlJc w:val="left"/>
      <w:pPr>
        <w:tabs>
          <w:tab w:val="num" w:pos="5040"/>
        </w:tabs>
        <w:ind w:left="5040" w:hanging="360"/>
      </w:pPr>
      <w:rPr>
        <w:rFonts w:ascii="Wingdings" w:hAnsi="Wingdings" w:hint="default"/>
      </w:rPr>
    </w:lvl>
    <w:lvl w:ilvl="7" w:tplc="EAE61A90" w:tentative="1">
      <w:start w:val="1"/>
      <w:numFmt w:val="bullet"/>
      <w:lvlText w:val=""/>
      <w:lvlJc w:val="left"/>
      <w:pPr>
        <w:tabs>
          <w:tab w:val="num" w:pos="5760"/>
        </w:tabs>
        <w:ind w:left="5760" w:hanging="360"/>
      </w:pPr>
      <w:rPr>
        <w:rFonts w:ascii="Wingdings" w:hAnsi="Wingdings" w:hint="default"/>
      </w:rPr>
    </w:lvl>
    <w:lvl w:ilvl="8" w:tplc="8F2053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D1818"/>
    <w:multiLevelType w:val="hybridMultilevel"/>
    <w:tmpl w:val="E9448514"/>
    <w:lvl w:ilvl="0" w:tplc="B47EF4BC">
      <w:start w:val="1"/>
      <w:numFmt w:val="bullet"/>
      <w:lvlText w:val=""/>
      <w:lvlJc w:val="left"/>
      <w:pPr>
        <w:tabs>
          <w:tab w:val="num" w:pos="720"/>
        </w:tabs>
        <w:ind w:left="720" w:hanging="360"/>
      </w:pPr>
      <w:rPr>
        <w:rFonts w:ascii="Wingdings" w:hAnsi="Wingdings" w:hint="default"/>
      </w:rPr>
    </w:lvl>
    <w:lvl w:ilvl="1" w:tplc="5C2439EC">
      <w:numFmt w:val="bullet"/>
      <w:lvlText w:val=""/>
      <w:lvlJc w:val="left"/>
      <w:pPr>
        <w:tabs>
          <w:tab w:val="num" w:pos="1440"/>
        </w:tabs>
        <w:ind w:left="1440" w:hanging="360"/>
      </w:pPr>
      <w:rPr>
        <w:rFonts w:ascii="Wingdings" w:hAnsi="Wingdings" w:hint="default"/>
      </w:rPr>
    </w:lvl>
    <w:lvl w:ilvl="2" w:tplc="8FA42A6A" w:tentative="1">
      <w:start w:val="1"/>
      <w:numFmt w:val="bullet"/>
      <w:lvlText w:val=""/>
      <w:lvlJc w:val="left"/>
      <w:pPr>
        <w:tabs>
          <w:tab w:val="num" w:pos="2160"/>
        </w:tabs>
        <w:ind w:left="2160" w:hanging="360"/>
      </w:pPr>
      <w:rPr>
        <w:rFonts w:ascii="Wingdings" w:hAnsi="Wingdings" w:hint="default"/>
      </w:rPr>
    </w:lvl>
    <w:lvl w:ilvl="3" w:tplc="99CCC5A0" w:tentative="1">
      <w:start w:val="1"/>
      <w:numFmt w:val="bullet"/>
      <w:lvlText w:val=""/>
      <w:lvlJc w:val="left"/>
      <w:pPr>
        <w:tabs>
          <w:tab w:val="num" w:pos="2880"/>
        </w:tabs>
        <w:ind w:left="2880" w:hanging="360"/>
      </w:pPr>
      <w:rPr>
        <w:rFonts w:ascii="Wingdings" w:hAnsi="Wingdings" w:hint="default"/>
      </w:rPr>
    </w:lvl>
    <w:lvl w:ilvl="4" w:tplc="374810B8" w:tentative="1">
      <w:start w:val="1"/>
      <w:numFmt w:val="bullet"/>
      <w:lvlText w:val=""/>
      <w:lvlJc w:val="left"/>
      <w:pPr>
        <w:tabs>
          <w:tab w:val="num" w:pos="3600"/>
        </w:tabs>
        <w:ind w:left="3600" w:hanging="360"/>
      </w:pPr>
      <w:rPr>
        <w:rFonts w:ascii="Wingdings" w:hAnsi="Wingdings" w:hint="default"/>
      </w:rPr>
    </w:lvl>
    <w:lvl w:ilvl="5" w:tplc="BE8473F0" w:tentative="1">
      <w:start w:val="1"/>
      <w:numFmt w:val="bullet"/>
      <w:lvlText w:val=""/>
      <w:lvlJc w:val="left"/>
      <w:pPr>
        <w:tabs>
          <w:tab w:val="num" w:pos="4320"/>
        </w:tabs>
        <w:ind w:left="4320" w:hanging="360"/>
      </w:pPr>
      <w:rPr>
        <w:rFonts w:ascii="Wingdings" w:hAnsi="Wingdings" w:hint="default"/>
      </w:rPr>
    </w:lvl>
    <w:lvl w:ilvl="6" w:tplc="606A419C" w:tentative="1">
      <w:start w:val="1"/>
      <w:numFmt w:val="bullet"/>
      <w:lvlText w:val=""/>
      <w:lvlJc w:val="left"/>
      <w:pPr>
        <w:tabs>
          <w:tab w:val="num" w:pos="5040"/>
        </w:tabs>
        <w:ind w:left="5040" w:hanging="360"/>
      </w:pPr>
      <w:rPr>
        <w:rFonts w:ascii="Wingdings" w:hAnsi="Wingdings" w:hint="default"/>
      </w:rPr>
    </w:lvl>
    <w:lvl w:ilvl="7" w:tplc="5F8A8812" w:tentative="1">
      <w:start w:val="1"/>
      <w:numFmt w:val="bullet"/>
      <w:lvlText w:val=""/>
      <w:lvlJc w:val="left"/>
      <w:pPr>
        <w:tabs>
          <w:tab w:val="num" w:pos="5760"/>
        </w:tabs>
        <w:ind w:left="5760" w:hanging="360"/>
      </w:pPr>
      <w:rPr>
        <w:rFonts w:ascii="Wingdings" w:hAnsi="Wingdings" w:hint="default"/>
      </w:rPr>
    </w:lvl>
    <w:lvl w:ilvl="8" w:tplc="9B50C1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33036"/>
    <w:multiLevelType w:val="hybridMultilevel"/>
    <w:tmpl w:val="B9A0A9B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44720C3"/>
    <w:multiLevelType w:val="hybridMultilevel"/>
    <w:tmpl w:val="29BA0870"/>
    <w:lvl w:ilvl="0" w:tplc="0786FFCA">
      <w:start w:val="1"/>
      <w:numFmt w:val="bullet"/>
      <w:lvlText w:val="•"/>
      <w:lvlJc w:val="left"/>
      <w:pPr>
        <w:tabs>
          <w:tab w:val="num" w:pos="720"/>
        </w:tabs>
        <w:ind w:left="720" w:hanging="360"/>
      </w:pPr>
      <w:rPr>
        <w:rFonts w:ascii="Arial" w:hAnsi="Arial" w:hint="default"/>
      </w:rPr>
    </w:lvl>
    <w:lvl w:ilvl="1" w:tplc="A488A212" w:tentative="1">
      <w:start w:val="1"/>
      <w:numFmt w:val="bullet"/>
      <w:lvlText w:val="•"/>
      <w:lvlJc w:val="left"/>
      <w:pPr>
        <w:tabs>
          <w:tab w:val="num" w:pos="1440"/>
        </w:tabs>
        <w:ind w:left="1440" w:hanging="360"/>
      </w:pPr>
      <w:rPr>
        <w:rFonts w:ascii="Arial" w:hAnsi="Arial" w:hint="default"/>
      </w:rPr>
    </w:lvl>
    <w:lvl w:ilvl="2" w:tplc="149AA624" w:tentative="1">
      <w:start w:val="1"/>
      <w:numFmt w:val="bullet"/>
      <w:lvlText w:val="•"/>
      <w:lvlJc w:val="left"/>
      <w:pPr>
        <w:tabs>
          <w:tab w:val="num" w:pos="2160"/>
        </w:tabs>
        <w:ind w:left="2160" w:hanging="360"/>
      </w:pPr>
      <w:rPr>
        <w:rFonts w:ascii="Arial" w:hAnsi="Arial" w:hint="default"/>
      </w:rPr>
    </w:lvl>
    <w:lvl w:ilvl="3" w:tplc="5E78A4C6" w:tentative="1">
      <w:start w:val="1"/>
      <w:numFmt w:val="bullet"/>
      <w:lvlText w:val="•"/>
      <w:lvlJc w:val="left"/>
      <w:pPr>
        <w:tabs>
          <w:tab w:val="num" w:pos="2880"/>
        </w:tabs>
        <w:ind w:left="2880" w:hanging="360"/>
      </w:pPr>
      <w:rPr>
        <w:rFonts w:ascii="Arial" w:hAnsi="Arial" w:hint="default"/>
      </w:rPr>
    </w:lvl>
    <w:lvl w:ilvl="4" w:tplc="CD306570" w:tentative="1">
      <w:start w:val="1"/>
      <w:numFmt w:val="bullet"/>
      <w:lvlText w:val="•"/>
      <w:lvlJc w:val="left"/>
      <w:pPr>
        <w:tabs>
          <w:tab w:val="num" w:pos="3600"/>
        </w:tabs>
        <w:ind w:left="3600" w:hanging="360"/>
      </w:pPr>
      <w:rPr>
        <w:rFonts w:ascii="Arial" w:hAnsi="Arial" w:hint="default"/>
      </w:rPr>
    </w:lvl>
    <w:lvl w:ilvl="5" w:tplc="ECBA5E7E" w:tentative="1">
      <w:start w:val="1"/>
      <w:numFmt w:val="bullet"/>
      <w:lvlText w:val="•"/>
      <w:lvlJc w:val="left"/>
      <w:pPr>
        <w:tabs>
          <w:tab w:val="num" w:pos="4320"/>
        </w:tabs>
        <w:ind w:left="4320" w:hanging="360"/>
      </w:pPr>
      <w:rPr>
        <w:rFonts w:ascii="Arial" w:hAnsi="Arial" w:hint="default"/>
      </w:rPr>
    </w:lvl>
    <w:lvl w:ilvl="6" w:tplc="7BBEC9F6" w:tentative="1">
      <w:start w:val="1"/>
      <w:numFmt w:val="bullet"/>
      <w:lvlText w:val="•"/>
      <w:lvlJc w:val="left"/>
      <w:pPr>
        <w:tabs>
          <w:tab w:val="num" w:pos="5040"/>
        </w:tabs>
        <w:ind w:left="5040" w:hanging="360"/>
      </w:pPr>
      <w:rPr>
        <w:rFonts w:ascii="Arial" w:hAnsi="Arial" w:hint="default"/>
      </w:rPr>
    </w:lvl>
    <w:lvl w:ilvl="7" w:tplc="A106E630" w:tentative="1">
      <w:start w:val="1"/>
      <w:numFmt w:val="bullet"/>
      <w:lvlText w:val="•"/>
      <w:lvlJc w:val="left"/>
      <w:pPr>
        <w:tabs>
          <w:tab w:val="num" w:pos="5760"/>
        </w:tabs>
        <w:ind w:left="5760" w:hanging="360"/>
      </w:pPr>
      <w:rPr>
        <w:rFonts w:ascii="Arial" w:hAnsi="Arial" w:hint="default"/>
      </w:rPr>
    </w:lvl>
    <w:lvl w:ilvl="8" w:tplc="78C480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754D2C"/>
    <w:multiLevelType w:val="hybridMultilevel"/>
    <w:tmpl w:val="CC300BF4"/>
    <w:lvl w:ilvl="0" w:tplc="FB7EBDBC">
      <w:start w:val="1"/>
      <w:numFmt w:val="bullet"/>
      <w:lvlText w:val=""/>
      <w:lvlJc w:val="left"/>
      <w:pPr>
        <w:tabs>
          <w:tab w:val="num" w:pos="720"/>
        </w:tabs>
        <w:ind w:left="720" w:hanging="360"/>
      </w:pPr>
      <w:rPr>
        <w:rFonts w:ascii="Wingdings" w:hAnsi="Wingdings" w:hint="default"/>
      </w:rPr>
    </w:lvl>
    <w:lvl w:ilvl="1" w:tplc="7BE0D972" w:tentative="1">
      <w:start w:val="1"/>
      <w:numFmt w:val="bullet"/>
      <w:lvlText w:val=""/>
      <w:lvlJc w:val="left"/>
      <w:pPr>
        <w:tabs>
          <w:tab w:val="num" w:pos="1440"/>
        </w:tabs>
        <w:ind w:left="1440" w:hanging="360"/>
      </w:pPr>
      <w:rPr>
        <w:rFonts w:ascii="Wingdings" w:hAnsi="Wingdings" w:hint="default"/>
      </w:rPr>
    </w:lvl>
    <w:lvl w:ilvl="2" w:tplc="7F044EDE" w:tentative="1">
      <w:start w:val="1"/>
      <w:numFmt w:val="bullet"/>
      <w:lvlText w:val=""/>
      <w:lvlJc w:val="left"/>
      <w:pPr>
        <w:tabs>
          <w:tab w:val="num" w:pos="2160"/>
        </w:tabs>
        <w:ind w:left="2160" w:hanging="360"/>
      </w:pPr>
      <w:rPr>
        <w:rFonts w:ascii="Wingdings" w:hAnsi="Wingdings" w:hint="default"/>
      </w:rPr>
    </w:lvl>
    <w:lvl w:ilvl="3" w:tplc="026656B6" w:tentative="1">
      <w:start w:val="1"/>
      <w:numFmt w:val="bullet"/>
      <w:lvlText w:val=""/>
      <w:lvlJc w:val="left"/>
      <w:pPr>
        <w:tabs>
          <w:tab w:val="num" w:pos="2880"/>
        </w:tabs>
        <w:ind w:left="2880" w:hanging="360"/>
      </w:pPr>
      <w:rPr>
        <w:rFonts w:ascii="Wingdings" w:hAnsi="Wingdings" w:hint="default"/>
      </w:rPr>
    </w:lvl>
    <w:lvl w:ilvl="4" w:tplc="105A94D2" w:tentative="1">
      <w:start w:val="1"/>
      <w:numFmt w:val="bullet"/>
      <w:lvlText w:val=""/>
      <w:lvlJc w:val="left"/>
      <w:pPr>
        <w:tabs>
          <w:tab w:val="num" w:pos="3600"/>
        </w:tabs>
        <w:ind w:left="3600" w:hanging="360"/>
      </w:pPr>
      <w:rPr>
        <w:rFonts w:ascii="Wingdings" w:hAnsi="Wingdings" w:hint="default"/>
      </w:rPr>
    </w:lvl>
    <w:lvl w:ilvl="5" w:tplc="AE24412E" w:tentative="1">
      <w:start w:val="1"/>
      <w:numFmt w:val="bullet"/>
      <w:lvlText w:val=""/>
      <w:lvlJc w:val="left"/>
      <w:pPr>
        <w:tabs>
          <w:tab w:val="num" w:pos="4320"/>
        </w:tabs>
        <w:ind w:left="4320" w:hanging="360"/>
      </w:pPr>
      <w:rPr>
        <w:rFonts w:ascii="Wingdings" w:hAnsi="Wingdings" w:hint="default"/>
      </w:rPr>
    </w:lvl>
    <w:lvl w:ilvl="6" w:tplc="0D9ED154" w:tentative="1">
      <w:start w:val="1"/>
      <w:numFmt w:val="bullet"/>
      <w:lvlText w:val=""/>
      <w:lvlJc w:val="left"/>
      <w:pPr>
        <w:tabs>
          <w:tab w:val="num" w:pos="5040"/>
        </w:tabs>
        <w:ind w:left="5040" w:hanging="360"/>
      </w:pPr>
      <w:rPr>
        <w:rFonts w:ascii="Wingdings" w:hAnsi="Wingdings" w:hint="default"/>
      </w:rPr>
    </w:lvl>
    <w:lvl w:ilvl="7" w:tplc="45124040" w:tentative="1">
      <w:start w:val="1"/>
      <w:numFmt w:val="bullet"/>
      <w:lvlText w:val=""/>
      <w:lvlJc w:val="left"/>
      <w:pPr>
        <w:tabs>
          <w:tab w:val="num" w:pos="5760"/>
        </w:tabs>
        <w:ind w:left="5760" w:hanging="360"/>
      </w:pPr>
      <w:rPr>
        <w:rFonts w:ascii="Wingdings" w:hAnsi="Wingdings" w:hint="default"/>
      </w:rPr>
    </w:lvl>
    <w:lvl w:ilvl="8" w:tplc="478086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D0F37"/>
    <w:multiLevelType w:val="hybridMultilevel"/>
    <w:tmpl w:val="BD8C4FA2"/>
    <w:lvl w:ilvl="0" w:tplc="743EF21C">
      <w:start w:val="1"/>
      <w:numFmt w:val="bullet"/>
      <w:lvlText w:val="•"/>
      <w:lvlJc w:val="left"/>
      <w:pPr>
        <w:tabs>
          <w:tab w:val="num" w:pos="720"/>
        </w:tabs>
        <w:ind w:left="720" w:hanging="360"/>
      </w:pPr>
      <w:rPr>
        <w:rFonts w:ascii="Arial" w:hAnsi="Arial" w:hint="default"/>
      </w:rPr>
    </w:lvl>
    <w:lvl w:ilvl="1" w:tplc="E774F346" w:tentative="1">
      <w:start w:val="1"/>
      <w:numFmt w:val="bullet"/>
      <w:lvlText w:val="•"/>
      <w:lvlJc w:val="left"/>
      <w:pPr>
        <w:tabs>
          <w:tab w:val="num" w:pos="1440"/>
        </w:tabs>
        <w:ind w:left="1440" w:hanging="360"/>
      </w:pPr>
      <w:rPr>
        <w:rFonts w:ascii="Arial" w:hAnsi="Arial" w:hint="default"/>
      </w:rPr>
    </w:lvl>
    <w:lvl w:ilvl="2" w:tplc="445CD478" w:tentative="1">
      <w:start w:val="1"/>
      <w:numFmt w:val="bullet"/>
      <w:lvlText w:val="•"/>
      <w:lvlJc w:val="left"/>
      <w:pPr>
        <w:tabs>
          <w:tab w:val="num" w:pos="2160"/>
        </w:tabs>
        <w:ind w:left="2160" w:hanging="360"/>
      </w:pPr>
      <w:rPr>
        <w:rFonts w:ascii="Arial" w:hAnsi="Arial" w:hint="default"/>
      </w:rPr>
    </w:lvl>
    <w:lvl w:ilvl="3" w:tplc="7FD20508" w:tentative="1">
      <w:start w:val="1"/>
      <w:numFmt w:val="bullet"/>
      <w:lvlText w:val="•"/>
      <w:lvlJc w:val="left"/>
      <w:pPr>
        <w:tabs>
          <w:tab w:val="num" w:pos="2880"/>
        </w:tabs>
        <w:ind w:left="2880" w:hanging="360"/>
      </w:pPr>
      <w:rPr>
        <w:rFonts w:ascii="Arial" w:hAnsi="Arial" w:hint="default"/>
      </w:rPr>
    </w:lvl>
    <w:lvl w:ilvl="4" w:tplc="4058D742" w:tentative="1">
      <w:start w:val="1"/>
      <w:numFmt w:val="bullet"/>
      <w:lvlText w:val="•"/>
      <w:lvlJc w:val="left"/>
      <w:pPr>
        <w:tabs>
          <w:tab w:val="num" w:pos="3600"/>
        </w:tabs>
        <w:ind w:left="3600" w:hanging="360"/>
      </w:pPr>
      <w:rPr>
        <w:rFonts w:ascii="Arial" w:hAnsi="Arial" w:hint="default"/>
      </w:rPr>
    </w:lvl>
    <w:lvl w:ilvl="5" w:tplc="9C9223A8" w:tentative="1">
      <w:start w:val="1"/>
      <w:numFmt w:val="bullet"/>
      <w:lvlText w:val="•"/>
      <w:lvlJc w:val="left"/>
      <w:pPr>
        <w:tabs>
          <w:tab w:val="num" w:pos="4320"/>
        </w:tabs>
        <w:ind w:left="4320" w:hanging="360"/>
      </w:pPr>
      <w:rPr>
        <w:rFonts w:ascii="Arial" w:hAnsi="Arial" w:hint="default"/>
      </w:rPr>
    </w:lvl>
    <w:lvl w:ilvl="6" w:tplc="2818983A" w:tentative="1">
      <w:start w:val="1"/>
      <w:numFmt w:val="bullet"/>
      <w:lvlText w:val="•"/>
      <w:lvlJc w:val="left"/>
      <w:pPr>
        <w:tabs>
          <w:tab w:val="num" w:pos="5040"/>
        </w:tabs>
        <w:ind w:left="5040" w:hanging="360"/>
      </w:pPr>
      <w:rPr>
        <w:rFonts w:ascii="Arial" w:hAnsi="Arial" w:hint="default"/>
      </w:rPr>
    </w:lvl>
    <w:lvl w:ilvl="7" w:tplc="6532C586" w:tentative="1">
      <w:start w:val="1"/>
      <w:numFmt w:val="bullet"/>
      <w:lvlText w:val="•"/>
      <w:lvlJc w:val="left"/>
      <w:pPr>
        <w:tabs>
          <w:tab w:val="num" w:pos="5760"/>
        </w:tabs>
        <w:ind w:left="5760" w:hanging="360"/>
      </w:pPr>
      <w:rPr>
        <w:rFonts w:ascii="Arial" w:hAnsi="Arial" w:hint="default"/>
      </w:rPr>
    </w:lvl>
    <w:lvl w:ilvl="8" w:tplc="39DE56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7D6EB2"/>
    <w:multiLevelType w:val="hybridMultilevel"/>
    <w:tmpl w:val="022A4F2A"/>
    <w:lvl w:ilvl="0" w:tplc="5CCA4B9C">
      <w:start w:val="1"/>
      <w:numFmt w:val="bullet"/>
      <w:lvlText w:val="•"/>
      <w:lvlJc w:val="left"/>
      <w:pPr>
        <w:tabs>
          <w:tab w:val="num" w:pos="720"/>
        </w:tabs>
        <w:ind w:left="720" w:hanging="360"/>
      </w:pPr>
      <w:rPr>
        <w:rFonts w:ascii="Arial" w:hAnsi="Arial" w:hint="default"/>
      </w:rPr>
    </w:lvl>
    <w:lvl w:ilvl="1" w:tplc="22D81B7E" w:tentative="1">
      <w:start w:val="1"/>
      <w:numFmt w:val="bullet"/>
      <w:lvlText w:val="•"/>
      <w:lvlJc w:val="left"/>
      <w:pPr>
        <w:tabs>
          <w:tab w:val="num" w:pos="1440"/>
        </w:tabs>
        <w:ind w:left="1440" w:hanging="360"/>
      </w:pPr>
      <w:rPr>
        <w:rFonts w:ascii="Arial" w:hAnsi="Arial" w:hint="default"/>
      </w:rPr>
    </w:lvl>
    <w:lvl w:ilvl="2" w:tplc="3AF403C6" w:tentative="1">
      <w:start w:val="1"/>
      <w:numFmt w:val="bullet"/>
      <w:lvlText w:val="•"/>
      <w:lvlJc w:val="left"/>
      <w:pPr>
        <w:tabs>
          <w:tab w:val="num" w:pos="2160"/>
        </w:tabs>
        <w:ind w:left="2160" w:hanging="360"/>
      </w:pPr>
      <w:rPr>
        <w:rFonts w:ascii="Arial" w:hAnsi="Arial" w:hint="default"/>
      </w:rPr>
    </w:lvl>
    <w:lvl w:ilvl="3" w:tplc="06228400" w:tentative="1">
      <w:start w:val="1"/>
      <w:numFmt w:val="bullet"/>
      <w:lvlText w:val="•"/>
      <w:lvlJc w:val="left"/>
      <w:pPr>
        <w:tabs>
          <w:tab w:val="num" w:pos="2880"/>
        </w:tabs>
        <w:ind w:left="2880" w:hanging="360"/>
      </w:pPr>
      <w:rPr>
        <w:rFonts w:ascii="Arial" w:hAnsi="Arial" w:hint="default"/>
      </w:rPr>
    </w:lvl>
    <w:lvl w:ilvl="4" w:tplc="6E1A4540" w:tentative="1">
      <w:start w:val="1"/>
      <w:numFmt w:val="bullet"/>
      <w:lvlText w:val="•"/>
      <w:lvlJc w:val="left"/>
      <w:pPr>
        <w:tabs>
          <w:tab w:val="num" w:pos="3600"/>
        </w:tabs>
        <w:ind w:left="3600" w:hanging="360"/>
      </w:pPr>
      <w:rPr>
        <w:rFonts w:ascii="Arial" w:hAnsi="Arial" w:hint="default"/>
      </w:rPr>
    </w:lvl>
    <w:lvl w:ilvl="5" w:tplc="2C8EA712" w:tentative="1">
      <w:start w:val="1"/>
      <w:numFmt w:val="bullet"/>
      <w:lvlText w:val="•"/>
      <w:lvlJc w:val="left"/>
      <w:pPr>
        <w:tabs>
          <w:tab w:val="num" w:pos="4320"/>
        </w:tabs>
        <w:ind w:left="4320" w:hanging="360"/>
      </w:pPr>
      <w:rPr>
        <w:rFonts w:ascii="Arial" w:hAnsi="Arial" w:hint="default"/>
      </w:rPr>
    </w:lvl>
    <w:lvl w:ilvl="6" w:tplc="D70EB056" w:tentative="1">
      <w:start w:val="1"/>
      <w:numFmt w:val="bullet"/>
      <w:lvlText w:val="•"/>
      <w:lvlJc w:val="left"/>
      <w:pPr>
        <w:tabs>
          <w:tab w:val="num" w:pos="5040"/>
        </w:tabs>
        <w:ind w:left="5040" w:hanging="360"/>
      </w:pPr>
      <w:rPr>
        <w:rFonts w:ascii="Arial" w:hAnsi="Arial" w:hint="default"/>
      </w:rPr>
    </w:lvl>
    <w:lvl w:ilvl="7" w:tplc="898C3A62" w:tentative="1">
      <w:start w:val="1"/>
      <w:numFmt w:val="bullet"/>
      <w:lvlText w:val="•"/>
      <w:lvlJc w:val="left"/>
      <w:pPr>
        <w:tabs>
          <w:tab w:val="num" w:pos="5760"/>
        </w:tabs>
        <w:ind w:left="5760" w:hanging="360"/>
      </w:pPr>
      <w:rPr>
        <w:rFonts w:ascii="Arial" w:hAnsi="Arial" w:hint="default"/>
      </w:rPr>
    </w:lvl>
    <w:lvl w:ilvl="8" w:tplc="1D56AB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E94B92"/>
    <w:multiLevelType w:val="hybridMultilevel"/>
    <w:tmpl w:val="4EE06924"/>
    <w:lvl w:ilvl="0" w:tplc="10D8B3DC">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9665414"/>
    <w:multiLevelType w:val="hybridMultilevel"/>
    <w:tmpl w:val="BAA860EE"/>
    <w:lvl w:ilvl="0" w:tplc="062E536E">
      <w:start w:val="1"/>
      <w:numFmt w:val="bullet"/>
      <w:lvlText w:val="•"/>
      <w:lvlJc w:val="left"/>
      <w:pPr>
        <w:tabs>
          <w:tab w:val="num" w:pos="720"/>
        </w:tabs>
        <w:ind w:left="720" w:hanging="360"/>
      </w:pPr>
      <w:rPr>
        <w:rFonts w:ascii="Arial" w:hAnsi="Arial" w:hint="default"/>
      </w:rPr>
    </w:lvl>
    <w:lvl w:ilvl="1" w:tplc="01B49B86">
      <w:start w:val="1"/>
      <w:numFmt w:val="bullet"/>
      <w:lvlText w:val="•"/>
      <w:lvlJc w:val="left"/>
      <w:pPr>
        <w:tabs>
          <w:tab w:val="num" w:pos="1440"/>
        </w:tabs>
        <w:ind w:left="1440" w:hanging="360"/>
      </w:pPr>
      <w:rPr>
        <w:rFonts w:ascii="Arial" w:hAnsi="Arial" w:hint="default"/>
      </w:rPr>
    </w:lvl>
    <w:lvl w:ilvl="2" w:tplc="E57C767E" w:tentative="1">
      <w:start w:val="1"/>
      <w:numFmt w:val="bullet"/>
      <w:lvlText w:val="•"/>
      <w:lvlJc w:val="left"/>
      <w:pPr>
        <w:tabs>
          <w:tab w:val="num" w:pos="2160"/>
        </w:tabs>
        <w:ind w:left="2160" w:hanging="360"/>
      </w:pPr>
      <w:rPr>
        <w:rFonts w:ascii="Arial" w:hAnsi="Arial" w:hint="default"/>
      </w:rPr>
    </w:lvl>
    <w:lvl w:ilvl="3" w:tplc="4D02B0E2" w:tentative="1">
      <w:start w:val="1"/>
      <w:numFmt w:val="bullet"/>
      <w:lvlText w:val="•"/>
      <w:lvlJc w:val="left"/>
      <w:pPr>
        <w:tabs>
          <w:tab w:val="num" w:pos="2880"/>
        </w:tabs>
        <w:ind w:left="2880" w:hanging="360"/>
      </w:pPr>
      <w:rPr>
        <w:rFonts w:ascii="Arial" w:hAnsi="Arial" w:hint="default"/>
      </w:rPr>
    </w:lvl>
    <w:lvl w:ilvl="4" w:tplc="6F1CE932" w:tentative="1">
      <w:start w:val="1"/>
      <w:numFmt w:val="bullet"/>
      <w:lvlText w:val="•"/>
      <w:lvlJc w:val="left"/>
      <w:pPr>
        <w:tabs>
          <w:tab w:val="num" w:pos="3600"/>
        </w:tabs>
        <w:ind w:left="3600" w:hanging="360"/>
      </w:pPr>
      <w:rPr>
        <w:rFonts w:ascii="Arial" w:hAnsi="Arial" w:hint="default"/>
      </w:rPr>
    </w:lvl>
    <w:lvl w:ilvl="5" w:tplc="E41A5FDE" w:tentative="1">
      <w:start w:val="1"/>
      <w:numFmt w:val="bullet"/>
      <w:lvlText w:val="•"/>
      <w:lvlJc w:val="left"/>
      <w:pPr>
        <w:tabs>
          <w:tab w:val="num" w:pos="4320"/>
        </w:tabs>
        <w:ind w:left="4320" w:hanging="360"/>
      </w:pPr>
      <w:rPr>
        <w:rFonts w:ascii="Arial" w:hAnsi="Arial" w:hint="default"/>
      </w:rPr>
    </w:lvl>
    <w:lvl w:ilvl="6" w:tplc="449C6844" w:tentative="1">
      <w:start w:val="1"/>
      <w:numFmt w:val="bullet"/>
      <w:lvlText w:val="•"/>
      <w:lvlJc w:val="left"/>
      <w:pPr>
        <w:tabs>
          <w:tab w:val="num" w:pos="5040"/>
        </w:tabs>
        <w:ind w:left="5040" w:hanging="360"/>
      </w:pPr>
      <w:rPr>
        <w:rFonts w:ascii="Arial" w:hAnsi="Arial" w:hint="default"/>
      </w:rPr>
    </w:lvl>
    <w:lvl w:ilvl="7" w:tplc="625848A6" w:tentative="1">
      <w:start w:val="1"/>
      <w:numFmt w:val="bullet"/>
      <w:lvlText w:val="•"/>
      <w:lvlJc w:val="left"/>
      <w:pPr>
        <w:tabs>
          <w:tab w:val="num" w:pos="5760"/>
        </w:tabs>
        <w:ind w:left="5760" w:hanging="360"/>
      </w:pPr>
      <w:rPr>
        <w:rFonts w:ascii="Arial" w:hAnsi="Arial" w:hint="default"/>
      </w:rPr>
    </w:lvl>
    <w:lvl w:ilvl="8" w:tplc="7EC6D1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8958C1"/>
    <w:multiLevelType w:val="hybridMultilevel"/>
    <w:tmpl w:val="5338E61C"/>
    <w:lvl w:ilvl="0" w:tplc="85F44A58">
      <w:start w:val="1"/>
      <w:numFmt w:val="bullet"/>
      <w:lvlText w:val=""/>
      <w:lvlJc w:val="left"/>
      <w:pPr>
        <w:tabs>
          <w:tab w:val="num" w:pos="720"/>
        </w:tabs>
        <w:ind w:left="720" w:hanging="360"/>
      </w:pPr>
      <w:rPr>
        <w:rFonts w:ascii="Wingdings" w:hAnsi="Wingdings" w:hint="default"/>
      </w:rPr>
    </w:lvl>
    <w:lvl w:ilvl="1" w:tplc="A3BCFB84" w:tentative="1">
      <w:start w:val="1"/>
      <w:numFmt w:val="bullet"/>
      <w:lvlText w:val=""/>
      <w:lvlJc w:val="left"/>
      <w:pPr>
        <w:tabs>
          <w:tab w:val="num" w:pos="1440"/>
        </w:tabs>
        <w:ind w:left="1440" w:hanging="360"/>
      </w:pPr>
      <w:rPr>
        <w:rFonts w:ascii="Wingdings" w:hAnsi="Wingdings" w:hint="default"/>
      </w:rPr>
    </w:lvl>
    <w:lvl w:ilvl="2" w:tplc="C0ECB498" w:tentative="1">
      <w:start w:val="1"/>
      <w:numFmt w:val="bullet"/>
      <w:lvlText w:val=""/>
      <w:lvlJc w:val="left"/>
      <w:pPr>
        <w:tabs>
          <w:tab w:val="num" w:pos="2160"/>
        </w:tabs>
        <w:ind w:left="2160" w:hanging="360"/>
      </w:pPr>
      <w:rPr>
        <w:rFonts w:ascii="Wingdings" w:hAnsi="Wingdings" w:hint="default"/>
      </w:rPr>
    </w:lvl>
    <w:lvl w:ilvl="3" w:tplc="A6325788" w:tentative="1">
      <w:start w:val="1"/>
      <w:numFmt w:val="bullet"/>
      <w:lvlText w:val=""/>
      <w:lvlJc w:val="left"/>
      <w:pPr>
        <w:tabs>
          <w:tab w:val="num" w:pos="2880"/>
        </w:tabs>
        <w:ind w:left="2880" w:hanging="360"/>
      </w:pPr>
      <w:rPr>
        <w:rFonts w:ascii="Wingdings" w:hAnsi="Wingdings" w:hint="default"/>
      </w:rPr>
    </w:lvl>
    <w:lvl w:ilvl="4" w:tplc="54A6C70C" w:tentative="1">
      <w:start w:val="1"/>
      <w:numFmt w:val="bullet"/>
      <w:lvlText w:val=""/>
      <w:lvlJc w:val="left"/>
      <w:pPr>
        <w:tabs>
          <w:tab w:val="num" w:pos="3600"/>
        </w:tabs>
        <w:ind w:left="3600" w:hanging="360"/>
      </w:pPr>
      <w:rPr>
        <w:rFonts w:ascii="Wingdings" w:hAnsi="Wingdings" w:hint="default"/>
      </w:rPr>
    </w:lvl>
    <w:lvl w:ilvl="5" w:tplc="9148E6C8" w:tentative="1">
      <w:start w:val="1"/>
      <w:numFmt w:val="bullet"/>
      <w:lvlText w:val=""/>
      <w:lvlJc w:val="left"/>
      <w:pPr>
        <w:tabs>
          <w:tab w:val="num" w:pos="4320"/>
        </w:tabs>
        <w:ind w:left="4320" w:hanging="360"/>
      </w:pPr>
      <w:rPr>
        <w:rFonts w:ascii="Wingdings" w:hAnsi="Wingdings" w:hint="default"/>
      </w:rPr>
    </w:lvl>
    <w:lvl w:ilvl="6" w:tplc="35D82CAC" w:tentative="1">
      <w:start w:val="1"/>
      <w:numFmt w:val="bullet"/>
      <w:lvlText w:val=""/>
      <w:lvlJc w:val="left"/>
      <w:pPr>
        <w:tabs>
          <w:tab w:val="num" w:pos="5040"/>
        </w:tabs>
        <w:ind w:left="5040" w:hanging="360"/>
      </w:pPr>
      <w:rPr>
        <w:rFonts w:ascii="Wingdings" w:hAnsi="Wingdings" w:hint="default"/>
      </w:rPr>
    </w:lvl>
    <w:lvl w:ilvl="7" w:tplc="3808EC42" w:tentative="1">
      <w:start w:val="1"/>
      <w:numFmt w:val="bullet"/>
      <w:lvlText w:val=""/>
      <w:lvlJc w:val="left"/>
      <w:pPr>
        <w:tabs>
          <w:tab w:val="num" w:pos="5760"/>
        </w:tabs>
        <w:ind w:left="5760" w:hanging="360"/>
      </w:pPr>
      <w:rPr>
        <w:rFonts w:ascii="Wingdings" w:hAnsi="Wingdings" w:hint="default"/>
      </w:rPr>
    </w:lvl>
    <w:lvl w:ilvl="8" w:tplc="1F7C62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2C8"/>
    <w:multiLevelType w:val="hybridMultilevel"/>
    <w:tmpl w:val="149855AE"/>
    <w:lvl w:ilvl="0" w:tplc="44CA51E2">
      <w:start w:val="1"/>
      <w:numFmt w:val="bullet"/>
      <w:lvlText w:val=""/>
      <w:lvlJc w:val="left"/>
      <w:pPr>
        <w:tabs>
          <w:tab w:val="num" w:pos="720"/>
        </w:tabs>
        <w:ind w:left="720" w:hanging="360"/>
      </w:pPr>
      <w:rPr>
        <w:rFonts w:ascii="Wingdings" w:hAnsi="Wingdings" w:hint="default"/>
      </w:rPr>
    </w:lvl>
    <w:lvl w:ilvl="1" w:tplc="C960156A" w:tentative="1">
      <w:start w:val="1"/>
      <w:numFmt w:val="bullet"/>
      <w:lvlText w:val=""/>
      <w:lvlJc w:val="left"/>
      <w:pPr>
        <w:tabs>
          <w:tab w:val="num" w:pos="1440"/>
        </w:tabs>
        <w:ind w:left="1440" w:hanging="360"/>
      </w:pPr>
      <w:rPr>
        <w:rFonts w:ascii="Wingdings" w:hAnsi="Wingdings" w:hint="default"/>
      </w:rPr>
    </w:lvl>
    <w:lvl w:ilvl="2" w:tplc="DAB04C8C" w:tentative="1">
      <w:start w:val="1"/>
      <w:numFmt w:val="bullet"/>
      <w:lvlText w:val=""/>
      <w:lvlJc w:val="left"/>
      <w:pPr>
        <w:tabs>
          <w:tab w:val="num" w:pos="2160"/>
        </w:tabs>
        <w:ind w:left="2160" w:hanging="360"/>
      </w:pPr>
      <w:rPr>
        <w:rFonts w:ascii="Wingdings" w:hAnsi="Wingdings" w:hint="default"/>
      </w:rPr>
    </w:lvl>
    <w:lvl w:ilvl="3" w:tplc="07DE1D48" w:tentative="1">
      <w:start w:val="1"/>
      <w:numFmt w:val="bullet"/>
      <w:lvlText w:val=""/>
      <w:lvlJc w:val="left"/>
      <w:pPr>
        <w:tabs>
          <w:tab w:val="num" w:pos="2880"/>
        </w:tabs>
        <w:ind w:left="2880" w:hanging="360"/>
      </w:pPr>
      <w:rPr>
        <w:rFonts w:ascii="Wingdings" w:hAnsi="Wingdings" w:hint="default"/>
      </w:rPr>
    </w:lvl>
    <w:lvl w:ilvl="4" w:tplc="B5A87400" w:tentative="1">
      <w:start w:val="1"/>
      <w:numFmt w:val="bullet"/>
      <w:lvlText w:val=""/>
      <w:lvlJc w:val="left"/>
      <w:pPr>
        <w:tabs>
          <w:tab w:val="num" w:pos="3600"/>
        </w:tabs>
        <w:ind w:left="3600" w:hanging="360"/>
      </w:pPr>
      <w:rPr>
        <w:rFonts w:ascii="Wingdings" w:hAnsi="Wingdings" w:hint="default"/>
      </w:rPr>
    </w:lvl>
    <w:lvl w:ilvl="5" w:tplc="B8D2F9FE" w:tentative="1">
      <w:start w:val="1"/>
      <w:numFmt w:val="bullet"/>
      <w:lvlText w:val=""/>
      <w:lvlJc w:val="left"/>
      <w:pPr>
        <w:tabs>
          <w:tab w:val="num" w:pos="4320"/>
        </w:tabs>
        <w:ind w:left="4320" w:hanging="360"/>
      </w:pPr>
      <w:rPr>
        <w:rFonts w:ascii="Wingdings" w:hAnsi="Wingdings" w:hint="default"/>
      </w:rPr>
    </w:lvl>
    <w:lvl w:ilvl="6" w:tplc="0B8C7398" w:tentative="1">
      <w:start w:val="1"/>
      <w:numFmt w:val="bullet"/>
      <w:lvlText w:val=""/>
      <w:lvlJc w:val="left"/>
      <w:pPr>
        <w:tabs>
          <w:tab w:val="num" w:pos="5040"/>
        </w:tabs>
        <w:ind w:left="5040" w:hanging="360"/>
      </w:pPr>
      <w:rPr>
        <w:rFonts w:ascii="Wingdings" w:hAnsi="Wingdings" w:hint="default"/>
      </w:rPr>
    </w:lvl>
    <w:lvl w:ilvl="7" w:tplc="F84E84D6" w:tentative="1">
      <w:start w:val="1"/>
      <w:numFmt w:val="bullet"/>
      <w:lvlText w:val=""/>
      <w:lvlJc w:val="left"/>
      <w:pPr>
        <w:tabs>
          <w:tab w:val="num" w:pos="5760"/>
        </w:tabs>
        <w:ind w:left="5760" w:hanging="360"/>
      </w:pPr>
      <w:rPr>
        <w:rFonts w:ascii="Wingdings" w:hAnsi="Wingdings" w:hint="default"/>
      </w:rPr>
    </w:lvl>
    <w:lvl w:ilvl="8" w:tplc="70E6B3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D2106"/>
    <w:multiLevelType w:val="hybridMultilevel"/>
    <w:tmpl w:val="3B34A37C"/>
    <w:lvl w:ilvl="0" w:tplc="4DCCE7A2">
      <w:start w:val="1"/>
      <w:numFmt w:val="bullet"/>
      <w:lvlText w:val="•"/>
      <w:lvlJc w:val="left"/>
      <w:pPr>
        <w:tabs>
          <w:tab w:val="num" w:pos="720"/>
        </w:tabs>
        <w:ind w:left="720" w:hanging="360"/>
      </w:pPr>
      <w:rPr>
        <w:rFonts w:ascii="Arial" w:hAnsi="Arial" w:hint="default"/>
      </w:rPr>
    </w:lvl>
    <w:lvl w:ilvl="1" w:tplc="E946D5DC" w:tentative="1">
      <w:start w:val="1"/>
      <w:numFmt w:val="bullet"/>
      <w:lvlText w:val="•"/>
      <w:lvlJc w:val="left"/>
      <w:pPr>
        <w:tabs>
          <w:tab w:val="num" w:pos="1440"/>
        </w:tabs>
        <w:ind w:left="1440" w:hanging="360"/>
      </w:pPr>
      <w:rPr>
        <w:rFonts w:ascii="Arial" w:hAnsi="Arial" w:hint="default"/>
      </w:rPr>
    </w:lvl>
    <w:lvl w:ilvl="2" w:tplc="D38C56E8" w:tentative="1">
      <w:start w:val="1"/>
      <w:numFmt w:val="bullet"/>
      <w:lvlText w:val="•"/>
      <w:lvlJc w:val="left"/>
      <w:pPr>
        <w:tabs>
          <w:tab w:val="num" w:pos="2160"/>
        </w:tabs>
        <w:ind w:left="2160" w:hanging="360"/>
      </w:pPr>
      <w:rPr>
        <w:rFonts w:ascii="Arial" w:hAnsi="Arial" w:hint="default"/>
      </w:rPr>
    </w:lvl>
    <w:lvl w:ilvl="3" w:tplc="62C47910" w:tentative="1">
      <w:start w:val="1"/>
      <w:numFmt w:val="bullet"/>
      <w:lvlText w:val="•"/>
      <w:lvlJc w:val="left"/>
      <w:pPr>
        <w:tabs>
          <w:tab w:val="num" w:pos="2880"/>
        </w:tabs>
        <w:ind w:left="2880" w:hanging="360"/>
      </w:pPr>
      <w:rPr>
        <w:rFonts w:ascii="Arial" w:hAnsi="Arial" w:hint="default"/>
      </w:rPr>
    </w:lvl>
    <w:lvl w:ilvl="4" w:tplc="E1C4BF68" w:tentative="1">
      <w:start w:val="1"/>
      <w:numFmt w:val="bullet"/>
      <w:lvlText w:val="•"/>
      <w:lvlJc w:val="left"/>
      <w:pPr>
        <w:tabs>
          <w:tab w:val="num" w:pos="3600"/>
        </w:tabs>
        <w:ind w:left="3600" w:hanging="360"/>
      </w:pPr>
      <w:rPr>
        <w:rFonts w:ascii="Arial" w:hAnsi="Arial" w:hint="default"/>
      </w:rPr>
    </w:lvl>
    <w:lvl w:ilvl="5" w:tplc="8B8C2356" w:tentative="1">
      <w:start w:val="1"/>
      <w:numFmt w:val="bullet"/>
      <w:lvlText w:val="•"/>
      <w:lvlJc w:val="left"/>
      <w:pPr>
        <w:tabs>
          <w:tab w:val="num" w:pos="4320"/>
        </w:tabs>
        <w:ind w:left="4320" w:hanging="360"/>
      </w:pPr>
      <w:rPr>
        <w:rFonts w:ascii="Arial" w:hAnsi="Arial" w:hint="default"/>
      </w:rPr>
    </w:lvl>
    <w:lvl w:ilvl="6" w:tplc="1C0ECAA6" w:tentative="1">
      <w:start w:val="1"/>
      <w:numFmt w:val="bullet"/>
      <w:lvlText w:val="•"/>
      <w:lvlJc w:val="left"/>
      <w:pPr>
        <w:tabs>
          <w:tab w:val="num" w:pos="5040"/>
        </w:tabs>
        <w:ind w:left="5040" w:hanging="360"/>
      </w:pPr>
      <w:rPr>
        <w:rFonts w:ascii="Arial" w:hAnsi="Arial" w:hint="default"/>
      </w:rPr>
    </w:lvl>
    <w:lvl w:ilvl="7" w:tplc="C1A445F6" w:tentative="1">
      <w:start w:val="1"/>
      <w:numFmt w:val="bullet"/>
      <w:lvlText w:val="•"/>
      <w:lvlJc w:val="left"/>
      <w:pPr>
        <w:tabs>
          <w:tab w:val="num" w:pos="5760"/>
        </w:tabs>
        <w:ind w:left="5760" w:hanging="360"/>
      </w:pPr>
      <w:rPr>
        <w:rFonts w:ascii="Arial" w:hAnsi="Arial" w:hint="default"/>
      </w:rPr>
    </w:lvl>
    <w:lvl w:ilvl="8" w:tplc="4A0297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023722"/>
    <w:multiLevelType w:val="hybridMultilevel"/>
    <w:tmpl w:val="BF3CE982"/>
    <w:lvl w:ilvl="0" w:tplc="9E662D6E">
      <w:start w:val="1"/>
      <w:numFmt w:val="bullet"/>
      <w:lvlText w:val=""/>
      <w:lvlJc w:val="left"/>
      <w:pPr>
        <w:tabs>
          <w:tab w:val="num" w:pos="720"/>
        </w:tabs>
        <w:ind w:left="720" w:hanging="360"/>
      </w:pPr>
      <w:rPr>
        <w:rFonts w:ascii="Symbol" w:hAnsi="Symbol" w:hint="default"/>
      </w:rPr>
    </w:lvl>
    <w:lvl w:ilvl="1" w:tplc="2C16C5FE" w:tentative="1">
      <w:start w:val="1"/>
      <w:numFmt w:val="bullet"/>
      <w:lvlText w:val=""/>
      <w:lvlJc w:val="left"/>
      <w:pPr>
        <w:tabs>
          <w:tab w:val="num" w:pos="1440"/>
        </w:tabs>
        <w:ind w:left="1440" w:hanging="360"/>
      </w:pPr>
      <w:rPr>
        <w:rFonts w:ascii="Symbol" w:hAnsi="Symbol" w:hint="default"/>
      </w:rPr>
    </w:lvl>
    <w:lvl w:ilvl="2" w:tplc="2ADC8EB4" w:tentative="1">
      <w:start w:val="1"/>
      <w:numFmt w:val="bullet"/>
      <w:lvlText w:val=""/>
      <w:lvlJc w:val="left"/>
      <w:pPr>
        <w:tabs>
          <w:tab w:val="num" w:pos="2160"/>
        </w:tabs>
        <w:ind w:left="2160" w:hanging="360"/>
      </w:pPr>
      <w:rPr>
        <w:rFonts w:ascii="Symbol" w:hAnsi="Symbol" w:hint="default"/>
      </w:rPr>
    </w:lvl>
    <w:lvl w:ilvl="3" w:tplc="F0940008" w:tentative="1">
      <w:start w:val="1"/>
      <w:numFmt w:val="bullet"/>
      <w:lvlText w:val=""/>
      <w:lvlJc w:val="left"/>
      <w:pPr>
        <w:tabs>
          <w:tab w:val="num" w:pos="2880"/>
        </w:tabs>
        <w:ind w:left="2880" w:hanging="360"/>
      </w:pPr>
      <w:rPr>
        <w:rFonts w:ascii="Symbol" w:hAnsi="Symbol" w:hint="default"/>
      </w:rPr>
    </w:lvl>
    <w:lvl w:ilvl="4" w:tplc="9DF8DD88" w:tentative="1">
      <w:start w:val="1"/>
      <w:numFmt w:val="bullet"/>
      <w:lvlText w:val=""/>
      <w:lvlJc w:val="left"/>
      <w:pPr>
        <w:tabs>
          <w:tab w:val="num" w:pos="3600"/>
        </w:tabs>
        <w:ind w:left="3600" w:hanging="360"/>
      </w:pPr>
      <w:rPr>
        <w:rFonts w:ascii="Symbol" w:hAnsi="Symbol" w:hint="default"/>
      </w:rPr>
    </w:lvl>
    <w:lvl w:ilvl="5" w:tplc="518CE70E" w:tentative="1">
      <w:start w:val="1"/>
      <w:numFmt w:val="bullet"/>
      <w:lvlText w:val=""/>
      <w:lvlJc w:val="left"/>
      <w:pPr>
        <w:tabs>
          <w:tab w:val="num" w:pos="4320"/>
        </w:tabs>
        <w:ind w:left="4320" w:hanging="360"/>
      </w:pPr>
      <w:rPr>
        <w:rFonts w:ascii="Symbol" w:hAnsi="Symbol" w:hint="default"/>
      </w:rPr>
    </w:lvl>
    <w:lvl w:ilvl="6" w:tplc="93C8CA52" w:tentative="1">
      <w:start w:val="1"/>
      <w:numFmt w:val="bullet"/>
      <w:lvlText w:val=""/>
      <w:lvlJc w:val="left"/>
      <w:pPr>
        <w:tabs>
          <w:tab w:val="num" w:pos="5040"/>
        </w:tabs>
        <w:ind w:left="5040" w:hanging="360"/>
      </w:pPr>
      <w:rPr>
        <w:rFonts w:ascii="Symbol" w:hAnsi="Symbol" w:hint="default"/>
      </w:rPr>
    </w:lvl>
    <w:lvl w:ilvl="7" w:tplc="227671E4" w:tentative="1">
      <w:start w:val="1"/>
      <w:numFmt w:val="bullet"/>
      <w:lvlText w:val=""/>
      <w:lvlJc w:val="left"/>
      <w:pPr>
        <w:tabs>
          <w:tab w:val="num" w:pos="5760"/>
        </w:tabs>
        <w:ind w:left="5760" w:hanging="360"/>
      </w:pPr>
      <w:rPr>
        <w:rFonts w:ascii="Symbol" w:hAnsi="Symbol" w:hint="default"/>
      </w:rPr>
    </w:lvl>
    <w:lvl w:ilvl="8" w:tplc="A6C680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DC53B6D"/>
    <w:multiLevelType w:val="hybridMultilevel"/>
    <w:tmpl w:val="852A1C4A"/>
    <w:lvl w:ilvl="0" w:tplc="CAD850E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313E4"/>
    <w:multiLevelType w:val="hybridMultilevel"/>
    <w:tmpl w:val="A578918C"/>
    <w:lvl w:ilvl="0" w:tplc="50ECCA82">
      <w:start w:val="1"/>
      <w:numFmt w:val="bullet"/>
      <w:lvlText w:val=""/>
      <w:lvlJc w:val="left"/>
      <w:pPr>
        <w:tabs>
          <w:tab w:val="num" w:pos="720"/>
        </w:tabs>
        <w:ind w:left="720" w:hanging="360"/>
      </w:pPr>
      <w:rPr>
        <w:rFonts w:ascii="Wingdings" w:hAnsi="Wingdings" w:hint="default"/>
      </w:rPr>
    </w:lvl>
    <w:lvl w:ilvl="1" w:tplc="843C630E" w:tentative="1">
      <w:start w:val="1"/>
      <w:numFmt w:val="bullet"/>
      <w:lvlText w:val=""/>
      <w:lvlJc w:val="left"/>
      <w:pPr>
        <w:tabs>
          <w:tab w:val="num" w:pos="1440"/>
        </w:tabs>
        <w:ind w:left="1440" w:hanging="360"/>
      </w:pPr>
      <w:rPr>
        <w:rFonts w:ascii="Wingdings" w:hAnsi="Wingdings" w:hint="default"/>
      </w:rPr>
    </w:lvl>
    <w:lvl w:ilvl="2" w:tplc="7BB68EBC" w:tentative="1">
      <w:start w:val="1"/>
      <w:numFmt w:val="bullet"/>
      <w:lvlText w:val=""/>
      <w:lvlJc w:val="left"/>
      <w:pPr>
        <w:tabs>
          <w:tab w:val="num" w:pos="2160"/>
        </w:tabs>
        <w:ind w:left="2160" w:hanging="360"/>
      </w:pPr>
      <w:rPr>
        <w:rFonts w:ascii="Wingdings" w:hAnsi="Wingdings" w:hint="default"/>
      </w:rPr>
    </w:lvl>
    <w:lvl w:ilvl="3" w:tplc="38183FE0" w:tentative="1">
      <w:start w:val="1"/>
      <w:numFmt w:val="bullet"/>
      <w:lvlText w:val=""/>
      <w:lvlJc w:val="left"/>
      <w:pPr>
        <w:tabs>
          <w:tab w:val="num" w:pos="2880"/>
        </w:tabs>
        <w:ind w:left="2880" w:hanging="360"/>
      </w:pPr>
      <w:rPr>
        <w:rFonts w:ascii="Wingdings" w:hAnsi="Wingdings" w:hint="default"/>
      </w:rPr>
    </w:lvl>
    <w:lvl w:ilvl="4" w:tplc="F7E813AA" w:tentative="1">
      <w:start w:val="1"/>
      <w:numFmt w:val="bullet"/>
      <w:lvlText w:val=""/>
      <w:lvlJc w:val="left"/>
      <w:pPr>
        <w:tabs>
          <w:tab w:val="num" w:pos="3600"/>
        </w:tabs>
        <w:ind w:left="3600" w:hanging="360"/>
      </w:pPr>
      <w:rPr>
        <w:rFonts w:ascii="Wingdings" w:hAnsi="Wingdings" w:hint="default"/>
      </w:rPr>
    </w:lvl>
    <w:lvl w:ilvl="5" w:tplc="DC14773A" w:tentative="1">
      <w:start w:val="1"/>
      <w:numFmt w:val="bullet"/>
      <w:lvlText w:val=""/>
      <w:lvlJc w:val="left"/>
      <w:pPr>
        <w:tabs>
          <w:tab w:val="num" w:pos="4320"/>
        </w:tabs>
        <w:ind w:left="4320" w:hanging="360"/>
      </w:pPr>
      <w:rPr>
        <w:rFonts w:ascii="Wingdings" w:hAnsi="Wingdings" w:hint="default"/>
      </w:rPr>
    </w:lvl>
    <w:lvl w:ilvl="6" w:tplc="645ECB44" w:tentative="1">
      <w:start w:val="1"/>
      <w:numFmt w:val="bullet"/>
      <w:lvlText w:val=""/>
      <w:lvlJc w:val="left"/>
      <w:pPr>
        <w:tabs>
          <w:tab w:val="num" w:pos="5040"/>
        </w:tabs>
        <w:ind w:left="5040" w:hanging="360"/>
      </w:pPr>
      <w:rPr>
        <w:rFonts w:ascii="Wingdings" w:hAnsi="Wingdings" w:hint="default"/>
      </w:rPr>
    </w:lvl>
    <w:lvl w:ilvl="7" w:tplc="8886E778" w:tentative="1">
      <w:start w:val="1"/>
      <w:numFmt w:val="bullet"/>
      <w:lvlText w:val=""/>
      <w:lvlJc w:val="left"/>
      <w:pPr>
        <w:tabs>
          <w:tab w:val="num" w:pos="5760"/>
        </w:tabs>
        <w:ind w:left="5760" w:hanging="360"/>
      </w:pPr>
      <w:rPr>
        <w:rFonts w:ascii="Wingdings" w:hAnsi="Wingdings" w:hint="default"/>
      </w:rPr>
    </w:lvl>
    <w:lvl w:ilvl="8" w:tplc="8FD2040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4"/>
  </w:num>
  <w:num w:numId="4">
    <w:abstractNumId w:val="5"/>
  </w:num>
  <w:num w:numId="5">
    <w:abstractNumId w:val="2"/>
  </w:num>
  <w:num w:numId="6">
    <w:abstractNumId w:val="1"/>
  </w:num>
  <w:num w:numId="7">
    <w:abstractNumId w:val="8"/>
  </w:num>
  <w:num w:numId="8">
    <w:abstractNumId w:val="13"/>
  </w:num>
  <w:num w:numId="9">
    <w:abstractNumId w:val="19"/>
  </w:num>
  <w:num w:numId="10">
    <w:abstractNumId w:val="0"/>
  </w:num>
  <w:num w:numId="11">
    <w:abstractNumId w:val="6"/>
  </w:num>
  <w:num w:numId="12">
    <w:abstractNumId w:val="18"/>
  </w:num>
  <w:num w:numId="13">
    <w:abstractNumId w:val="21"/>
  </w:num>
  <w:num w:numId="14">
    <w:abstractNumId w:val="7"/>
  </w:num>
  <w:num w:numId="15">
    <w:abstractNumId w:val="17"/>
  </w:num>
  <w:num w:numId="16">
    <w:abstractNumId w:val="3"/>
  </w:num>
  <w:num w:numId="17">
    <w:abstractNumId w:val="10"/>
  </w:num>
  <w:num w:numId="18">
    <w:abstractNumId w:val="15"/>
  </w:num>
  <w:num w:numId="19">
    <w:abstractNumId w:val="12"/>
  </w:num>
  <w:num w:numId="20">
    <w:abstractNumId w:val="16"/>
  </w:num>
  <w:num w:numId="21">
    <w:abstractNumId w:val="11"/>
  </w:num>
  <w:num w:numId="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2D52"/>
    <w:rsid w:val="00004525"/>
    <w:rsid w:val="000053E6"/>
    <w:rsid w:val="00005FB9"/>
    <w:rsid w:val="00007A00"/>
    <w:rsid w:val="00007C1B"/>
    <w:rsid w:val="00007D4D"/>
    <w:rsid w:val="0001080B"/>
    <w:rsid w:val="000117A2"/>
    <w:rsid w:val="000117FC"/>
    <w:rsid w:val="00011A21"/>
    <w:rsid w:val="00013127"/>
    <w:rsid w:val="00020923"/>
    <w:rsid w:val="00021C98"/>
    <w:rsid w:val="000232FD"/>
    <w:rsid w:val="00030127"/>
    <w:rsid w:val="00031B99"/>
    <w:rsid w:val="00032E7C"/>
    <w:rsid w:val="000358C4"/>
    <w:rsid w:val="000360DA"/>
    <w:rsid w:val="000361C3"/>
    <w:rsid w:val="0004251A"/>
    <w:rsid w:val="000428B1"/>
    <w:rsid w:val="00043991"/>
    <w:rsid w:val="000504D6"/>
    <w:rsid w:val="00054486"/>
    <w:rsid w:val="000553E3"/>
    <w:rsid w:val="00055612"/>
    <w:rsid w:val="00057F5E"/>
    <w:rsid w:val="00060427"/>
    <w:rsid w:val="00061365"/>
    <w:rsid w:val="00065A57"/>
    <w:rsid w:val="0007078F"/>
    <w:rsid w:val="00071BEA"/>
    <w:rsid w:val="00071FC5"/>
    <w:rsid w:val="000724B9"/>
    <w:rsid w:val="00072982"/>
    <w:rsid w:val="0007361D"/>
    <w:rsid w:val="00075BFC"/>
    <w:rsid w:val="00077A6E"/>
    <w:rsid w:val="00080903"/>
    <w:rsid w:val="00081EB8"/>
    <w:rsid w:val="000834D4"/>
    <w:rsid w:val="0008680B"/>
    <w:rsid w:val="000876ED"/>
    <w:rsid w:val="00087DC3"/>
    <w:rsid w:val="00091222"/>
    <w:rsid w:val="00092FE5"/>
    <w:rsid w:val="00093D2B"/>
    <w:rsid w:val="0009637F"/>
    <w:rsid w:val="00096C33"/>
    <w:rsid w:val="00097BFD"/>
    <w:rsid w:val="000A0E47"/>
    <w:rsid w:val="000A301F"/>
    <w:rsid w:val="000A6074"/>
    <w:rsid w:val="000A7254"/>
    <w:rsid w:val="000B22AA"/>
    <w:rsid w:val="000B418C"/>
    <w:rsid w:val="000B4566"/>
    <w:rsid w:val="000C0F63"/>
    <w:rsid w:val="000C70F8"/>
    <w:rsid w:val="000D26E9"/>
    <w:rsid w:val="000E12E5"/>
    <w:rsid w:val="000E22AB"/>
    <w:rsid w:val="000E4513"/>
    <w:rsid w:val="000E73DD"/>
    <w:rsid w:val="000F010A"/>
    <w:rsid w:val="000F267A"/>
    <w:rsid w:val="000F326E"/>
    <w:rsid w:val="000F36E0"/>
    <w:rsid w:val="000F486C"/>
    <w:rsid w:val="000F5BCD"/>
    <w:rsid w:val="000F71C5"/>
    <w:rsid w:val="00102E27"/>
    <w:rsid w:val="00105963"/>
    <w:rsid w:val="00106436"/>
    <w:rsid w:val="00107DF7"/>
    <w:rsid w:val="00112543"/>
    <w:rsid w:val="00113196"/>
    <w:rsid w:val="00114D2E"/>
    <w:rsid w:val="001150F1"/>
    <w:rsid w:val="00117E25"/>
    <w:rsid w:val="00120AF4"/>
    <w:rsid w:val="0012519F"/>
    <w:rsid w:val="00125420"/>
    <w:rsid w:val="001327E8"/>
    <w:rsid w:val="001352F8"/>
    <w:rsid w:val="001359DB"/>
    <w:rsid w:val="00140B2D"/>
    <w:rsid w:val="00141070"/>
    <w:rsid w:val="001411EA"/>
    <w:rsid w:val="0014390B"/>
    <w:rsid w:val="00144F47"/>
    <w:rsid w:val="00144F7A"/>
    <w:rsid w:val="00150205"/>
    <w:rsid w:val="0015472C"/>
    <w:rsid w:val="00154FC3"/>
    <w:rsid w:val="001554CA"/>
    <w:rsid w:val="0015686A"/>
    <w:rsid w:val="00157531"/>
    <w:rsid w:val="00157C00"/>
    <w:rsid w:val="00160189"/>
    <w:rsid w:val="0016365E"/>
    <w:rsid w:val="00164350"/>
    <w:rsid w:val="0017002A"/>
    <w:rsid w:val="001749BE"/>
    <w:rsid w:val="001751C9"/>
    <w:rsid w:val="0017551C"/>
    <w:rsid w:val="00176826"/>
    <w:rsid w:val="00176A5B"/>
    <w:rsid w:val="001776D3"/>
    <w:rsid w:val="001839D6"/>
    <w:rsid w:val="0018459A"/>
    <w:rsid w:val="00190CFE"/>
    <w:rsid w:val="00193C83"/>
    <w:rsid w:val="001A0B2B"/>
    <w:rsid w:val="001A165D"/>
    <w:rsid w:val="001A2A91"/>
    <w:rsid w:val="001A41AD"/>
    <w:rsid w:val="001A4ACE"/>
    <w:rsid w:val="001B0D2A"/>
    <w:rsid w:val="001B150C"/>
    <w:rsid w:val="001B43CD"/>
    <w:rsid w:val="001B459E"/>
    <w:rsid w:val="001B4A08"/>
    <w:rsid w:val="001B4D08"/>
    <w:rsid w:val="001B6ED2"/>
    <w:rsid w:val="001C4FDF"/>
    <w:rsid w:val="001C6B64"/>
    <w:rsid w:val="001C7C36"/>
    <w:rsid w:val="001D028C"/>
    <w:rsid w:val="001D092E"/>
    <w:rsid w:val="001D1C29"/>
    <w:rsid w:val="001D1FB2"/>
    <w:rsid w:val="001D2FF4"/>
    <w:rsid w:val="001D3749"/>
    <w:rsid w:val="001D3ED7"/>
    <w:rsid w:val="001E046A"/>
    <w:rsid w:val="001E189D"/>
    <w:rsid w:val="001E1E73"/>
    <w:rsid w:val="001E2948"/>
    <w:rsid w:val="001E3027"/>
    <w:rsid w:val="001E315F"/>
    <w:rsid w:val="001E7928"/>
    <w:rsid w:val="001E7DBF"/>
    <w:rsid w:val="001F0A37"/>
    <w:rsid w:val="001F36DD"/>
    <w:rsid w:val="001F47BF"/>
    <w:rsid w:val="001F6A65"/>
    <w:rsid w:val="0020099D"/>
    <w:rsid w:val="00201B7B"/>
    <w:rsid w:val="00204BD4"/>
    <w:rsid w:val="00211410"/>
    <w:rsid w:val="002124AC"/>
    <w:rsid w:val="002127FE"/>
    <w:rsid w:val="002143E1"/>
    <w:rsid w:val="002148BB"/>
    <w:rsid w:val="00214E8C"/>
    <w:rsid w:val="002205DA"/>
    <w:rsid w:val="002209DB"/>
    <w:rsid w:val="00220FEF"/>
    <w:rsid w:val="00221185"/>
    <w:rsid w:val="002215A5"/>
    <w:rsid w:val="00223FB8"/>
    <w:rsid w:val="00225078"/>
    <w:rsid w:val="002258F4"/>
    <w:rsid w:val="00230C1B"/>
    <w:rsid w:val="00231A18"/>
    <w:rsid w:val="002331FF"/>
    <w:rsid w:val="00236925"/>
    <w:rsid w:val="00241587"/>
    <w:rsid w:val="002415C9"/>
    <w:rsid w:val="00242DB8"/>
    <w:rsid w:val="00243456"/>
    <w:rsid w:val="00244256"/>
    <w:rsid w:val="002448C0"/>
    <w:rsid w:val="00244F40"/>
    <w:rsid w:val="00252125"/>
    <w:rsid w:val="002546EB"/>
    <w:rsid w:val="0025513A"/>
    <w:rsid w:val="002553FF"/>
    <w:rsid w:val="00255B25"/>
    <w:rsid w:val="00255D5E"/>
    <w:rsid w:val="002601EE"/>
    <w:rsid w:val="00261679"/>
    <w:rsid w:val="002645D9"/>
    <w:rsid w:val="0026496D"/>
    <w:rsid w:val="00265E95"/>
    <w:rsid w:val="002674B3"/>
    <w:rsid w:val="00267ECF"/>
    <w:rsid w:val="00267F48"/>
    <w:rsid w:val="002709B9"/>
    <w:rsid w:val="00276157"/>
    <w:rsid w:val="00277292"/>
    <w:rsid w:val="00277455"/>
    <w:rsid w:val="00285714"/>
    <w:rsid w:val="00286A82"/>
    <w:rsid w:val="00291003"/>
    <w:rsid w:val="00293AF3"/>
    <w:rsid w:val="0029534D"/>
    <w:rsid w:val="002A0421"/>
    <w:rsid w:val="002A2E22"/>
    <w:rsid w:val="002A48D4"/>
    <w:rsid w:val="002B448D"/>
    <w:rsid w:val="002B61A1"/>
    <w:rsid w:val="002B6D6A"/>
    <w:rsid w:val="002C1455"/>
    <w:rsid w:val="002C1F39"/>
    <w:rsid w:val="002C2127"/>
    <w:rsid w:val="002C5240"/>
    <w:rsid w:val="002C6AF0"/>
    <w:rsid w:val="002D15C3"/>
    <w:rsid w:val="002D2D67"/>
    <w:rsid w:val="002E0A51"/>
    <w:rsid w:val="002E29A2"/>
    <w:rsid w:val="002E47C1"/>
    <w:rsid w:val="002E49E8"/>
    <w:rsid w:val="002E7E59"/>
    <w:rsid w:val="002F0169"/>
    <w:rsid w:val="002F0736"/>
    <w:rsid w:val="002F0CC3"/>
    <w:rsid w:val="002F290E"/>
    <w:rsid w:val="002F4C59"/>
    <w:rsid w:val="00301BB4"/>
    <w:rsid w:val="003024F7"/>
    <w:rsid w:val="0030622E"/>
    <w:rsid w:val="003064A4"/>
    <w:rsid w:val="00307431"/>
    <w:rsid w:val="00307F50"/>
    <w:rsid w:val="00312AA7"/>
    <w:rsid w:val="003152BC"/>
    <w:rsid w:val="003158A3"/>
    <w:rsid w:val="0032101A"/>
    <w:rsid w:val="00327B37"/>
    <w:rsid w:val="003301F3"/>
    <w:rsid w:val="0033061D"/>
    <w:rsid w:val="003317E0"/>
    <w:rsid w:val="00333C51"/>
    <w:rsid w:val="00340292"/>
    <w:rsid w:val="0034218B"/>
    <w:rsid w:val="00343FBF"/>
    <w:rsid w:val="003449C1"/>
    <w:rsid w:val="00346C84"/>
    <w:rsid w:val="00347877"/>
    <w:rsid w:val="00351BFD"/>
    <w:rsid w:val="00354CC9"/>
    <w:rsid w:val="00355973"/>
    <w:rsid w:val="00362287"/>
    <w:rsid w:val="003711A3"/>
    <w:rsid w:val="00373266"/>
    <w:rsid w:val="003751A9"/>
    <w:rsid w:val="00375958"/>
    <w:rsid w:val="003775FF"/>
    <w:rsid w:val="00382BF8"/>
    <w:rsid w:val="003851DF"/>
    <w:rsid w:val="0038589C"/>
    <w:rsid w:val="00385A33"/>
    <w:rsid w:val="003929D8"/>
    <w:rsid w:val="00392C78"/>
    <w:rsid w:val="003940C9"/>
    <w:rsid w:val="00395682"/>
    <w:rsid w:val="00396A45"/>
    <w:rsid w:val="003A16FA"/>
    <w:rsid w:val="003A22E4"/>
    <w:rsid w:val="003A23FF"/>
    <w:rsid w:val="003A3E90"/>
    <w:rsid w:val="003A56BB"/>
    <w:rsid w:val="003A6C35"/>
    <w:rsid w:val="003A76B8"/>
    <w:rsid w:val="003B04BD"/>
    <w:rsid w:val="003B4BFC"/>
    <w:rsid w:val="003B5145"/>
    <w:rsid w:val="003B6BE8"/>
    <w:rsid w:val="003B776D"/>
    <w:rsid w:val="003B7C1F"/>
    <w:rsid w:val="003C0003"/>
    <w:rsid w:val="003C00B2"/>
    <w:rsid w:val="003C2248"/>
    <w:rsid w:val="003C3A19"/>
    <w:rsid w:val="003C4120"/>
    <w:rsid w:val="003C52DF"/>
    <w:rsid w:val="003C640E"/>
    <w:rsid w:val="003C7218"/>
    <w:rsid w:val="003D01E0"/>
    <w:rsid w:val="003D26CD"/>
    <w:rsid w:val="003D3397"/>
    <w:rsid w:val="003D55ED"/>
    <w:rsid w:val="003D5C66"/>
    <w:rsid w:val="003D6BE0"/>
    <w:rsid w:val="003D6CB8"/>
    <w:rsid w:val="003D7016"/>
    <w:rsid w:val="003D7E2F"/>
    <w:rsid w:val="003E026A"/>
    <w:rsid w:val="003E1F46"/>
    <w:rsid w:val="003E2DA6"/>
    <w:rsid w:val="003E446E"/>
    <w:rsid w:val="003E6966"/>
    <w:rsid w:val="003F1273"/>
    <w:rsid w:val="004017B7"/>
    <w:rsid w:val="004021D1"/>
    <w:rsid w:val="004035CF"/>
    <w:rsid w:val="00407551"/>
    <w:rsid w:val="004078EE"/>
    <w:rsid w:val="004101D6"/>
    <w:rsid w:val="00410703"/>
    <w:rsid w:val="00412030"/>
    <w:rsid w:val="004210E7"/>
    <w:rsid w:val="0042138B"/>
    <w:rsid w:val="00422EA6"/>
    <w:rsid w:val="00427059"/>
    <w:rsid w:val="00430DEA"/>
    <w:rsid w:val="0043159A"/>
    <w:rsid w:val="00435EFF"/>
    <w:rsid w:val="00436C48"/>
    <w:rsid w:val="00436F67"/>
    <w:rsid w:val="00437E69"/>
    <w:rsid w:val="004401CB"/>
    <w:rsid w:val="004407F7"/>
    <w:rsid w:val="00441F12"/>
    <w:rsid w:val="004428D8"/>
    <w:rsid w:val="00444D61"/>
    <w:rsid w:val="0044745A"/>
    <w:rsid w:val="00447E24"/>
    <w:rsid w:val="00452EBB"/>
    <w:rsid w:val="004547D3"/>
    <w:rsid w:val="00455556"/>
    <w:rsid w:val="0045586F"/>
    <w:rsid w:val="00457790"/>
    <w:rsid w:val="00460CA7"/>
    <w:rsid w:val="0046280E"/>
    <w:rsid w:val="00463EC1"/>
    <w:rsid w:val="00464165"/>
    <w:rsid w:val="004710AC"/>
    <w:rsid w:val="00471EA8"/>
    <w:rsid w:val="0047299C"/>
    <w:rsid w:val="00475AE4"/>
    <w:rsid w:val="004808DC"/>
    <w:rsid w:val="00481AFC"/>
    <w:rsid w:val="00481BB8"/>
    <w:rsid w:val="004820C4"/>
    <w:rsid w:val="004837A7"/>
    <w:rsid w:val="0048460C"/>
    <w:rsid w:val="0048612E"/>
    <w:rsid w:val="00486532"/>
    <w:rsid w:val="0049056C"/>
    <w:rsid w:val="004910F4"/>
    <w:rsid w:val="00492F0C"/>
    <w:rsid w:val="0049404C"/>
    <w:rsid w:val="004A0142"/>
    <w:rsid w:val="004A231C"/>
    <w:rsid w:val="004A299B"/>
    <w:rsid w:val="004A3716"/>
    <w:rsid w:val="004A4047"/>
    <w:rsid w:val="004A54E5"/>
    <w:rsid w:val="004A5799"/>
    <w:rsid w:val="004A65F3"/>
    <w:rsid w:val="004A7660"/>
    <w:rsid w:val="004B281E"/>
    <w:rsid w:val="004B45A4"/>
    <w:rsid w:val="004B53AD"/>
    <w:rsid w:val="004C1480"/>
    <w:rsid w:val="004C294A"/>
    <w:rsid w:val="004C4034"/>
    <w:rsid w:val="004C4A9A"/>
    <w:rsid w:val="004C5EAC"/>
    <w:rsid w:val="004C6A35"/>
    <w:rsid w:val="004C6F26"/>
    <w:rsid w:val="004C737E"/>
    <w:rsid w:val="004C774B"/>
    <w:rsid w:val="004D346E"/>
    <w:rsid w:val="004E171F"/>
    <w:rsid w:val="004E2464"/>
    <w:rsid w:val="004E28D1"/>
    <w:rsid w:val="004E2CAD"/>
    <w:rsid w:val="004E3FD8"/>
    <w:rsid w:val="004E4569"/>
    <w:rsid w:val="004E5EB4"/>
    <w:rsid w:val="004E6F1E"/>
    <w:rsid w:val="004E751C"/>
    <w:rsid w:val="004F097F"/>
    <w:rsid w:val="004F0D03"/>
    <w:rsid w:val="004F18E7"/>
    <w:rsid w:val="004F1F6E"/>
    <w:rsid w:val="004F220E"/>
    <w:rsid w:val="004F3313"/>
    <w:rsid w:val="004F48FC"/>
    <w:rsid w:val="004F724E"/>
    <w:rsid w:val="0050192C"/>
    <w:rsid w:val="00505332"/>
    <w:rsid w:val="00505524"/>
    <w:rsid w:val="0050593C"/>
    <w:rsid w:val="00505D33"/>
    <w:rsid w:val="00505E8C"/>
    <w:rsid w:val="00506705"/>
    <w:rsid w:val="0051372C"/>
    <w:rsid w:val="0051543E"/>
    <w:rsid w:val="00515B71"/>
    <w:rsid w:val="00516FA7"/>
    <w:rsid w:val="005225D7"/>
    <w:rsid w:val="00522BC5"/>
    <w:rsid w:val="00526893"/>
    <w:rsid w:val="00526FF8"/>
    <w:rsid w:val="00527889"/>
    <w:rsid w:val="00530312"/>
    <w:rsid w:val="005315E8"/>
    <w:rsid w:val="005346BA"/>
    <w:rsid w:val="00534F0A"/>
    <w:rsid w:val="00535811"/>
    <w:rsid w:val="0054182E"/>
    <w:rsid w:val="00542674"/>
    <w:rsid w:val="00545D89"/>
    <w:rsid w:val="00546B38"/>
    <w:rsid w:val="00550CFD"/>
    <w:rsid w:val="005545D3"/>
    <w:rsid w:val="00556267"/>
    <w:rsid w:val="005570EF"/>
    <w:rsid w:val="00560F45"/>
    <w:rsid w:val="005633DC"/>
    <w:rsid w:val="00563B06"/>
    <w:rsid w:val="0056415F"/>
    <w:rsid w:val="0056424D"/>
    <w:rsid w:val="00571F42"/>
    <w:rsid w:val="005741B1"/>
    <w:rsid w:val="00580597"/>
    <w:rsid w:val="0058131E"/>
    <w:rsid w:val="0058161B"/>
    <w:rsid w:val="0058473E"/>
    <w:rsid w:val="00584DB6"/>
    <w:rsid w:val="005850B0"/>
    <w:rsid w:val="00587A85"/>
    <w:rsid w:val="00590294"/>
    <w:rsid w:val="0059391C"/>
    <w:rsid w:val="00594966"/>
    <w:rsid w:val="00595349"/>
    <w:rsid w:val="00596C5F"/>
    <w:rsid w:val="005971D0"/>
    <w:rsid w:val="005978DC"/>
    <w:rsid w:val="005A2CD6"/>
    <w:rsid w:val="005A33B6"/>
    <w:rsid w:val="005A4509"/>
    <w:rsid w:val="005A4C2C"/>
    <w:rsid w:val="005A56E5"/>
    <w:rsid w:val="005A6184"/>
    <w:rsid w:val="005A66C5"/>
    <w:rsid w:val="005A6E85"/>
    <w:rsid w:val="005B1E96"/>
    <w:rsid w:val="005B2B06"/>
    <w:rsid w:val="005B37A0"/>
    <w:rsid w:val="005B3938"/>
    <w:rsid w:val="005B5DB4"/>
    <w:rsid w:val="005B7DD9"/>
    <w:rsid w:val="005C318E"/>
    <w:rsid w:val="005C49C8"/>
    <w:rsid w:val="005D1432"/>
    <w:rsid w:val="005D30B4"/>
    <w:rsid w:val="005E1051"/>
    <w:rsid w:val="005E6515"/>
    <w:rsid w:val="005E6796"/>
    <w:rsid w:val="005F018D"/>
    <w:rsid w:val="005F138C"/>
    <w:rsid w:val="005F1FDE"/>
    <w:rsid w:val="00600407"/>
    <w:rsid w:val="006018E8"/>
    <w:rsid w:val="00604ACB"/>
    <w:rsid w:val="00606988"/>
    <w:rsid w:val="006079B8"/>
    <w:rsid w:val="0061003E"/>
    <w:rsid w:val="00616FE2"/>
    <w:rsid w:val="006171DE"/>
    <w:rsid w:val="006205AA"/>
    <w:rsid w:val="0062097B"/>
    <w:rsid w:val="006243B4"/>
    <w:rsid w:val="006243B5"/>
    <w:rsid w:val="006267AF"/>
    <w:rsid w:val="0062726C"/>
    <w:rsid w:val="00630DAA"/>
    <w:rsid w:val="00634D8A"/>
    <w:rsid w:val="0063562F"/>
    <w:rsid w:val="0064350E"/>
    <w:rsid w:val="00643CE0"/>
    <w:rsid w:val="006469C1"/>
    <w:rsid w:val="00652035"/>
    <w:rsid w:val="00655D1F"/>
    <w:rsid w:val="00664411"/>
    <w:rsid w:val="006645F9"/>
    <w:rsid w:val="006664BB"/>
    <w:rsid w:val="006667F5"/>
    <w:rsid w:val="0067093B"/>
    <w:rsid w:val="00673856"/>
    <w:rsid w:val="00676D16"/>
    <w:rsid w:val="006774B0"/>
    <w:rsid w:val="00680DCF"/>
    <w:rsid w:val="0068227C"/>
    <w:rsid w:val="00684483"/>
    <w:rsid w:val="00685C9C"/>
    <w:rsid w:val="0069269A"/>
    <w:rsid w:val="00693EE8"/>
    <w:rsid w:val="006A2ADE"/>
    <w:rsid w:val="006A4BA4"/>
    <w:rsid w:val="006A6C65"/>
    <w:rsid w:val="006B4EDE"/>
    <w:rsid w:val="006C3F23"/>
    <w:rsid w:val="006D3BF1"/>
    <w:rsid w:val="006D4642"/>
    <w:rsid w:val="006D48D5"/>
    <w:rsid w:val="006E51EF"/>
    <w:rsid w:val="006F099A"/>
    <w:rsid w:val="006F178C"/>
    <w:rsid w:val="006F4DE6"/>
    <w:rsid w:val="006F6A96"/>
    <w:rsid w:val="006F7DC1"/>
    <w:rsid w:val="00700CA1"/>
    <w:rsid w:val="00700E2F"/>
    <w:rsid w:val="00702801"/>
    <w:rsid w:val="00704110"/>
    <w:rsid w:val="007045E1"/>
    <w:rsid w:val="00704D84"/>
    <w:rsid w:val="007057A4"/>
    <w:rsid w:val="007071A0"/>
    <w:rsid w:val="007122CF"/>
    <w:rsid w:val="007153AF"/>
    <w:rsid w:val="007223C7"/>
    <w:rsid w:val="00724B05"/>
    <w:rsid w:val="007253E2"/>
    <w:rsid w:val="00726AF4"/>
    <w:rsid w:val="00727026"/>
    <w:rsid w:val="0073010C"/>
    <w:rsid w:val="0073353C"/>
    <w:rsid w:val="007371A5"/>
    <w:rsid w:val="00737D47"/>
    <w:rsid w:val="00740B11"/>
    <w:rsid w:val="00740B3A"/>
    <w:rsid w:val="007413DE"/>
    <w:rsid w:val="0074371F"/>
    <w:rsid w:val="0074379C"/>
    <w:rsid w:val="00746D0F"/>
    <w:rsid w:val="007504E3"/>
    <w:rsid w:val="00750B75"/>
    <w:rsid w:val="00751C3E"/>
    <w:rsid w:val="0075546E"/>
    <w:rsid w:val="00756462"/>
    <w:rsid w:val="007579E9"/>
    <w:rsid w:val="00757F49"/>
    <w:rsid w:val="00760EB1"/>
    <w:rsid w:val="0076195A"/>
    <w:rsid w:val="00765F24"/>
    <w:rsid w:val="00776F2E"/>
    <w:rsid w:val="0078095A"/>
    <w:rsid w:val="007813F1"/>
    <w:rsid w:val="007845A2"/>
    <w:rsid w:val="00785714"/>
    <w:rsid w:val="0078641A"/>
    <w:rsid w:val="00787949"/>
    <w:rsid w:val="0079370A"/>
    <w:rsid w:val="007942B9"/>
    <w:rsid w:val="007966A6"/>
    <w:rsid w:val="007A5C7A"/>
    <w:rsid w:val="007A66A7"/>
    <w:rsid w:val="007B0A0A"/>
    <w:rsid w:val="007B1ACA"/>
    <w:rsid w:val="007B2798"/>
    <w:rsid w:val="007B3E5C"/>
    <w:rsid w:val="007C01FD"/>
    <w:rsid w:val="007C23EA"/>
    <w:rsid w:val="007C34BA"/>
    <w:rsid w:val="007C5049"/>
    <w:rsid w:val="007C6A0B"/>
    <w:rsid w:val="007D166F"/>
    <w:rsid w:val="007D49D9"/>
    <w:rsid w:val="007D65AF"/>
    <w:rsid w:val="007E2404"/>
    <w:rsid w:val="007E4AB5"/>
    <w:rsid w:val="007E7646"/>
    <w:rsid w:val="007F09F5"/>
    <w:rsid w:val="007F2A96"/>
    <w:rsid w:val="007F3470"/>
    <w:rsid w:val="007F34DB"/>
    <w:rsid w:val="007F3EDE"/>
    <w:rsid w:val="007F6F28"/>
    <w:rsid w:val="007F76D9"/>
    <w:rsid w:val="00800416"/>
    <w:rsid w:val="008012F5"/>
    <w:rsid w:val="00803F23"/>
    <w:rsid w:val="00804D30"/>
    <w:rsid w:val="008076E6"/>
    <w:rsid w:val="008113B5"/>
    <w:rsid w:val="00812016"/>
    <w:rsid w:val="008138D0"/>
    <w:rsid w:val="00815EDA"/>
    <w:rsid w:val="008212E2"/>
    <w:rsid w:val="0082130D"/>
    <w:rsid w:val="008253C5"/>
    <w:rsid w:val="00825F6A"/>
    <w:rsid w:val="00827387"/>
    <w:rsid w:val="00830DC7"/>
    <w:rsid w:val="00832032"/>
    <w:rsid w:val="008324CD"/>
    <w:rsid w:val="00832FE9"/>
    <w:rsid w:val="00842E42"/>
    <w:rsid w:val="00847000"/>
    <w:rsid w:val="00847128"/>
    <w:rsid w:val="00847BD5"/>
    <w:rsid w:val="00847DDA"/>
    <w:rsid w:val="0085428B"/>
    <w:rsid w:val="008567B9"/>
    <w:rsid w:val="00861223"/>
    <w:rsid w:val="0086197C"/>
    <w:rsid w:val="0086277C"/>
    <w:rsid w:val="008650F9"/>
    <w:rsid w:val="00870CB6"/>
    <w:rsid w:val="00874676"/>
    <w:rsid w:val="00874BEE"/>
    <w:rsid w:val="00877B6C"/>
    <w:rsid w:val="0088367E"/>
    <w:rsid w:val="008870C5"/>
    <w:rsid w:val="00887FFD"/>
    <w:rsid w:val="008906E7"/>
    <w:rsid w:val="00891204"/>
    <w:rsid w:val="00892EE8"/>
    <w:rsid w:val="00894452"/>
    <w:rsid w:val="00896DB6"/>
    <w:rsid w:val="008A3939"/>
    <w:rsid w:val="008B03E3"/>
    <w:rsid w:val="008B0D43"/>
    <w:rsid w:val="008B2F47"/>
    <w:rsid w:val="008B5105"/>
    <w:rsid w:val="008B5C6A"/>
    <w:rsid w:val="008B7315"/>
    <w:rsid w:val="008C3662"/>
    <w:rsid w:val="008C55E9"/>
    <w:rsid w:val="008D2338"/>
    <w:rsid w:val="008D2BBE"/>
    <w:rsid w:val="008D2C12"/>
    <w:rsid w:val="008D6911"/>
    <w:rsid w:val="008E17BD"/>
    <w:rsid w:val="008E20A7"/>
    <w:rsid w:val="008E3CBB"/>
    <w:rsid w:val="008E3E70"/>
    <w:rsid w:val="008E52E0"/>
    <w:rsid w:val="008E5671"/>
    <w:rsid w:val="008E6882"/>
    <w:rsid w:val="008F4FB0"/>
    <w:rsid w:val="008F5CD6"/>
    <w:rsid w:val="008F6E3B"/>
    <w:rsid w:val="009009F5"/>
    <w:rsid w:val="0090755F"/>
    <w:rsid w:val="009110B8"/>
    <w:rsid w:val="0091328A"/>
    <w:rsid w:val="00913686"/>
    <w:rsid w:val="00914249"/>
    <w:rsid w:val="009142E0"/>
    <w:rsid w:val="0092147C"/>
    <w:rsid w:val="00923567"/>
    <w:rsid w:val="00925DF4"/>
    <w:rsid w:val="009275D3"/>
    <w:rsid w:val="0093033A"/>
    <w:rsid w:val="00931916"/>
    <w:rsid w:val="00931A41"/>
    <w:rsid w:val="00931F2F"/>
    <w:rsid w:val="00932B5D"/>
    <w:rsid w:val="00932CBB"/>
    <w:rsid w:val="00937886"/>
    <w:rsid w:val="00940A2E"/>
    <w:rsid w:val="00941087"/>
    <w:rsid w:val="009445A0"/>
    <w:rsid w:val="00944EB6"/>
    <w:rsid w:val="0095292D"/>
    <w:rsid w:val="00956E1D"/>
    <w:rsid w:val="00964241"/>
    <w:rsid w:val="009643C9"/>
    <w:rsid w:val="009645E5"/>
    <w:rsid w:val="00965967"/>
    <w:rsid w:val="0097352C"/>
    <w:rsid w:val="00974D7C"/>
    <w:rsid w:val="00975715"/>
    <w:rsid w:val="009766BC"/>
    <w:rsid w:val="00976A3A"/>
    <w:rsid w:val="009815FA"/>
    <w:rsid w:val="00983D6C"/>
    <w:rsid w:val="009859C4"/>
    <w:rsid w:val="00990F11"/>
    <w:rsid w:val="00992F7C"/>
    <w:rsid w:val="00992FC3"/>
    <w:rsid w:val="00993F7A"/>
    <w:rsid w:val="0099474D"/>
    <w:rsid w:val="00996CE9"/>
    <w:rsid w:val="009A0673"/>
    <w:rsid w:val="009A1080"/>
    <w:rsid w:val="009A11C6"/>
    <w:rsid w:val="009A23B8"/>
    <w:rsid w:val="009A2EDF"/>
    <w:rsid w:val="009A5A2D"/>
    <w:rsid w:val="009A7108"/>
    <w:rsid w:val="009A7DF2"/>
    <w:rsid w:val="009B3808"/>
    <w:rsid w:val="009C1353"/>
    <w:rsid w:val="009C1E60"/>
    <w:rsid w:val="009C1EDA"/>
    <w:rsid w:val="009C5BD8"/>
    <w:rsid w:val="009D0BAB"/>
    <w:rsid w:val="009D3B75"/>
    <w:rsid w:val="009D4B9C"/>
    <w:rsid w:val="009D5E79"/>
    <w:rsid w:val="009E1344"/>
    <w:rsid w:val="009E62A3"/>
    <w:rsid w:val="009E76DB"/>
    <w:rsid w:val="009F0540"/>
    <w:rsid w:val="009F1BDA"/>
    <w:rsid w:val="00A0272D"/>
    <w:rsid w:val="00A033AA"/>
    <w:rsid w:val="00A05B1C"/>
    <w:rsid w:val="00A10142"/>
    <w:rsid w:val="00A11B5F"/>
    <w:rsid w:val="00A12668"/>
    <w:rsid w:val="00A12924"/>
    <w:rsid w:val="00A1448A"/>
    <w:rsid w:val="00A154D1"/>
    <w:rsid w:val="00A15B5D"/>
    <w:rsid w:val="00A160CC"/>
    <w:rsid w:val="00A17D06"/>
    <w:rsid w:val="00A20B10"/>
    <w:rsid w:val="00A20CEE"/>
    <w:rsid w:val="00A22059"/>
    <w:rsid w:val="00A22432"/>
    <w:rsid w:val="00A242C8"/>
    <w:rsid w:val="00A24F39"/>
    <w:rsid w:val="00A3104B"/>
    <w:rsid w:val="00A32CCE"/>
    <w:rsid w:val="00A36CAB"/>
    <w:rsid w:val="00A37197"/>
    <w:rsid w:val="00A37FED"/>
    <w:rsid w:val="00A43B46"/>
    <w:rsid w:val="00A441FB"/>
    <w:rsid w:val="00A452FA"/>
    <w:rsid w:val="00A5062A"/>
    <w:rsid w:val="00A5393E"/>
    <w:rsid w:val="00A61B3A"/>
    <w:rsid w:val="00A6313E"/>
    <w:rsid w:val="00A657BE"/>
    <w:rsid w:val="00A65A53"/>
    <w:rsid w:val="00A65CAA"/>
    <w:rsid w:val="00A65E3D"/>
    <w:rsid w:val="00A67BB8"/>
    <w:rsid w:val="00A67FB7"/>
    <w:rsid w:val="00A75B00"/>
    <w:rsid w:val="00A83B88"/>
    <w:rsid w:val="00A83F96"/>
    <w:rsid w:val="00A8478F"/>
    <w:rsid w:val="00A84F49"/>
    <w:rsid w:val="00A87770"/>
    <w:rsid w:val="00A92660"/>
    <w:rsid w:val="00A977DF"/>
    <w:rsid w:val="00A97B6F"/>
    <w:rsid w:val="00AA0F8C"/>
    <w:rsid w:val="00AA2318"/>
    <w:rsid w:val="00AA3072"/>
    <w:rsid w:val="00AA3C42"/>
    <w:rsid w:val="00AA3FB9"/>
    <w:rsid w:val="00AA68CF"/>
    <w:rsid w:val="00AA7FB6"/>
    <w:rsid w:val="00AB1357"/>
    <w:rsid w:val="00AB182E"/>
    <w:rsid w:val="00AB39CD"/>
    <w:rsid w:val="00AB4845"/>
    <w:rsid w:val="00AB5E74"/>
    <w:rsid w:val="00AB61F9"/>
    <w:rsid w:val="00AB67E6"/>
    <w:rsid w:val="00AC032F"/>
    <w:rsid w:val="00AC555A"/>
    <w:rsid w:val="00AC6801"/>
    <w:rsid w:val="00AC7E01"/>
    <w:rsid w:val="00AC7FEB"/>
    <w:rsid w:val="00AD131E"/>
    <w:rsid w:val="00AD5B83"/>
    <w:rsid w:val="00AD5CCF"/>
    <w:rsid w:val="00AD6442"/>
    <w:rsid w:val="00AD6B5B"/>
    <w:rsid w:val="00AD6E3A"/>
    <w:rsid w:val="00AD6F31"/>
    <w:rsid w:val="00AE1253"/>
    <w:rsid w:val="00AE360D"/>
    <w:rsid w:val="00AE38E0"/>
    <w:rsid w:val="00AE3B07"/>
    <w:rsid w:val="00AE4FEE"/>
    <w:rsid w:val="00B01FB9"/>
    <w:rsid w:val="00B0768E"/>
    <w:rsid w:val="00B10F51"/>
    <w:rsid w:val="00B114A8"/>
    <w:rsid w:val="00B12B62"/>
    <w:rsid w:val="00B15E68"/>
    <w:rsid w:val="00B16395"/>
    <w:rsid w:val="00B25D94"/>
    <w:rsid w:val="00B26D68"/>
    <w:rsid w:val="00B30513"/>
    <w:rsid w:val="00B30CC4"/>
    <w:rsid w:val="00B319BD"/>
    <w:rsid w:val="00B35D33"/>
    <w:rsid w:val="00B37943"/>
    <w:rsid w:val="00B37B4B"/>
    <w:rsid w:val="00B43CDB"/>
    <w:rsid w:val="00B475B9"/>
    <w:rsid w:val="00B503CB"/>
    <w:rsid w:val="00B50C68"/>
    <w:rsid w:val="00B50FA4"/>
    <w:rsid w:val="00B54EAC"/>
    <w:rsid w:val="00B55983"/>
    <w:rsid w:val="00B62D16"/>
    <w:rsid w:val="00B634EE"/>
    <w:rsid w:val="00B6383F"/>
    <w:rsid w:val="00B646B9"/>
    <w:rsid w:val="00B64C64"/>
    <w:rsid w:val="00B655EE"/>
    <w:rsid w:val="00B666EB"/>
    <w:rsid w:val="00B71605"/>
    <w:rsid w:val="00B719C4"/>
    <w:rsid w:val="00B72EA2"/>
    <w:rsid w:val="00B80323"/>
    <w:rsid w:val="00B8179A"/>
    <w:rsid w:val="00B82970"/>
    <w:rsid w:val="00B839D5"/>
    <w:rsid w:val="00B85191"/>
    <w:rsid w:val="00B85B08"/>
    <w:rsid w:val="00B86767"/>
    <w:rsid w:val="00B92DFD"/>
    <w:rsid w:val="00B94CBC"/>
    <w:rsid w:val="00B95B97"/>
    <w:rsid w:val="00B96193"/>
    <w:rsid w:val="00BA04FE"/>
    <w:rsid w:val="00BA07B5"/>
    <w:rsid w:val="00BA30A6"/>
    <w:rsid w:val="00BA3586"/>
    <w:rsid w:val="00BA4415"/>
    <w:rsid w:val="00BA7181"/>
    <w:rsid w:val="00BB0CDB"/>
    <w:rsid w:val="00BB281A"/>
    <w:rsid w:val="00BB4D04"/>
    <w:rsid w:val="00BB6B15"/>
    <w:rsid w:val="00BC1122"/>
    <w:rsid w:val="00BC12E7"/>
    <w:rsid w:val="00BD2B8C"/>
    <w:rsid w:val="00BD62A0"/>
    <w:rsid w:val="00BD74BA"/>
    <w:rsid w:val="00BE1888"/>
    <w:rsid w:val="00BE2E12"/>
    <w:rsid w:val="00BE36E4"/>
    <w:rsid w:val="00BE3D08"/>
    <w:rsid w:val="00BE3DA4"/>
    <w:rsid w:val="00BE6449"/>
    <w:rsid w:val="00BF2383"/>
    <w:rsid w:val="00BF36D5"/>
    <w:rsid w:val="00BF413F"/>
    <w:rsid w:val="00BF4298"/>
    <w:rsid w:val="00BF532B"/>
    <w:rsid w:val="00C00E93"/>
    <w:rsid w:val="00C03BB0"/>
    <w:rsid w:val="00C044A6"/>
    <w:rsid w:val="00C05993"/>
    <w:rsid w:val="00C107A9"/>
    <w:rsid w:val="00C10A97"/>
    <w:rsid w:val="00C11016"/>
    <w:rsid w:val="00C11A6C"/>
    <w:rsid w:val="00C11D3D"/>
    <w:rsid w:val="00C176AA"/>
    <w:rsid w:val="00C17A1F"/>
    <w:rsid w:val="00C20F61"/>
    <w:rsid w:val="00C22241"/>
    <w:rsid w:val="00C22412"/>
    <w:rsid w:val="00C234A8"/>
    <w:rsid w:val="00C23D5B"/>
    <w:rsid w:val="00C23D7D"/>
    <w:rsid w:val="00C2587C"/>
    <w:rsid w:val="00C2656C"/>
    <w:rsid w:val="00C27EBB"/>
    <w:rsid w:val="00C328D1"/>
    <w:rsid w:val="00C335FD"/>
    <w:rsid w:val="00C35F91"/>
    <w:rsid w:val="00C40915"/>
    <w:rsid w:val="00C4215C"/>
    <w:rsid w:val="00C43B56"/>
    <w:rsid w:val="00C43DA0"/>
    <w:rsid w:val="00C44E95"/>
    <w:rsid w:val="00C455CD"/>
    <w:rsid w:val="00C50037"/>
    <w:rsid w:val="00C52D92"/>
    <w:rsid w:val="00C554F2"/>
    <w:rsid w:val="00C576A7"/>
    <w:rsid w:val="00C61A4D"/>
    <w:rsid w:val="00C62151"/>
    <w:rsid w:val="00C627EC"/>
    <w:rsid w:val="00C70855"/>
    <w:rsid w:val="00C71A0D"/>
    <w:rsid w:val="00C72766"/>
    <w:rsid w:val="00C74FFE"/>
    <w:rsid w:val="00C75763"/>
    <w:rsid w:val="00C75B96"/>
    <w:rsid w:val="00C7605E"/>
    <w:rsid w:val="00C87416"/>
    <w:rsid w:val="00C87563"/>
    <w:rsid w:val="00C87B44"/>
    <w:rsid w:val="00C92DB8"/>
    <w:rsid w:val="00C942C7"/>
    <w:rsid w:val="00C947A7"/>
    <w:rsid w:val="00C95CCE"/>
    <w:rsid w:val="00C9666E"/>
    <w:rsid w:val="00C977A2"/>
    <w:rsid w:val="00C97D7A"/>
    <w:rsid w:val="00CA0A44"/>
    <w:rsid w:val="00CA1760"/>
    <w:rsid w:val="00CA7EF3"/>
    <w:rsid w:val="00CB3C3D"/>
    <w:rsid w:val="00CB3E9F"/>
    <w:rsid w:val="00CB5043"/>
    <w:rsid w:val="00CB5903"/>
    <w:rsid w:val="00CB733A"/>
    <w:rsid w:val="00CC2097"/>
    <w:rsid w:val="00CC229B"/>
    <w:rsid w:val="00CC5963"/>
    <w:rsid w:val="00CC5E20"/>
    <w:rsid w:val="00CC7BD5"/>
    <w:rsid w:val="00CD0579"/>
    <w:rsid w:val="00CD3600"/>
    <w:rsid w:val="00CD7ABA"/>
    <w:rsid w:val="00CE2ADA"/>
    <w:rsid w:val="00CE5989"/>
    <w:rsid w:val="00CF118E"/>
    <w:rsid w:val="00CF2427"/>
    <w:rsid w:val="00CF3C93"/>
    <w:rsid w:val="00CF4986"/>
    <w:rsid w:val="00D054C3"/>
    <w:rsid w:val="00D07E90"/>
    <w:rsid w:val="00D155F8"/>
    <w:rsid w:val="00D16810"/>
    <w:rsid w:val="00D16F59"/>
    <w:rsid w:val="00D171E1"/>
    <w:rsid w:val="00D2167F"/>
    <w:rsid w:val="00D22D02"/>
    <w:rsid w:val="00D24D26"/>
    <w:rsid w:val="00D25158"/>
    <w:rsid w:val="00D25B2F"/>
    <w:rsid w:val="00D2739C"/>
    <w:rsid w:val="00D27B83"/>
    <w:rsid w:val="00D3264A"/>
    <w:rsid w:val="00D338D7"/>
    <w:rsid w:val="00D3406F"/>
    <w:rsid w:val="00D34F62"/>
    <w:rsid w:val="00D363C5"/>
    <w:rsid w:val="00D377FC"/>
    <w:rsid w:val="00D40236"/>
    <w:rsid w:val="00D41028"/>
    <w:rsid w:val="00D41C65"/>
    <w:rsid w:val="00D421B4"/>
    <w:rsid w:val="00D42435"/>
    <w:rsid w:val="00D432E2"/>
    <w:rsid w:val="00D47443"/>
    <w:rsid w:val="00D4745D"/>
    <w:rsid w:val="00D477A0"/>
    <w:rsid w:val="00D51E51"/>
    <w:rsid w:val="00D51F4B"/>
    <w:rsid w:val="00D56818"/>
    <w:rsid w:val="00D5701E"/>
    <w:rsid w:val="00D57067"/>
    <w:rsid w:val="00D57F98"/>
    <w:rsid w:val="00D60793"/>
    <w:rsid w:val="00D643F0"/>
    <w:rsid w:val="00D65864"/>
    <w:rsid w:val="00D669E9"/>
    <w:rsid w:val="00D673FF"/>
    <w:rsid w:val="00D71C47"/>
    <w:rsid w:val="00D73025"/>
    <w:rsid w:val="00D74012"/>
    <w:rsid w:val="00D75AFB"/>
    <w:rsid w:val="00D7798E"/>
    <w:rsid w:val="00D80C3F"/>
    <w:rsid w:val="00D8407D"/>
    <w:rsid w:val="00D843A4"/>
    <w:rsid w:val="00D860EE"/>
    <w:rsid w:val="00D866E8"/>
    <w:rsid w:val="00D94100"/>
    <w:rsid w:val="00D94C49"/>
    <w:rsid w:val="00D966E6"/>
    <w:rsid w:val="00DA1967"/>
    <w:rsid w:val="00DA2869"/>
    <w:rsid w:val="00DA3802"/>
    <w:rsid w:val="00DA5969"/>
    <w:rsid w:val="00DA5F95"/>
    <w:rsid w:val="00DB0842"/>
    <w:rsid w:val="00DB3378"/>
    <w:rsid w:val="00DB3555"/>
    <w:rsid w:val="00DB5D44"/>
    <w:rsid w:val="00DC03C7"/>
    <w:rsid w:val="00DC08ED"/>
    <w:rsid w:val="00DC23F6"/>
    <w:rsid w:val="00DC272A"/>
    <w:rsid w:val="00DC3286"/>
    <w:rsid w:val="00DC4267"/>
    <w:rsid w:val="00DC65BA"/>
    <w:rsid w:val="00DC78E7"/>
    <w:rsid w:val="00DD0783"/>
    <w:rsid w:val="00DD1E75"/>
    <w:rsid w:val="00DD61A2"/>
    <w:rsid w:val="00DE549E"/>
    <w:rsid w:val="00DE54BF"/>
    <w:rsid w:val="00DE7B98"/>
    <w:rsid w:val="00DF350D"/>
    <w:rsid w:val="00DF4047"/>
    <w:rsid w:val="00DF6B5A"/>
    <w:rsid w:val="00DF6EB8"/>
    <w:rsid w:val="00DF6F29"/>
    <w:rsid w:val="00DF73BC"/>
    <w:rsid w:val="00E037DC"/>
    <w:rsid w:val="00E05377"/>
    <w:rsid w:val="00E07AA3"/>
    <w:rsid w:val="00E10892"/>
    <w:rsid w:val="00E12632"/>
    <w:rsid w:val="00E14DBF"/>
    <w:rsid w:val="00E21FDB"/>
    <w:rsid w:val="00E267B2"/>
    <w:rsid w:val="00E27E3A"/>
    <w:rsid w:val="00E300E5"/>
    <w:rsid w:val="00E30309"/>
    <w:rsid w:val="00E31818"/>
    <w:rsid w:val="00E31978"/>
    <w:rsid w:val="00E32CF3"/>
    <w:rsid w:val="00E332A1"/>
    <w:rsid w:val="00E341A3"/>
    <w:rsid w:val="00E35CE6"/>
    <w:rsid w:val="00E35E7C"/>
    <w:rsid w:val="00E36760"/>
    <w:rsid w:val="00E37A12"/>
    <w:rsid w:val="00E42869"/>
    <w:rsid w:val="00E42F22"/>
    <w:rsid w:val="00E45152"/>
    <w:rsid w:val="00E47F24"/>
    <w:rsid w:val="00E53696"/>
    <w:rsid w:val="00E555E0"/>
    <w:rsid w:val="00E66A4E"/>
    <w:rsid w:val="00E67799"/>
    <w:rsid w:val="00E70D63"/>
    <w:rsid w:val="00E82901"/>
    <w:rsid w:val="00E83923"/>
    <w:rsid w:val="00E85A55"/>
    <w:rsid w:val="00E85E5D"/>
    <w:rsid w:val="00E868AB"/>
    <w:rsid w:val="00E921BC"/>
    <w:rsid w:val="00E922E6"/>
    <w:rsid w:val="00E9433D"/>
    <w:rsid w:val="00E955B1"/>
    <w:rsid w:val="00E974CB"/>
    <w:rsid w:val="00E977C2"/>
    <w:rsid w:val="00EA1546"/>
    <w:rsid w:val="00EA1962"/>
    <w:rsid w:val="00EA218B"/>
    <w:rsid w:val="00EB00CC"/>
    <w:rsid w:val="00EB3EDD"/>
    <w:rsid w:val="00EC14C1"/>
    <w:rsid w:val="00EC4221"/>
    <w:rsid w:val="00EC4CBF"/>
    <w:rsid w:val="00EC5D80"/>
    <w:rsid w:val="00EC7075"/>
    <w:rsid w:val="00ED014F"/>
    <w:rsid w:val="00ED0309"/>
    <w:rsid w:val="00ED23D0"/>
    <w:rsid w:val="00ED34C6"/>
    <w:rsid w:val="00ED6F19"/>
    <w:rsid w:val="00ED7CCB"/>
    <w:rsid w:val="00EE116E"/>
    <w:rsid w:val="00EE2809"/>
    <w:rsid w:val="00EE290F"/>
    <w:rsid w:val="00EE3DCE"/>
    <w:rsid w:val="00EE783A"/>
    <w:rsid w:val="00EF2049"/>
    <w:rsid w:val="00EF24CD"/>
    <w:rsid w:val="00EF4911"/>
    <w:rsid w:val="00EF4BBA"/>
    <w:rsid w:val="00EF61B2"/>
    <w:rsid w:val="00EF680E"/>
    <w:rsid w:val="00EF7B45"/>
    <w:rsid w:val="00F0080A"/>
    <w:rsid w:val="00F008E7"/>
    <w:rsid w:val="00F02CDA"/>
    <w:rsid w:val="00F04177"/>
    <w:rsid w:val="00F0513A"/>
    <w:rsid w:val="00F06A33"/>
    <w:rsid w:val="00F12651"/>
    <w:rsid w:val="00F2688B"/>
    <w:rsid w:val="00F274F8"/>
    <w:rsid w:val="00F300FB"/>
    <w:rsid w:val="00F30FBA"/>
    <w:rsid w:val="00F37165"/>
    <w:rsid w:val="00F372D8"/>
    <w:rsid w:val="00F3749D"/>
    <w:rsid w:val="00F37E1A"/>
    <w:rsid w:val="00F4117F"/>
    <w:rsid w:val="00F435D0"/>
    <w:rsid w:val="00F468FA"/>
    <w:rsid w:val="00F53011"/>
    <w:rsid w:val="00F5728B"/>
    <w:rsid w:val="00F61F4E"/>
    <w:rsid w:val="00F65597"/>
    <w:rsid w:val="00F65CCC"/>
    <w:rsid w:val="00F70D72"/>
    <w:rsid w:val="00F71E48"/>
    <w:rsid w:val="00F74FEA"/>
    <w:rsid w:val="00F82A41"/>
    <w:rsid w:val="00F83C96"/>
    <w:rsid w:val="00F85C85"/>
    <w:rsid w:val="00F8685C"/>
    <w:rsid w:val="00F91126"/>
    <w:rsid w:val="00F935B9"/>
    <w:rsid w:val="00F943AF"/>
    <w:rsid w:val="00F9496E"/>
    <w:rsid w:val="00F964C3"/>
    <w:rsid w:val="00FA053A"/>
    <w:rsid w:val="00FA2862"/>
    <w:rsid w:val="00FA57FA"/>
    <w:rsid w:val="00FA6127"/>
    <w:rsid w:val="00FA6F79"/>
    <w:rsid w:val="00FB34AB"/>
    <w:rsid w:val="00FB41DE"/>
    <w:rsid w:val="00FC17D1"/>
    <w:rsid w:val="00FC55E6"/>
    <w:rsid w:val="00FC5DE8"/>
    <w:rsid w:val="00FD080F"/>
    <w:rsid w:val="00FD0B7B"/>
    <w:rsid w:val="00FD1D2E"/>
    <w:rsid w:val="00FD2AE3"/>
    <w:rsid w:val="00FD3A1A"/>
    <w:rsid w:val="00FD5D88"/>
    <w:rsid w:val="00FE07DB"/>
    <w:rsid w:val="00FE2FED"/>
    <w:rsid w:val="00FF1E11"/>
    <w:rsid w:val="00FF21B0"/>
    <w:rsid w:val="00FF2608"/>
    <w:rsid w:val="00FF2B08"/>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55A779"/>
  <w15:docId w15:val="{92F306AE-119F-447C-92AF-6793851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7">
    <w:name w:val="heading 7"/>
    <w:basedOn w:val="Normal"/>
    <w:next w:val="Normal"/>
    <w:link w:val="Heading7Char"/>
    <w:uiPriority w:val="9"/>
    <w:semiHidden/>
    <w:unhideWhenUsed/>
    <w:qFormat/>
    <w:rsid w:val="00B72EA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unhideWhenUsed/>
    <w:rsid w:val="008906E7"/>
    <w:pPr>
      <w:spacing w:after="0" w:line="240" w:lineRule="auto"/>
    </w:pPr>
    <w:rPr>
      <w:sz w:val="20"/>
      <w:szCs w:val="20"/>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uiPriority w:val="1"/>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BodyTextIndent3">
    <w:name w:val="Body Text Indent 3"/>
    <w:basedOn w:val="Normal"/>
    <w:link w:val="BodyTextIndent3Char"/>
    <w:rsid w:val="000232FD"/>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0232FD"/>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F82A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CCC"/>
    <w:rPr>
      <w:sz w:val="16"/>
      <w:szCs w:val="16"/>
    </w:rPr>
  </w:style>
  <w:style w:type="paragraph" w:styleId="CommentText">
    <w:name w:val="annotation text"/>
    <w:basedOn w:val="Normal"/>
    <w:link w:val="CommentTextChar"/>
    <w:uiPriority w:val="99"/>
    <w:semiHidden/>
    <w:unhideWhenUsed/>
    <w:rsid w:val="00F65CCC"/>
    <w:pPr>
      <w:spacing w:line="240" w:lineRule="auto"/>
    </w:pPr>
    <w:rPr>
      <w:sz w:val="20"/>
      <w:szCs w:val="20"/>
    </w:rPr>
  </w:style>
  <w:style w:type="character" w:customStyle="1" w:styleId="CommentTextChar">
    <w:name w:val="Comment Text Char"/>
    <w:basedOn w:val="DefaultParagraphFont"/>
    <w:link w:val="CommentText"/>
    <w:uiPriority w:val="99"/>
    <w:semiHidden/>
    <w:rsid w:val="00F65CCC"/>
    <w:rPr>
      <w:sz w:val="20"/>
      <w:szCs w:val="20"/>
    </w:rPr>
  </w:style>
  <w:style w:type="paragraph" w:styleId="CommentSubject">
    <w:name w:val="annotation subject"/>
    <w:basedOn w:val="CommentText"/>
    <w:next w:val="CommentText"/>
    <w:link w:val="CommentSubjectChar"/>
    <w:uiPriority w:val="99"/>
    <w:semiHidden/>
    <w:unhideWhenUsed/>
    <w:rsid w:val="00F65CCC"/>
    <w:rPr>
      <w:b/>
      <w:bCs/>
    </w:rPr>
  </w:style>
  <w:style w:type="character" w:customStyle="1" w:styleId="CommentSubjectChar">
    <w:name w:val="Comment Subject Char"/>
    <w:basedOn w:val="CommentTextChar"/>
    <w:link w:val="CommentSubject"/>
    <w:uiPriority w:val="99"/>
    <w:semiHidden/>
    <w:rsid w:val="00F65CCC"/>
    <w:rPr>
      <w:b/>
      <w:bCs/>
      <w:sz w:val="20"/>
      <w:szCs w:val="20"/>
    </w:rPr>
  </w:style>
  <w:style w:type="paragraph" w:styleId="Revision">
    <w:name w:val="Revision"/>
    <w:hidden/>
    <w:uiPriority w:val="99"/>
    <w:semiHidden/>
    <w:rsid w:val="00E31978"/>
    <w:pPr>
      <w:spacing w:after="0" w:line="240" w:lineRule="auto"/>
    </w:pPr>
  </w:style>
  <w:style w:type="character" w:customStyle="1" w:styleId="Heading7Char">
    <w:name w:val="Heading 7 Char"/>
    <w:basedOn w:val="DefaultParagraphFont"/>
    <w:link w:val="Heading7"/>
    <w:uiPriority w:val="9"/>
    <w:semiHidden/>
    <w:rsid w:val="00B72EA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45571690">
      <w:bodyDiv w:val="1"/>
      <w:marLeft w:val="0"/>
      <w:marRight w:val="0"/>
      <w:marTop w:val="0"/>
      <w:marBottom w:val="0"/>
      <w:divBdr>
        <w:top w:val="none" w:sz="0" w:space="0" w:color="auto"/>
        <w:left w:val="none" w:sz="0" w:space="0" w:color="auto"/>
        <w:bottom w:val="none" w:sz="0" w:space="0" w:color="auto"/>
        <w:right w:val="none" w:sz="0" w:space="0" w:color="auto"/>
      </w:divBdr>
      <w:divsChild>
        <w:div w:id="960765489">
          <w:marLeft w:val="547"/>
          <w:marRight w:val="0"/>
          <w:marTop w:val="77"/>
          <w:marBottom w:val="0"/>
          <w:divBdr>
            <w:top w:val="none" w:sz="0" w:space="0" w:color="auto"/>
            <w:left w:val="none" w:sz="0" w:space="0" w:color="auto"/>
            <w:bottom w:val="none" w:sz="0" w:space="0" w:color="auto"/>
            <w:right w:val="none" w:sz="0" w:space="0" w:color="auto"/>
          </w:divBdr>
        </w:div>
        <w:div w:id="46270615">
          <w:marLeft w:val="850"/>
          <w:marRight w:val="0"/>
          <w:marTop w:val="77"/>
          <w:marBottom w:val="0"/>
          <w:divBdr>
            <w:top w:val="none" w:sz="0" w:space="0" w:color="auto"/>
            <w:left w:val="none" w:sz="0" w:space="0" w:color="auto"/>
            <w:bottom w:val="none" w:sz="0" w:space="0" w:color="auto"/>
            <w:right w:val="none" w:sz="0" w:space="0" w:color="auto"/>
          </w:divBdr>
        </w:div>
        <w:div w:id="1967926988">
          <w:marLeft w:val="850"/>
          <w:marRight w:val="0"/>
          <w:marTop w:val="77"/>
          <w:marBottom w:val="0"/>
          <w:divBdr>
            <w:top w:val="none" w:sz="0" w:space="0" w:color="auto"/>
            <w:left w:val="none" w:sz="0" w:space="0" w:color="auto"/>
            <w:bottom w:val="none" w:sz="0" w:space="0" w:color="auto"/>
            <w:right w:val="none" w:sz="0" w:space="0" w:color="auto"/>
          </w:divBdr>
        </w:div>
        <w:div w:id="2054650572">
          <w:marLeft w:val="850"/>
          <w:marRight w:val="0"/>
          <w:marTop w:val="77"/>
          <w:marBottom w:val="0"/>
          <w:divBdr>
            <w:top w:val="none" w:sz="0" w:space="0" w:color="auto"/>
            <w:left w:val="none" w:sz="0" w:space="0" w:color="auto"/>
            <w:bottom w:val="none" w:sz="0" w:space="0" w:color="auto"/>
            <w:right w:val="none" w:sz="0" w:space="0" w:color="auto"/>
          </w:divBdr>
        </w:div>
      </w:divsChild>
    </w:div>
    <w:div w:id="59058174">
      <w:bodyDiv w:val="1"/>
      <w:marLeft w:val="0"/>
      <w:marRight w:val="0"/>
      <w:marTop w:val="0"/>
      <w:marBottom w:val="0"/>
      <w:divBdr>
        <w:top w:val="none" w:sz="0" w:space="0" w:color="auto"/>
        <w:left w:val="none" w:sz="0" w:space="0" w:color="auto"/>
        <w:bottom w:val="none" w:sz="0" w:space="0" w:color="auto"/>
        <w:right w:val="none" w:sz="0" w:space="0" w:color="auto"/>
      </w:divBdr>
      <w:divsChild>
        <w:div w:id="1058432020">
          <w:marLeft w:val="1800"/>
          <w:marRight w:val="0"/>
          <w:marTop w:val="200"/>
          <w:marBottom w:val="0"/>
          <w:divBdr>
            <w:top w:val="none" w:sz="0" w:space="0" w:color="auto"/>
            <w:left w:val="none" w:sz="0" w:space="0" w:color="auto"/>
            <w:bottom w:val="none" w:sz="0" w:space="0" w:color="auto"/>
            <w:right w:val="none" w:sz="0" w:space="0" w:color="auto"/>
          </w:divBdr>
        </w:div>
        <w:div w:id="1679692935">
          <w:marLeft w:val="1800"/>
          <w:marRight w:val="0"/>
          <w:marTop w:val="200"/>
          <w:marBottom w:val="0"/>
          <w:divBdr>
            <w:top w:val="none" w:sz="0" w:space="0" w:color="auto"/>
            <w:left w:val="none" w:sz="0" w:space="0" w:color="auto"/>
            <w:bottom w:val="none" w:sz="0" w:space="0" w:color="auto"/>
            <w:right w:val="none" w:sz="0" w:space="0" w:color="auto"/>
          </w:divBdr>
        </w:div>
      </w:divsChild>
    </w:div>
    <w:div w:id="119343042">
      <w:bodyDiv w:val="1"/>
      <w:marLeft w:val="0"/>
      <w:marRight w:val="0"/>
      <w:marTop w:val="0"/>
      <w:marBottom w:val="0"/>
      <w:divBdr>
        <w:top w:val="none" w:sz="0" w:space="0" w:color="auto"/>
        <w:left w:val="none" w:sz="0" w:space="0" w:color="auto"/>
        <w:bottom w:val="none" w:sz="0" w:space="0" w:color="auto"/>
        <w:right w:val="none" w:sz="0" w:space="0" w:color="auto"/>
      </w:divBdr>
      <w:divsChild>
        <w:div w:id="1203249647">
          <w:marLeft w:val="547"/>
          <w:marRight w:val="0"/>
          <w:marTop w:val="96"/>
          <w:marBottom w:val="0"/>
          <w:divBdr>
            <w:top w:val="none" w:sz="0" w:space="0" w:color="auto"/>
            <w:left w:val="none" w:sz="0" w:space="0" w:color="auto"/>
            <w:bottom w:val="none" w:sz="0" w:space="0" w:color="auto"/>
            <w:right w:val="none" w:sz="0" w:space="0" w:color="auto"/>
          </w:divBdr>
        </w:div>
        <w:div w:id="385573369">
          <w:marLeft w:val="547"/>
          <w:marRight w:val="0"/>
          <w:marTop w:val="96"/>
          <w:marBottom w:val="0"/>
          <w:divBdr>
            <w:top w:val="none" w:sz="0" w:space="0" w:color="auto"/>
            <w:left w:val="none" w:sz="0" w:space="0" w:color="auto"/>
            <w:bottom w:val="none" w:sz="0" w:space="0" w:color="auto"/>
            <w:right w:val="none" w:sz="0" w:space="0" w:color="auto"/>
          </w:divBdr>
        </w:div>
        <w:div w:id="1930038346">
          <w:marLeft w:val="547"/>
          <w:marRight w:val="0"/>
          <w:marTop w:val="96"/>
          <w:marBottom w:val="0"/>
          <w:divBdr>
            <w:top w:val="none" w:sz="0" w:space="0" w:color="auto"/>
            <w:left w:val="none" w:sz="0" w:space="0" w:color="auto"/>
            <w:bottom w:val="none" w:sz="0" w:space="0" w:color="auto"/>
            <w:right w:val="none" w:sz="0" w:space="0" w:color="auto"/>
          </w:divBdr>
        </w:div>
      </w:divsChild>
    </w:div>
    <w:div w:id="147406113">
      <w:bodyDiv w:val="1"/>
      <w:marLeft w:val="0"/>
      <w:marRight w:val="0"/>
      <w:marTop w:val="0"/>
      <w:marBottom w:val="0"/>
      <w:divBdr>
        <w:top w:val="none" w:sz="0" w:space="0" w:color="auto"/>
        <w:left w:val="none" w:sz="0" w:space="0" w:color="auto"/>
        <w:bottom w:val="none" w:sz="0" w:space="0" w:color="auto"/>
        <w:right w:val="none" w:sz="0" w:space="0" w:color="auto"/>
      </w:divBdr>
      <w:divsChild>
        <w:div w:id="386878843">
          <w:marLeft w:val="547"/>
          <w:marRight w:val="0"/>
          <w:marTop w:val="96"/>
          <w:marBottom w:val="0"/>
          <w:divBdr>
            <w:top w:val="none" w:sz="0" w:space="0" w:color="auto"/>
            <w:left w:val="none" w:sz="0" w:space="0" w:color="auto"/>
            <w:bottom w:val="none" w:sz="0" w:space="0" w:color="auto"/>
            <w:right w:val="none" w:sz="0" w:space="0" w:color="auto"/>
          </w:divBdr>
        </w:div>
      </w:divsChild>
    </w:div>
    <w:div w:id="168955595">
      <w:bodyDiv w:val="1"/>
      <w:marLeft w:val="0"/>
      <w:marRight w:val="0"/>
      <w:marTop w:val="0"/>
      <w:marBottom w:val="0"/>
      <w:divBdr>
        <w:top w:val="none" w:sz="0" w:space="0" w:color="auto"/>
        <w:left w:val="none" w:sz="0" w:space="0" w:color="auto"/>
        <w:bottom w:val="none" w:sz="0" w:space="0" w:color="auto"/>
        <w:right w:val="none" w:sz="0" w:space="0" w:color="auto"/>
      </w:divBdr>
    </w:div>
    <w:div w:id="202061055">
      <w:bodyDiv w:val="1"/>
      <w:marLeft w:val="0"/>
      <w:marRight w:val="0"/>
      <w:marTop w:val="0"/>
      <w:marBottom w:val="0"/>
      <w:divBdr>
        <w:top w:val="none" w:sz="0" w:space="0" w:color="auto"/>
        <w:left w:val="none" w:sz="0" w:space="0" w:color="auto"/>
        <w:bottom w:val="none" w:sz="0" w:space="0" w:color="auto"/>
        <w:right w:val="none" w:sz="0" w:space="0" w:color="auto"/>
      </w:divBdr>
      <w:divsChild>
        <w:div w:id="789517287">
          <w:marLeft w:val="1166"/>
          <w:marRight w:val="0"/>
          <w:marTop w:val="0"/>
          <w:marBottom w:val="0"/>
          <w:divBdr>
            <w:top w:val="none" w:sz="0" w:space="0" w:color="auto"/>
            <w:left w:val="none" w:sz="0" w:space="0" w:color="auto"/>
            <w:bottom w:val="none" w:sz="0" w:space="0" w:color="auto"/>
            <w:right w:val="none" w:sz="0" w:space="0" w:color="auto"/>
          </w:divBdr>
        </w:div>
      </w:divsChild>
    </w:div>
    <w:div w:id="271522737">
      <w:bodyDiv w:val="1"/>
      <w:marLeft w:val="0"/>
      <w:marRight w:val="0"/>
      <w:marTop w:val="0"/>
      <w:marBottom w:val="0"/>
      <w:divBdr>
        <w:top w:val="none" w:sz="0" w:space="0" w:color="auto"/>
        <w:left w:val="none" w:sz="0" w:space="0" w:color="auto"/>
        <w:bottom w:val="none" w:sz="0" w:space="0" w:color="auto"/>
        <w:right w:val="none" w:sz="0" w:space="0" w:color="auto"/>
      </w:divBdr>
      <w:divsChild>
        <w:div w:id="1554077342">
          <w:marLeft w:val="547"/>
          <w:marRight w:val="0"/>
          <w:marTop w:val="77"/>
          <w:marBottom w:val="0"/>
          <w:divBdr>
            <w:top w:val="none" w:sz="0" w:space="0" w:color="auto"/>
            <w:left w:val="none" w:sz="0" w:space="0" w:color="auto"/>
            <w:bottom w:val="none" w:sz="0" w:space="0" w:color="auto"/>
            <w:right w:val="none" w:sz="0" w:space="0" w:color="auto"/>
          </w:divBdr>
        </w:div>
      </w:divsChild>
    </w:div>
    <w:div w:id="282885420">
      <w:bodyDiv w:val="1"/>
      <w:marLeft w:val="0"/>
      <w:marRight w:val="0"/>
      <w:marTop w:val="0"/>
      <w:marBottom w:val="0"/>
      <w:divBdr>
        <w:top w:val="none" w:sz="0" w:space="0" w:color="auto"/>
        <w:left w:val="none" w:sz="0" w:space="0" w:color="auto"/>
        <w:bottom w:val="none" w:sz="0" w:space="0" w:color="auto"/>
        <w:right w:val="none" w:sz="0" w:space="0" w:color="auto"/>
      </w:divBdr>
      <w:divsChild>
        <w:div w:id="1869221105">
          <w:marLeft w:val="547"/>
          <w:marRight w:val="0"/>
          <w:marTop w:val="106"/>
          <w:marBottom w:val="0"/>
          <w:divBdr>
            <w:top w:val="none" w:sz="0" w:space="0" w:color="auto"/>
            <w:left w:val="none" w:sz="0" w:space="0" w:color="auto"/>
            <w:bottom w:val="none" w:sz="0" w:space="0" w:color="auto"/>
            <w:right w:val="none" w:sz="0" w:space="0" w:color="auto"/>
          </w:divBdr>
        </w:div>
        <w:div w:id="677924273">
          <w:marLeft w:val="547"/>
          <w:marRight w:val="0"/>
          <w:marTop w:val="106"/>
          <w:marBottom w:val="0"/>
          <w:divBdr>
            <w:top w:val="none" w:sz="0" w:space="0" w:color="auto"/>
            <w:left w:val="none" w:sz="0" w:space="0" w:color="auto"/>
            <w:bottom w:val="none" w:sz="0" w:space="0" w:color="auto"/>
            <w:right w:val="none" w:sz="0" w:space="0" w:color="auto"/>
          </w:divBdr>
        </w:div>
        <w:div w:id="1436168946">
          <w:marLeft w:val="547"/>
          <w:marRight w:val="0"/>
          <w:marTop w:val="106"/>
          <w:marBottom w:val="0"/>
          <w:divBdr>
            <w:top w:val="none" w:sz="0" w:space="0" w:color="auto"/>
            <w:left w:val="none" w:sz="0" w:space="0" w:color="auto"/>
            <w:bottom w:val="none" w:sz="0" w:space="0" w:color="auto"/>
            <w:right w:val="none" w:sz="0" w:space="0" w:color="auto"/>
          </w:divBdr>
        </w:div>
        <w:div w:id="1813251738">
          <w:marLeft w:val="1166"/>
          <w:marRight w:val="0"/>
          <w:marTop w:val="82"/>
          <w:marBottom w:val="0"/>
          <w:divBdr>
            <w:top w:val="none" w:sz="0" w:space="0" w:color="auto"/>
            <w:left w:val="none" w:sz="0" w:space="0" w:color="auto"/>
            <w:bottom w:val="none" w:sz="0" w:space="0" w:color="auto"/>
            <w:right w:val="none" w:sz="0" w:space="0" w:color="auto"/>
          </w:divBdr>
        </w:div>
        <w:div w:id="372195756">
          <w:marLeft w:val="1166"/>
          <w:marRight w:val="0"/>
          <w:marTop w:val="82"/>
          <w:marBottom w:val="0"/>
          <w:divBdr>
            <w:top w:val="none" w:sz="0" w:space="0" w:color="auto"/>
            <w:left w:val="none" w:sz="0" w:space="0" w:color="auto"/>
            <w:bottom w:val="none" w:sz="0" w:space="0" w:color="auto"/>
            <w:right w:val="none" w:sz="0" w:space="0" w:color="auto"/>
          </w:divBdr>
        </w:div>
        <w:div w:id="2086803732">
          <w:marLeft w:val="1166"/>
          <w:marRight w:val="0"/>
          <w:marTop w:val="82"/>
          <w:marBottom w:val="0"/>
          <w:divBdr>
            <w:top w:val="none" w:sz="0" w:space="0" w:color="auto"/>
            <w:left w:val="none" w:sz="0" w:space="0" w:color="auto"/>
            <w:bottom w:val="none" w:sz="0" w:space="0" w:color="auto"/>
            <w:right w:val="none" w:sz="0" w:space="0" w:color="auto"/>
          </w:divBdr>
        </w:div>
      </w:divsChild>
    </w:div>
    <w:div w:id="295796679">
      <w:bodyDiv w:val="1"/>
      <w:marLeft w:val="0"/>
      <w:marRight w:val="0"/>
      <w:marTop w:val="0"/>
      <w:marBottom w:val="0"/>
      <w:divBdr>
        <w:top w:val="none" w:sz="0" w:space="0" w:color="auto"/>
        <w:left w:val="none" w:sz="0" w:space="0" w:color="auto"/>
        <w:bottom w:val="none" w:sz="0" w:space="0" w:color="auto"/>
        <w:right w:val="none" w:sz="0" w:space="0" w:color="auto"/>
      </w:divBdr>
      <w:divsChild>
        <w:div w:id="1336497352">
          <w:marLeft w:val="547"/>
          <w:marRight w:val="0"/>
          <w:marTop w:val="86"/>
          <w:marBottom w:val="0"/>
          <w:divBdr>
            <w:top w:val="none" w:sz="0" w:space="0" w:color="auto"/>
            <w:left w:val="none" w:sz="0" w:space="0" w:color="auto"/>
            <w:bottom w:val="none" w:sz="0" w:space="0" w:color="auto"/>
            <w:right w:val="none" w:sz="0" w:space="0" w:color="auto"/>
          </w:divBdr>
        </w:div>
      </w:divsChild>
    </w:div>
    <w:div w:id="297491003">
      <w:bodyDiv w:val="1"/>
      <w:marLeft w:val="0"/>
      <w:marRight w:val="0"/>
      <w:marTop w:val="0"/>
      <w:marBottom w:val="0"/>
      <w:divBdr>
        <w:top w:val="none" w:sz="0" w:space="0" w:color="auto"/>
        <w:left w:val="none" w:sz="0" w:space="0" w:color="auto"/>
        <w:bottom w:val="none" w:sz="0" w:space="0" w:color="auto"/>
        <w:right w:val="none" w:sz="0" w:space="0" w:color="auto"/>
      </w:divBdr>
    </w:div>
    <w:div w:id="364017374">
      <w:bodyDiv w:val="1"/>
      <w:marLeft w:val="0"/>
      <w:marRight w:val="0"/>
      <w:marTop w:val="0"/>
      <w:marBottom w:val="0"/>
      <w:divBdr>
        <w:top w:val="none" w:sz="0" w:space="0" w:color="auto"/>
        <w:left w:val="none" w:sz="0" w:space="0" w:color="auto"/>
        <w:bottom w:val="none" w:sz="0" w:space="0" w:color="auto"/>
        <w:right w:val="none" w:sz="0" w:space="0" w:color="auto"/>
      </w:divBdr>
    </w:div>
    <w:div w:id="527059765">
      <w:bodyDiv w:val="1"/>
      <w:marLeft w:val="0"/>
      <w:marRight w:val="0"/>
      <w:marTop w:val="0"/>
      <w:marBottom w:val="0"/>
      <w:divBdr>
        <w:top w:val="none" w:sz="0" w:space="0" w:color="auto"/>
        <w:left w:val="none" w:sz="0" w:space="0" w:color="auto"/>
        <w:bottom w:val="none" w:sz="0" w:space="0" w:color="auto"/>
        <w:right w:val="none" w:sz="0" w:space="0" w:color="auto"/>
      </w:divBdr>
      <w:divsChild>
        <w:div w:id="554004955">
          <w:marLeft w:val="850"/>
          <w:marRight w:val="0"/>
          <w:marTop w:val="77"/>
          <w:marBottom w:val="0"/>
          <w:divBdr>
            <w:top w:val="none" w:sz="0" w:space="0" w:color="auto"/>
            <w:left w:val="none" w:sz="0" w:space="0" w:color="auto"/>
            <w:bottom w:val="none" w:sz="0" w:space="0" w:color="auto"/>
            <w:right w:val="none" w:sz="0" w:space="0" w:color="auto"/>
          </w:divBdr>
        </w:div>
        <w:div w:id="1206065839">
          <w:marLeft w:val="850"/>
          <w:marRight w:val="0"/>
          <w:marTop w:val="77"/>
          <w:marBottom w:val="0"/>
          <w:divBdr>
            <w:top w:val="none" w:sz="0" w:space="0" w:color="auto"/>
            <w:left w:val="none" w:sz="0" w:space="0" w:color="auto"/>
            <w:bottom w:val="none" w:sz="0" w:space="0" w:color="auto"/>
            <w:right w:val="none" w:sz="0" w:space="0" w:color="auto"/>
          </w:divBdr>
        </w:div>
        <w:div w:id="2118599759">
          <w:marLeft w:val="850"/>
          <w:marRight w:val="0"/>
          <w:marTop w:val="77"/>
          <w:marBottom w:val="0"/>
          <w:divBdr>
            <w:top w:val="none" w:sz="0" w:space="0" w:color="auto"/>
            <w:left w:val="none" w:sz="0" w:space="0" w:color="auto"/>
            <w:bottom w:val="none" w:sz="0" w:space="0" w:color="auto"/>
            <w:right w:val="none" w:sz="0" w:space="0" w:color="auto"/>
          </w:divBdr>
        </w:div>
      </w:divsChild>
    </w:div>
    <w:div w:id="528179021">
      <w:bodyDiv w:val="1"/>
      <w:marLeft w:val="0"/>
      <w:marRight w:val="0"/>
      <w:marTop w:val="0"/>
      <w:marBottom w:val="0"/>
      <w:divBdr>
        <w:top w:val="none" w:sz="0" w:space="0" w:color="auto"/>
        <w:left w:val="none" w:sz="0" w:space="0" w:color="auto"/>
        <w:bottom w:val="none" w:sz="0" w:space="0" w:color="auto"/>
        <w:right w:val="none" w:sz="0" w:space="0" w:color="auto"/>
      </w:divBdr>
    </w:div>
    <w:div w:id="544610102">
      <w:bodyDiv w:val="1"/>
      <w:marLeft w:val="0"/>
      <w:marRight w:val="0"/>
      <w:marTop w:val="0"/>
      <w:marBottom w:val="0"/>
      <w:divBdr>
        <w:top w:val="none" w:sz="0" w:space="0" w:color="auto"/>
        <w:left w:val="none" w:sz="0" w:space="0" w:color="auto"/>
        <w:bottom w:val="none" w:sz="0" w:space="0" w:color="auto"/>
        <w:right w:val="none" w:sz="0" w:space="0" w:color="auto"/>
      </w:divBdr>
      <w:divsChild>
        <w:div w:id="112335848">
          <w:marLeft w:val="547"/>
          <w:marRight w:val="0"/>
          <w:marTop w:val="77"/>
          <w:marBottom w:val="0"/>
          <w:divBdr>
            <w:top w:val="none" w:sz="0" w:space="0" w:color="auto"/>
            <w:left w:val="none" w:sz="0" w:space="0" w:color="auto"/>
            <w:bottom w:val="none" w:sz="0" w:space="0" w:color="auto"/>
            <w:right w:val="none" w:sz="0" w:space="0" w:color="auto"/>
          </w:divBdr>
        </w:div>
      </w:divsChild>
    </w:div>
    <w:div w:id="556169121">
      <w:bodyDiv w:val="1"/>
      <w:marLeft w:val="0"/>
      <w:marRight w:val="0"/>
      <w:marTop w:val="0"/>
      <w:marBottom w:val="0"/>
      <w:divBdr>
        <w:top w:val="none" w:sz="0" w:space="0" w:color="auto"/>
        <w:left w:val="none" w:sz="0" w:space="0" w:color="auto"/>
        <w:bottom w:val="none" w:sz="0" w:space="0" w:color="auto"/>
        <w:right w:val="none" w:sz="0" w:space="0" w:color="auto"/>
      </w:divBdr>
      <w:divsChild>
        <w:div w:id="321280105">
          <w:marLeft w:val="547"/>
          <w:marRight w:val="0"/>
          <w:marTop w:val="96"/>
          <w:marBottom w:val="0"/>
          <w:divBdr>
            <w:top w:val="none" w:sz="0" w:space="0" w:color="auto"/>
            <w:left w:val="none" w:sz="0" w:space="0" w:color="auto"/>
            <w:bottom w:val="none" w:sz="0" w:space="0" w:color="auto"/>
            <w:right w:val="none" w:sz="0" w:space="0" w:color="auto"/>
          </w:divBdr>
        </w:div>
        <w:div w:id="799688694">
          <w:marLeft w:val="547"/>
          <w:marRight w:val="0"/>
          <w:marTop w:val="96"/>
          <w:marBottom w:val="0"/>
          <w:divBdr>
            <w:top w:val="none" w:sz="0" w:space="0" w:color="auto"/>
            <w:left w:val="none" w:sz="0" w:space="0" w:color="auto"/>
            <w:bottom w:val="none" w:sz="0" w:space="0" w:color="auto"/>
            <w:right w:val="none" w:sz="0" w:space="0" w:color="auto"/>
          </w:divBdr>
        </w:div>
        <w:div w:id="1095050187">
          <w:marLeft w:val="547"/>
          <w:marRight w:val="0"/>
          <w:marTop w:val="96"/>
          <w:marBottom w:val="0"/>
          <w:divBdr>
            <w:top w:val="none" w:sz="0" w:space="0" w:color="auto"/>
            <w:left w:val="none" w:sz="0" w:space="0" w:color="auto"/>
            <w:bottom w:val="none" w:sz="0" w:space="0" w:color="auto"/>
            <w:right w:val="none" w:sz="0" w:space="0" w:color="auto"/>
          </w:divBdr>
        </w:div>
        <w:div w:id="1122187569">
          <w:marLeft w:val="547"/>
          <w:marRight w:val="0"/>
          <w:marTop w:val="96"/>
          <w:marBottom w:val="0"/>
          <w:divBdr>
            <w:top w:val="none" w:sz="0" w:space="0" w:color="auto"/>
            <w:left w:val="none" w:sz="0" w:space="0" w:color="auto"/>
            <w:bottom w:val="none" w:sz="0" w:space="0" w:color="auto"/>
            <w:right w:val="none" w:sz="0" w:space="0" w:color="auto"/>
          </w:divBdr>
        </w:div>
      </w:divsChild>
    </w:div>
    <w:div w:id="573469753">
      <w:bodyDiv w:val="1"/>
      <w:marLeft w:val="0"/>
      <w:marRight w:val="0"/>
      <w:marTop w:val="0"/>
      <w:marBottom w:val="0"/>
      <w:divBdr>
        <w:top w:val="none" w:sz="0" w:space="0" w:color="auto"/>
        <w:left w:val="none" w:sz="0" w:space="0" w:color="auto"/>
        <w:bottom w:val="none" w:sz="0" w:space="0" w:color="auto"/>
        <w:right w:val="none" w:sz="0" w:space="0" w:color="auto"/>
      </w:divBdr>
      <w:divsChild>
        <w:div w:id="456097738">
          <w:marLeft w:val="533"/>
          <w:marRight w:val="0"/>
          <w:marTop w:val="115"/>
          <w:marBottom w:val="0"/>
          <w:divBdr>
            <w:top w:val="none" w:sz="0" w:space="0" w:color="auto"/>
            <w:left w:val="none" w:sz="0" w:space="0" w:color="auto"/>
            <w:bottom w:val="none" w:sz="0" w:space="0" w:color="auto"/>
            <w:right w:val="none" w:sz="0" w:space="0" w:color="auto"/>
          </w:divBdr>
        </w:div>
        <w:div w:id="1180853697">
          <w:marLeft w:val="533"/>
          <w:marRight w:val="0"/>
          <w:marTop w:val="115"/>
          <w:marBottom w:val="0"/>
          <w:divBdr>
            <w:top w:val="none" w:sz="0" w:space="0" w:color="auto"/>
            <w:left w:val="none" w:sz="0" w:space="0" w:color="auto"/>
            <w:bottom w:val="none" w:sz="0" w:space="0" w:color="auto"/>
            <w:right w:val="none" w:sz="0" w:space="0" w:color="auto"/>
          </w:divBdr>
        </w:div>
        <w:div w:id="1826192954">
          <w:marLeft w:val="533"/>
          <w:marRight w:val="0"/>
          <w:marTop w:val="115"/>
          <w:marBottom w:val="0"/>
          <w:divBdr>
            <w:top w:val="none" w:sz="0" w:space="0" w:color="auto"/>
            <w:left w:val="none" w:sz="0" w:space="0" w:color="auto"/>
            <w:bottom w:val="none" w:sz="0" w:space="0" w:color="auto"/>
            <w:right w:val="none" w:sz="0" w:space="0" w:color="auto"/>
          </w:divBdr>
        </w:div>
      </w:divsChild>
    </w:div>
    <w:div w:id="611254851">
      <w:bodyDiv w:val="1"/>
      <w:marLeft w:val="0"/>
      <w:marRight w:val="0"/>
      <w:marTop w:val="0"/>
      <w:marBottom w:val="0"/>
      <w:divBdr>
        <w:top w:val="none" w:sz="0" w:space="0" w:color="auto"/>
        <w:left w:val="none" w:sz="0" w:space="0" w:color="auto"/>
        <w:bottom w:val="none" w:sz="0" w:space="0" w:color="auto"/>
        <w:right w:val="none" w:sz="0" w:space="0" w:color="auto"/>
      </w:divBdr>
    </w:div>
    <w:div w:id="633950656">
      <w:bodyDiv w:val="1"/>
      <w:marLeft w:val="0"/>
      <w:marRight w:val="0"/>
      <w:marTop w:val="0"/>
      <w:marBottom w:val="0"/>
      <w:divBdr>
        <w:top w:val="none" w:sz="0" w:space="0" w:color="auto"/>
        <w:left w:val="none" w:sz="0" w:space="0" w:color="auto"/>
        <w:bottom w:val="none" w:sz="0" w:space="0" w:color="auto"/>
        <w:right w:val="none" w:sz="0" w:space="0" w:color="auto"/>
      </w:divBdr>
      <w:divsChild>
        <w:div w:id="1060788308">
          <w:marLeft w:val="547"/>
          <w:marRight w:val="0"/>
          <w:marTop w:val="0"/>
          <w:marBottom w:val="160"/>
          <w:divBdr>
            <w:top w:val="none" w:sz="0" w:space="0" w:color="auto"/>
            <w:left w:val="none" w:sz="0" w:space="0" w:color="auto"/>
            <w:bottom w:val="none" w:sz="0" w:space="0" w:color="auto"/>
            <w:right w:val="none" w:sz="0" w:space="0" w:color="auto"/>
          </w:divBdr>
        </w:div>
      </w:divsChild>
    </w:div>
    <w:div w:id="676229588">
      <w:bodyDiv w:val="1"/>
      <w:marLeft w:val="0"/>
      <w:marRight w:val="0"/>
      <w:marTop w:val="0"/>
      <w:marBottom w:val="0"/>
      <w:divBdr>
        <w:top w:val="none" w:sz="0" w:space="0" w:color="auto"/>
        <w:left w:val="none" w:sz="0" w:space="0" w:color="auto"/>
        <w:bottom w:val="none" w:sz="0" w:space="0" w:color="auto"/>
        <w:right w:val="none" w:sz="0" w:space="0" w:color="auto"/>
      </w:divBdr>
      <w:divsChild>
        <w:div w:id="1009983480">
          <w:marLeft w:val="547"/>
          <w:marRight w:val="0"/>
          <w:marTop w:val="86"/>
          <w:marBottom w:val="0"/>
          <w:divBdr>
            <w:top w:val="none" w:sz="0" w:space="0" w:color="auto"/>
            <w:left w:val="none" w:sz="0" w:space="0" w:color="auto"/>
            <w:bottom w:val="none" w:sz="0" w:space="0" w:color="auto"/>
            <w:right w:val="none" w:sz="0" w:space="0" w:color="auto"/>
          </w:divBdr>
        </w:div>
        <w:div w:id="1161501736">
          <w:marLeft w:val="547"/>
          <w:marRight w:val="0"/>
          <w:marTop w:val="86"/>
          <w:marBottom w:val="0"/>
          <w:divBdr>
            <w:top w:val="none" w:sz="0" w:space="0" w:color="auto"/>
            <w:left w:val="none" w:sz="0" w:space="0" w:color="auto"/>
            <w:bottom w:val="none" w:sz="0" w:space="0" w:color="auto"/>
            <w:right w:val="none" w:sz="0" w:space="0" w:color="auto"/>
          </w:divBdr>
        </w:div>
      </w:divsChild>
    </w:div>
    <w:div w:id="690301560">
      <w:bodyDiv w:val="1"/>
      <w:marLeft w:val="0"/>
      <w:marRight w:val="0"/>
      <w:marTop w:val="0"/>
      <w:marBottom w:val="0"/>
      <w:divBdr>
        <w:top w:val="none" w:sz="0" w:space="0" w:color="auto"/>
        <w:left w:val="none" w:sz="0" w:space="0" w:color="auto"/>
        <w:bottom w:val="none" w:sz="0" w:space="0" w:color="auto"/>
        <w:right w:val="none" w:sz="0" w:space="0" w:color="auto"/>
      </w:divBdr>
    </w:div>
    <w:div w:id="716708755">
      <w:bodyDiv w:val="1"/>
      <w:marLeft w:val="0"/>
      <w:marRight w:val="0"/>
      <w:marTop w:val="0"/>
      <w:marBottom w:val="0"/>
      <w:divBdr>
        <w:top w:val="none" w:sz="0" w:space="0" w:color="auto"/>
        <w:left w:val="none" w:sz="0" w:space="0" w:color="auto"/>
        <w:bottom w:val="none" w:sz="0" w:space="0" w:color="auto"/>
        <w:right w:val="none" w:sz="0" w:space="0" w:color="auto"/>
      </w:divBdr>
      <w:divsChild>
        <w:div w:id="60062626">
          <w:marLeft w:val="1166"/>
          <w:marRight w:val="0"/>
          <w:marTop w:val="0"/>
          <w:marBottom w:val="0"/>
          <w:divBdr>
            <w:top w:val="none" w:sz="0" w:space="0" w:color="auto"/>
            <w:left w:val="none" w:sz="0" w:space="0" w:color="auto"/>
            <w:bottom w:val="none" w:sz="0" w:space="0" w:color="auto"/>
            <w:right w:val="none" w:sz="0" w:space="0" w:color="auto"/>
          </w:divBdr>
        </w:div>
      </w:divsChild>
    </w:div>
    <w:div w:id="732192021">
      <w:bodyDiv w:val="1"/>
      <w:marLeft w:val="0"/>
      <w:marRight w:val="0"/>
      <w:marTop w:val="0"/>
      <w:marBottom w:val="0"/>
      <w:divBdr>
        <w:top w:val="none" w:sz="0" w:space="0" w:color="auto"/>
        <w:left w:val="none" w:sz="0" w:space="0" w:color="auto"/>
        <w:bottom w:val="none" w:sz="0" w:space="0" w:color="auto"/>
        <w:right w:val="none" w:sz="0" w:space="0" w:color="auto"/>
      </w:divBdr>
      <w:divsChild>
        <w:div w:id="1453786180">
          <w:marLeft w:val="533"/>
          <w:marRight w:val="0"/>
          <w:marTop w:val="115"/>
          <w:marBottom w:val="0"/>
          <w:divBdr>
            <w:top w:val="none" w:sz="0" w:space="0" w:color="auto"/>
            <w:left w:val="none" w:sz="0" w:space="0" w:color="auto"/>
            <w:bottom w:val="none" w:sz="0" w:space="0" w:color="auto"/>
            <w:right w:val="none" w:sz="0" w:space="0" w:color="auto"/>
          </w:divBdr>
        </w:div>
        <w:div w:id="86195915">
          <w:marLeft w:val="533"/>
          <w:marRight w:val="0"/>
          <w:marTop w:val="115"/>
          <w:marBottom w:val="0"/>
          <w:divBdr>
            <w:top w:val="none" w:sz="0" w:space="0" w:color="auto"/>
            <w:left w:val="none" w:sz="0" w:space="0" w:color="auto"/>
            <w:bottom w:val="none" w:sz="0" w:space="0" w:color="auto"/>
            <w:right w:val="none" w:sz="0" w:space="0" w:color="auto"/>
          </w:divBdr>
        </w:div>
        <w:div w:id="407464230">
          <w:marLeft w:val="533"/>
          <w:marRight w:val="0"/>
          <w:marTop w:val="115"/>
          <w:marBottom w:val="0"/>
          <w:divBdr>
            <w:top w:val="none" w:sz="0" w:space="0" w:color="auto"/>
            <w:left w:val="none" w:sz="0" w:space="0" w:color="auto"/>
            <w:bottom w:val="none" w:sz="0" w:space="0" w:color="auto"/>
            <w:right w:val="none" w:sz="0" w:space="0" w:color="auto"/>
          </w:divBdr>
        </w:div>
        <w:div w:id="504907155">
          <w:marLeft w:val="533"/>
          <w:marRight w:val="0"/>
          <w:marTop w:val="115"/>
          <w:marBottom w:val="0"/>
          <w:divBdr>
            <w:top w:val="none" w:sz="0" w:space="0" w:color="auto"/>
            <w:left w:val="none" w:sz="0" w:space="0" w:color="auto"/>
            <w:bottom w:val="none" w:sz="0" w:space="0" w:color="auto"/>
            <w:right w:val="none" w:sz="0" w:space="0" w:color="auto"/>
          </w:divBdr>
        </w:div>
      </w:divsChild>
    </w:div>
    <w:div w:id="74468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7898">
          <w:marLeft w:val="547"/>
          <w:marRight w:val="0"/>
          <w:marTop w:val="86"/>
          <w:marBottom w:val="0"/>
          <w:divBdr>
            <w:top w:val="none" w:sz="0" w:space="0" w:color="auto"/>
            <w:left w:val="none" w:sz="0" w:space="0" w:color="auto"/>
            <w:bottom w:val="none" w:sz="0" w:space="0" w:color="auto"/>
            <w:right w:val="none" w:sz="0" w:space="0" w:color="auto"/>
          </w:divBdr>
        </w:div>
      </w:divsChild>
    </w:div>
    <w:div w:id="791242999">
      <w:bodyDiv w:val="1"/>
      <w:marLeft w:val="0"/>
      <w:marRight w:val="0"/>
      <w:marTop w:val="0"/>
      <w:marBottom w:val="0"/>
      <w:divBdr>
        <w:top w:val="none" w:sz="0" w:space="0" w:color="auto"/>
        <w:left w:val="none" w:sz="0" w:space="0" w:color="auto"/>
        <w:bottom w:val="none" w:sz="0" w:space="0" w:color="auto"/>
        <w:right w:val="none" w:sz="0" w:space="0" w:color="auto"/>
      </w:divBdr>
    </w:div>
    <w:div w:id="814613936">
      <w:bodyDiv w:val="1"/>
      <w:marLeft w:val="0"/>
      <w:marRight w:val="0"/>
      <w:marTop w:val="0"/>
      <w:marBottom w:val="0"/>
      <w:divBdr>
        <w:top w:val="none" w:sz="0" w:space="0" w:color="auto"/>
        <w:left w:val="none" w:sz="0" w:space="0" w:color="auto"/>
        <w:bottom w:val="none" w:sz="0" w:space="0" w:color="auto"/>
        <w:right w:val="none" w:sz="0" w:space="0" w:color="auto"/>
      </w:divBdr>
    </w:div>
    <w:div w:id="820582243">
      <w:bodyDiv w:val="1"/>
      <w:marLeft w:val="0"/>
      <w:marRight w:val="0"/>
      <w:marTop w:val="0"/>
      <w:marBottom w:val="0"/>
      <w:divBdr>
        <w:top w:val="none" w:sz="0" w:space="0" w:color="auto"/>
        <w:left w:val="none" w:sz="0" w:space="0" w:color="auto"/>
        <w:bottom w:val="none" w:sz="0" w:space="0" w:color="auto"/>
        <w:right w:val="none" w:sz="0" w:space="0" w:color="auto"/>
      </w:divBdr>
      <w:divsChild>
        <w:div w:id="679233693">
          <w:marLeft w:val="547"/>
          <w:marRight w:val="0"/>
          <w:marTop w:val="91"/>
          <w:marBottom w:val="0"/>
          <w:divBdr>
            <w:top w:val="none" w:sz="0" w:space="0" w:color="auto"/>
            <w:left w:val="none" w:sz="0" w:space="0" w:color="auto"/>
            <w:bottom w:val="none" w:sz="0" w:space="0" w:color="auto"/>
            <w:right w:val="none" w:sz="0" w:space="0" w:color="auto"/>
          </w:divBdr>
        </w:div>
        <w:div w:id="2099784361">
          <w:marLeft w:val="547"/>
          <w:marRight w:val="0"/>
          <w:marTop w:val="91"/>
          <w:marBottom w:val="0"/>
          <w:divBdr>
            <w:top w:val="none" w:sz="0" w:space="0" w:color="auto"/>
            <w:left w:val="none" w:sz="0" w:space="0" w:color="auto"/>
            <w:bottom w:val="none" w:sz="0" w:space="0" w:color="auto"/>
            <w:right w:val="none" w:sz="0" w:space="0" w:color="auto"/>
          </w:divBdr>
        </w:div>
        <w:div w:id="718363816">
          <w:marLeft w:val="547"/>
          <w:marRight w:val="0"/>
          <w:marTop w:val="91"/>
          <w:marBottom w:val="0"/>
          <w:divBdr>
            <w:top w:val="none" w:sz="0" w:space="0" w:color="auto"/>
            <w:left w:val="none" w:sz="0" w:space="0" w:color="auto"/>
            <w:bottom w:val="none" w:sz="0" w:space="0" w:color="auto"/>
            <w:right w:val="none" w:sz="0" w:space="0" w:color="auto"/>
          </w:divBdr>
        </w:div>
        <w:div w:id="419255237">
          <w:marLeft w:val="547"/>
          <w:marRight w:val="0"/>
          <w:marTop w:val="91"/>
          <w:marBottom w:val="0"/>
          <w:divBdr>
            <w:top w:val="none" w:sz="0" w:space="0" w:color="auto"/>
            <w:left w:val="none" w:sz="0" w:space="0" w:color="auto"/>
            <w:bottom w:val="none" w:sz="0" w:space="0" w:color="auto"/>
            <w:right w:val="none" w:sz="0" w:space="0" w:color="auto"/>
          </w:divBdr>
        </w:div>
        <w:div w:id="1889493665">
          <w:marLeft w:val="547"/>
          <w:marRight w:val="0"/>
          <w:marTop w:val="91"/>
          <w:marBottom w:val="0"/>
          <w:divBdr>
            <w:top w:val="none" w:sz="0" w:space="0" w:color="auto"/>
            <w:left w:val="none" w:sz="0" w:space="0" w:color="auto"/>
            <w:bottom w:val="none" w:sz="0" w:space="0" w:color="auto"/>
            <w:right w:val="none" w:sz="0" w:space="0" w:color="auto"/>
          </w:divBdr>
        </w:div>
        <w:div w:id="728651873">
          <w:marLeft w:val="547"/>
          <w:marRight w:val="0"/>
          <w:marTop w:val="91"/>
          <w:marBottom w:val="0"/>
          <w:divBdr>
            <w:top w:val="none" w:sz="0" w:space="0" w:color="auto"/>
            <w:left w:val="none" w:sz="0" w:space="0" w:color="auto"/>
            <w:bottom w:val="none" w:sz="0" w:space="0" w:color="auto"/>
            <w:right w:val="none" w:sz="0" w:space="0" w:color="auto"/>
          </w:divBdr>
        </w:div>
      </w:divsChild>
    </w:div>
    <w:div w:id="890120862">
      <w:bodyDiv w:val="1"/>
      <w:marLeft w:val="0"/>
      <w:marRight w:val="0"/>
      <w:marTop w:val="0"/>
      <w:marBottom w:val="0"/>
      <w:divBdr>
        <w:top w:val="none" w:sz="0" w:space="0" w:color="auto"/>
        <w:left w:val="none" w:sz="0" w:space="0" w:color="auto"/>
        <w:bottom w:val="none" w:sz="0" w:space="0" w:color="auto"/>
        <w:right w:val="none" w:sz="0" w:space="0" w:color="auto"/>
      </w:divBdr>
      <w:divsChild>
        <w:div w:id="1077747051">
          <w:marLeft w:val="547"/>
          <w:marRight w:val="0"/>
          <w:marTop w:val="77"/>
          <w:marBottom w:val="0"/>
          <w:divBdr>
            <w:top w:val="none" w:sz="0" w:space="0" w:color="auto"/>
            <w:left w:val="none" w:sz="0" w:space="0" w:color="auto"/>
            <w:bottom w:val="none" w:sz="0" w:space="0" w:color="auto"/>
            <w:right w:val="none" w:sz="0" w:space="0" w:color="auto"/>
          </w:divBdr>
        </w:div>
        <w:div w:id="96291859">
          <w:marLeft w:val="850"/>
          <w:marRight w:val="0"/>
          <w:marTop w:val="77"/>
          <w:marBottom w:val="0"/>
          <w:divBdr>
            <w:top w:val="none" w:sz="0" w:space="0" w:color="auto"/>
            <w:left w:val="none" w:sz="0" w:space="0" w:color="auto"/>
            <w:bottom w:val="none" w:sz="0" w:space="0" w:color="auto"/>
            <w:right w:val="none" w:sz="0" w:space="0" w:color="auto"/>
          </w:divBdr>
        </w:div>
        <w:div w:id="1970432345">
          <w:marLeft w:val="850"/>
          <w:marRight w:val="0"/>
          <w:marTop w:val="77"/>
          <w:marBottom w:val="0"/>
          <w:divBdr>
            <w:top w:val="none" w:sz="0" w:space="0" w:color="auto"/>
            <w:left w:val="none" w:sz="0" w:space="0" w:color="auto"/>
            <w:bottom w:val="none" w:sz="0" w:space="0" w:color="auto"/>
            <w:right w:val="none" w:sz="0" w:space="0" w:color="auto"/>
          </w:divBdr>
        </w:div>
      </w:divsChild>
    </w:div>
    <w:div w:id="894389111">
      <w:bodyDiv w:val="1"/>
      <w:marLeft w:val="0"/>
      <w:marRight w:val="0"/>
      <w:marTop w:val="0"/>
      <w:marBottom w:val="0"/>
      <w:divBdr>
        <w:top w:val="none" w:sz="0" w:space="0" w:color="auto"/>
        <w:left w:val="none" w:sz="0" w:space="0" w:color="auto"/>
        <w:bottom w:val="none" w:sz="0" w:space="0" w:color="auto"/>
        <w:right w:val="none" w:sz="0" w:space="0" w:color="auto"/>
      </w:divBdr>
      <w:divsChild>
        <w:div w:id="1720589829">
          <w:marLeft w:val="547"/>
          <w:marRight w:val="0"/>
          <w:marTop w:val="96"/>
          <w:marBottom w:val="0"/>
          <w:divBdr>
            <w:top w:val="none" w:sz="0" w:space="0" w:color="auto"/>
            <w:left w:val="none" w:sz="0" w:space="0" w:color="auto"/>
            <w:bottom w:val="none" w:sz="0" w:space="0" w:color="auto"/>
            <w:right w:val="none" w:sz="0" w:space="0" w:color="auto"/>
          </w:divBdr>
        </w:div>
      </w:divsChild>
    </w:div>
    <w:div w:id="913399452">
      <w:bodyDiv w:val="1"/>
      <w:marLeft w:val="0"/>
      <w:marRight w:val="0"/>
      <w:marTop w:val="0"/>
      <w:marBottom w:val="0"/>
      <w:divBdr>
        <w:top w:val="none" w:sz="0" w:space="0" w:color="auto"/>
        <w:left w:val="none" w:sz="0" w:space="0" w:color="auto"/>
        <w:bottom w:val="none" w:sz="0" w:space="0" w:color="auto"/>
        <w:right w:val="none" w:sz="0" w:space="0" w:color="auto"/>
      </w:divBdr>
    </w:div>
    <w:div w:id="913901158">
      <w:bodyDiv w:val="1"/>
      <w:marLeft w:val="0"/>
      <w:marRight w:val="0"/>
      <w:marTop w:val="0"/>
      <w:marBottom w:val="0"/>
      <w:divBdr>
        <w:top w:val="none" w:sz="0" w:space="0" w:color="auto"/>
        <w:left w:val="none" w:sz="0" w:space="0" w:color="auto"/>
        <w:bottom w:val="none" w:sz="0" w:space="0" w:color="auto"/>
        <w:right w:val="none" w:sz="0" w:space="0" w:color="auto"/>
      </w:divBdr>
    </w:div>
    <w:div w:id="922370848">
      <w:bodyDiv w:val="1"/>
      <w:marLeft w:val="0"/>
      <w:marRight w:val="0"/>
      <w:marTop w:val="0"/>
      <w:marBottom w:val="0"/>
      <w:divBdr>
        <w:top w:val="none" w:sz="0" w:space="0" w:color="auto"/>
        <w:left w:val="none" w:sz="0" w:space="0" w:color="auto"/>
        <w:bottom w:val="none" w:sz="0" w:space="0" w:color="auto"/>
        <w:right w:val="none" w:sz="0" w:space="0" w:color="auto"/>
      </w:divBdr>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3848297">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74012081">
      <w:bodyDiv w:val="1"/>
      <w:marLeft w:val="0"/>
      <w:marRight w:val="0"/>
      <w:marTop w:val="0"/>
      <w:marBottom w:val="0"/>
      <w:divBdr>
        <w:top w:val="none" w:sz="0" w:space="0" w:color="auto"/>
        <w:left w:val="none" w:sz="0" w:space="0" w:color="auto"/>
        <w:bottom w:val="none" w:sz="0" w:space="0" w:color="auto"/>
        <w:right w:val="none" w:sz="0" w:space="0" w:color="auto"/>
      </w:divBdr>
    </w:div>
    <w:div w:id="1085804025">
      <w:bodyDiv w:val="1"/>
      <w:marLeft w:val="0"/>
      <w:marRight w:val="0"/>
      <w:marTop w:val="0"/>
      <w:marBottom w:val="0"/>
      <w:divBdr>
        <w:top w:val="none" w:sz="0" w:space="0" w:color="auto"/>
        <w:left w:val="none" w:sz="0" w:space="0" w:color="auto"/>
        <w:bottom w:val="none" w:sz="0" w:space="0" w:color="auto"/>
        <w:right w:val="none" w:sz="0" w:space="0" w:color="auto"/>
      </w:divBdr>
      <w:divsChild>
        <w:div w:id="276332364">
          <w:marLeft w:val="274"/>
          <w:marRight w:val="0"/>
          <w:marTop w:val="0"/>
          <w:marBottom w:val="0"/>
          <w:divBdr>
            <w:top w:val="none" w:sz="0" w:space="0" w:color="auto"/>
            <w:left w:val="none" w:sz="0" w:space="0" w:color="auto"/>
            <w:bottom w:val="none" w:sz="0" w:space="0" w:color="auto"/>
            <w:right w:val="none" w:sz="0" w:space="0" w:color="auto"/>
          </w:divBdr>
        </w:div>
        <w:div w:id="410280404">
          <w:marLeft w:val="1267"/>
          <w:marRight w:val="0"/>
          <w:marTop w:val="0"/>
          <w:marBottom w:val="0"/>
          <w:divBdr>
            <w:top w:val="none" w:sz="0" w:space="0" w:color="auto"/>
            <w:left w:val="none" w:sz="0" w:space="0" w:color="auto"/>
            <w:bottom w:val="none" w:sz="0" w:space="0" w:color="auto"/>
            <w:right w:val="none" w:sz="0" w:space="0" w:color="auto"/>
          </w:divBdr>
        </w:div>
        <w:div w:id="573973358">
          <w:marLeft w:val="274"/>
          <w:marRight w:val="0"/>
          <w:marTop w:val="0"/>
          <w:marBottom w:val="0"/>
          <w:divBdr>
            <w:top w:val="none" w:sz="0" w:space="0" w:color="auto"/>
            <w:left w:val="none" w:sz="0" w:space="0" w:color="auto"/>
            <w:bottom w:val="none" w:sz="0" w:space="0" w:color="auto"/>
            <w:right w:val="none" w:sz="0" w:space="0" w:color="auto"/>
          </w:divBdr>
        </w:div>
        <w:div w:id="650136773">
          <w:marLeft w:val="1267"/>
          <w:marRight w:val="0"/>
          <w:marTop w:val="0"/>
          <w:marBottom w:val="0"/>
          <w:divBdr>
            <w:top w:val="none" w:sz="0" w:space="0" w:color="auto"/>
            <w:left w:val="none" w:sz="0" w:space="0" w:color="auto"/>
            <w:bottom w:val="none" w:sz="0" w:space="0" w:color="auto"/>
            <w:right w:val="none" w:sz="0" w:space="0" w:color="auto"/>
          </w:divBdr>
        </w:div>
        <w:div w:id="1348022636">
          <w:marLeft w:val="274"/>
          <w:marRight w:val="0"/>
          <w:marTop w:val="0"/>
          <w:marBottom w:val="0"/>
          <w:divBdr>
            <w:top w:val="none" w:sz="0" w:space="0" w:color="auto"/>
            <w:left w:val="none" w:sz="0" w:space="0" w:color="auto"/>
            <w:bottom w:val="none" w:sz="0" w:space="0" w:color="auto"/>
            <w:right w:val="none" w:sz="0" w:space="0" w:color="auto"/>
          </w:divBdr>
        </w:div>
        <w:div w:id="2093773290">
          <w:marLeft w:val="274"/>
          <w:marRight w:val="0"/>
          <w:marTop w:val="0"/>
          <w:marBottom w:val="0"/>
          <w:divBdr>
            <w:top w:val="none" w:sz="0" w:space="0" w:color="auto"/>
            <w:left w:val="none" w:sz="0" w:space="0" w:color="auto"/>
            <w:bottom w:val="none" w:sz="0" w:space="0" w:color="auto"/>
            <w:right w:val="none" w:sz="0" w:space="0" w:color="auto"/>
          </w:divBdr>
        </w:div>
      </w:divsChild>
    </w:div>
    <w:div w:id="1087001915">
      <w:bodyDiv w:val="1"/>
      <w:marLeft w:val="0"/>
      <w:marRight w:val="0"/>
      <w:marTop w:val="0"/>
      <w:marBottom w:val="0"/>
      <w:divBdr>
        <w:top w:val="none" w:sz="0" w:space="0" w:color="auto"/>
        <w:left w:val="none" w:sz="0" w:space="0" w:color="auto"/>
        <w:bottom w:val="none" w:sz="0" w:space="0" w:color="auto"/>
        <w:right w:val="none" w:sz="0" w:space="0" w:color="auto"/>
      </w:divBdr>
      <w:divsChild>
        <w:div w:id="211427112">
          <w:marLeft w:val="547"/>
          <w:marRight w:val="0"/>
          <w:marTop w:val="115"/>
          <w:marBottom w:val="0"/>
          <w:divBdr>
            <w:top w:val="none" w:sz="0" w:space="0" w:color="auto"/>
            <w:left w:val="none" w:sz="0" w:space="0" w:color="auto"/>
            <w:bottom w:val="none" w:sz="0" w:space="0" w:color="auto"/>
            <w:right w:val="none" w:sz="0" w:space="0" w:color="auto"/>
          </w:divBdr>
        </w:div>
        <w:div w:id="1713843757">
          <w:marLeft w:val="547"/>
          <w:marRight w:val="0"/>
          <w:marTop w:val="115"/>
          <w:marBottom w:val="0"/>
          <w:divBdr>
            <w:top w:val="none" w:sz="0" w:space="0" w:color="auto"/>
            <w:left w:val="none" w:sz="0" w:space="0" w:color="auto"/>
            <w:bottom w:val="none" w:sz="0" w:space="0" w:color="auto"/>
            <w:right w:val="none" w:sz="0" w:space="0" w:color="auto"/>
          </w:divBdr>
        </w:div>
        <w:div w:id="1727332646">
          <w:marLeft w:val="547"/>
          <w:marRight w:val="0"/>
          <w:marTop w:val="115"/>
          <w:marBottom w:val="0"/>
          <w:divBdr>
            <w:top w:val="none" w:sz="0" w:space="0" w:color="auto"/>
            <w:left w:val="none" w:sz="0" w:space="0" w:color="auto"/>
            <w:bottom w:val="none" w:sz="0" w:space="0" w:color="auto"/>
            <w:right w:val="none" w:sz="0" w:space="0" w:color="auto"/>
          </w:divBdr>
        </w:div>
      </w:divsChild>
    </w:div>
    <w:div w:id="1101608846">
      <w:bodyDiv w:val="1"/>
      <w:marLeft w:val="0"/>
      <w:marRight w:val="0"/>
      <w:marTop w:val="0"/>
      <w:marBottom w:val="0"/>
      <w:divBdr>
        <w:top w:val="none" w:sz="0" w:space="0" w:color="auto"/>
        <w:left w:val="none" w:sz="0" w:space="0" w:color="auto"/>
        <w:bottom w:val="none" w:sz="0" w:space="0" w:color="auto"/>
        <w:right w:val="none" w:sz="0" w:space="0" w:color="auto"/>
      </w:divBdr>
      <w:divsChild>
        <w:div w:id="1989095182">
          <w:marLeft w:val="547"/>
          <w:marRight w:val="0"/>
          <w:marTop w:val="96"/>
          <w:marBottom w:val="0"/>
          <w:divBdr>
            <w:top w:val="none" w:sz="0" w:space="0" w:color="auto"/>
            <w:left w:val="none" w:sz="0" w:space="0" w:color="auto"/>
            <w:bottom w:val="none" w:sz="0" w:space="0" w:color="auto"/>
            <w:right w:val="none" w:sz="0" w:space="0" w:color="auto"/>
          </w:divBdr>
        </w:div>
      </w:divsChild>
    </w:div>
    <w:div w:id="1120761466">
      <w:bodyDiv w:val="1"/>
      <w:marLeft w:val="0"/>
      <w:marRight w:val="0"/>
      <w:marTop w:val="0"/>
      <w:marBottom w:val="0"/>
      <w:divBdr>
        <w:top w:val="none" w:sz="0" w:space="0" w:color="auto"/>
        <w:left w:val="none" w:sz="0" w:space="0" w:color="auto"/>
        <w:bottom w:val="none" w:sz="0" w:space="0" w:color="auto"/>
        <w:right w:val="none" w:sz="0" w:space="0" w:color="auto"/>
      </w:divBdr>
      <w:divsChild>
        <w:div w:id="1420061618">
          <w:marLeft w:val="1354"/>
          <w:marRight w:val="0"/>
          <w:marTop w:val="70"/>
          <w:marBottom w:val="0"/>
          <w:divBdr>
            <w:top w:val="none" w:sz="0" w:space="0" w:color="auto"/>
            <w:left w:val="none" w:sz="0" w:space="0" w:color="auto"/>
            <w:bottom w:val="none" w:sz="0" w:space="0" w:color="auto"/>
            <w:right w:val="none" w:sz="0" w:space="0" w:color="auto"/>
          </w:divBdr>
        </w:div>
        <w:div w:id="413360964">
          <w:marLeft w:val="1354"/>
          <w:marRight w:val="0"/>
          <w:marTop w:val="70"/>
          <w:marBottom w:val="0"/>
          <w:divBdr>
            <w:top w:val="none" w:sz="0" w:space="0" w:color="auto"/>
            <w:left w:val="none" w:sz="0" w:space="0" w:color="auto"/>
            <w:bottom w:val="none" w:sz="0" w:space="0" w:color="auto"/>
            <w:right w:val="none" w:sz="0" w:space="0" w:color="auto"/>
          </w:divBdr>
        </w:div>
      </w:divsChild>
    </w:div>
    <w:div w:id="1272936642">
      <w:bodyDiv w:val="1"/>
      <w:marLeft w:val="0"/>
      <w:marRight w:val="0"/>
      <w:marTop w:val="0"/>
      <w:marBottom w:val="0"/>
      <w:divBdr>
        <w:top w:val="none" w:sz="0" w:space="0" w:color="auto"/>
        <w:left w:val="none" w:sz="0" w:space="0" w:color="auto"/>
        <w:bottom w:val="none" w:sz="0" w:space="0" w:color="auto"/>
        <w:right w:val="none" w:sz="0" w:space="0" w:color="auto"/>
      </w:divBdr>
      <w:divsChild>
        <w:div w:id="1037704145">
          <w:marLeft w:val="547"/>
          <w:marRight w:val="0"/>
          <w:marTop w:val="77"/>
          <w:marBottom w:val="0"/>
          <w:divBdr>
            <w:top w:val="none" w:sz="0" w:space="0" w:color="auto"/>
            <w:left w:val="none" w:sz="0" w:space="0" w:color="auto"/>
            <w:bottom w:val="none" w:sz="0" w:space="0" w:color="auto"/>
            <w:right w:val="none" w:sz="0" w:space="0" w:color="auto"/>
          </w:divBdr>
        </w:div>
        <w:div w:id="1048996167">
          <w:marLeft w:val="850"/>
          <w:marRight w:val="0"/>
          <w:marTop w:val="77"/>
          <w:marBottom w:val="0"/>
          <w:divBdr>
            <w:top w:val="none" w:sz="0" w:space="0" w:color="auto"/>
            <w:left w:val="none" w:sz="0" w:space="0" w:color="auto"/>
            <w:bottom w:val="none" w:sz="0" w:space="0" w:color="auto"/>
            <w:right w:val="none" w:sz="0" w:space="0" w:color="auto"/>
          </w:divBdr>
        </w:div>
        <w:div w:id="240676220">
          <w:marLeft w:val="850"/>
          <w:marRight w:val="0"/>
          <w:marTop w:val="77"/>
          <w:marBottom w:val="0"/>
          <w:divBdr>
            <w:top w:val="none" w:sz="0" w:space="0" w:color="auto"/>
            <w:left w:val="none" w:sz="0" w:space="0" w:color="auto"/>
            <w:bottom w:val="none" w:sz="0" w:space="0" w:color="auto"/>
            <w:right w:val="none" w:sz="0" w:space="0" w:color="auto"/>
          </w:divBdr>
        </w:div>
        <w:div w:id="1820656778">
          <w:marLeft w:val="547"/>
          <w:marRight w:val="0"/>
          <w:marTop w:val="77"/>
          <w:marBottom w:val="0"/>
          <w:divBdr>
            <w:top w:val="none" w:sz="0" w:space="0" w:color="auto"/>
            <w:left w:val="none" w:sz="0" w:space="0" w:color="auto"/>
            <w:bottom w:val="none" w:sz="0" w:space="0" w:color="auto"/>
            <w:right w:val="none" w:sz="0" w:space="0" w:color="auto"/>
          </w:divBdr>
        </w:div>
        <w:div w:id="385182848">
          <w:marLeft w:val="850"/>
          <w:marRight w:val="0"/>
          <w:marTop w:val="77"/>
          <w:marBottom w:val="0"/>
          <w:divBdr>
            <w:top w:val="none" w:sz="0" w:space="0" w:color="auto"/>
            <w:left w:val="none" w:sz="0" w:space="0" w:color="auto"/>
            <w:bottom w:val="none" w:sz="0" w:space="0" w:color="auto"/>
            <w:right w:val="none" w:sz="0" w:space="0" w:color="auto"/>
          </w:divBdr>
        </w:div>
        <w:div w:id="966155859">
          <w:marLeft w:val="850"/>
          <w:marRight w:val="0"/>
          <w:marTop w:val="77"/>
          <w:marBottom w:val="0"/>
          <w:divBdr>
            <w:top w:val="none" w:sz="0" w:space="0" w:color="auto"/>
            <w:left w:val="none" w:sz="0" w:space="0" w:color="auto"/>
            <w:bottom w:val="none" w:sz="0" w:space="0" w:color="auto"/>
            <w:right w:val="none" w:sz="0" w:space="0" w:color="auto"/>
          </w:divBdr>
        </w:div>
      </w:divsChild>
    </w:div>
    <w:div w:id="1274357722">
      <w:bodyDiv w:val="1"/>
      <w:marLeft w:val="0"/>
      <w:marRight w:val="0"/>
      <w:marTop w:val="0"/>
      <w:marBottom w:val="0"/>
      <w:divBdr>
        <w:top w:val="none" w:sz="0" w:space="0" w:color="auto"/>
        <w:left w:val="none" w:sz="0" w:space="0" w:color="auto"/>
        <w:bottom w:val="none" w:sz="0" w:space="0" w:color="auto"/>
        <w:right w:val="none" w:sz="0" w:space="0" w:color="auto"/>
      </w:divBdr>
      <w:divsChild>
        <w:div w:id="1521777051">
          <w:marLeft w:val="547"/>
          <w:marRight w:val="0"/>
          <w:marTop w:val="77"/>
          <w:marBottom w:val="200"/>
          <w:divBdr>
            <w:top w:val="none" w:sz="0" w:space="0" w:color="auto"/>
            <w:left w:val="none" w:sz="0" w:space="0" w:color="auto"/>
            <w:bottom w:val="none" w:sz="0" w:space="0" w:color="auto"/>
            <w:right w:val="none" w:sz="0" w:space="0" w:color="auto"/>
          </w:divBdr>
        </w:div>
        <w:div w:id="487014493">
          <w:marLeft w:val="547"/>
          <w:marRight w:val="0"/>
          <w:marTop w:val="77"/>
          <w:marBottom w:val="20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17565258">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25619860">
      <w:bodyDiv w:val="1"/>
      <w:marLeft w:val="0"/>
      <w:marRight w:val="0"/>
      <w:marTop w:val="0"/>
      <w:marBottom w:val="0"/>
      <w:divBdr>
        <w:top w:val="none" w:sz="0" w:space="0" w:color="auto"/>
        <w:left w:val="none" w:sz="0" w:space="0" w:color="auto"/>
        <w:bottom w:val="none" w:sz="0" w:space="0" w:color="auto"/>
        <w:right w:val="none" w:sz="0" w:space="0" w:color="auto"/>
      </w:divBdr>
      <w:divsChild>
        <w:div w:id="1203443709">
          <w:marLeft w:val="1166"/>
          <w:marRight w:val="0"/>
          <w:marTop w:val="0"/>
          <w:marBottom w:val="0"/>
          <w:divBdr>
            <w:top w:val="none" w:sz="0" w:space="0" w:color="auto"/>
            <w:left w:val="none" w:sz="0" w:space="0" w:color="auto"/>
            <w:bottom w:val="none" w:sz="0" w:space="0" w:color="auto"/>
            <w:right w:val="none" w:sz="0" w:space="0" w:color="auto"/>
          </w:divBdr>
        </w:div>
      </w:divsChild>
    </w:div>
    <w:div w:id="1355157462">
      <w:bodyDiv w:val="1"/>
      <w:marLeft w:val="0"/>
      <w:marRight w:val="0"/>
      <w:marTop w:val="0"/>
      <w:marBottom w:val="0"/>
      <w:divBdr>
        <w:top w:val="none" w:sz="0" w:space="0" w:color="auto"/>
        <w:left w:val="none" w:sz="0" w:space="0" w:color="auto"/>
        <w:bottom w:val="none" w:sz="0" w:space="0" w:color="auto"/>
        <w:right w:val="none" w:sz="0" w:space="0" w:color="auto"/>
      </w:divBdr>
      <w:divsChild>
        <w:div w:id="2010207867">
          <w:marLeft w:val="547"/>
          <w:marRight w:val="0"/>
          <w:marTop w:val="96"/>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74518085">
      <w:bodyDiv w:val="1"/>
      <w:marLeft w:val="0"/>
      <w:marRight w:val="0"/>
      <w:marTop w:val="0"/>
      <w:marBottom w:val="0"/>
      <w:divBdr>
        <w:top w:val="none" w:sz="0" w:space="0" w:color="auto"/>
        <w:left w:val="none" w:sz="0" w:space="0" w:color="auto"/>
        <w:bottom w:val="none" w:sz="0" w:space="0" w:color="auto"/>
        <w:right w:val="none" w:sz="0" w:space="0" w:color="auto"/>
      </w:divBdr>
    </w:div>
    <w:div w:id="1490435956">
      <w:bodyDiv w:val="1"/>
      <w:marLeft w:val="0"/>
      <w:marRight w:val="0"/>
      <w:marTop w:val="0"/>
      <w:marBottom w:val="0"/>
      <w:divBdr>
        <w:top w:val="none" w:sz="0" w:space="0" w:color="auto"/>
        <w:left w:val="none" w:sz="0" w:space="0" w:color="auto"/>
        <w:bottom w:val="none" w:sz="0" w:space="0" w:color="auto"/>
        <w:right w:val="none" w:sz="0" w:space="0" w:color="auto"/>
      </w:divBdr>
      <w:divsChild>
        <w:div w:id="2101288377">
          <w:marLeft w:val="547"/>
          <w:marRight w:val="0"/>
          <w:marTop w:val="77"/>
          <w:marBottom w:val="200"/>
          <w:divBdr>
            <w:top w:val="none" w:sz="0" w:space="0" w:color="auto"/>
            <w:left w:val="none" w:sz="0" w:space="0" w:color="auto"/>
            <w:bottom w:val="none" w:sz="0" w:space="0" w:color="auto"/>
            <w:right w:val="none" w:sz="0" w:space="0" w:color="auto"/>
          </w:divBdr>
        </w:div>
      </w:divsChild>
    </w:div>
    <w:div w:id="1501694476">
      <w:bodyDiv w:val="1"/>
      <w:marLeft w:val="0"/>
      <w:marRight w:val="0"/>
      <w:marTop w:val="0"/>
      <w:marBottom w:val="0"/>
      <w:divBdr>
        <w:top w:val="none" w:sz="0" w:space="0" w:color="auto"/>
        <w:left w:val="none" w:sz="0" w:space="0" w:color="auto"/>
        <w:bottom w:val="none" w:sz="0" w:space="0" w:color="auto"/>
        <w:right w:val="none" w:sz="0" w:space="0" w:color="auto"/>
      </w:divBdr>
      <w:divsChild>
        <w:div w:id="1318388031">
          <w:marLeft w:val="720"/>
          <w:marRight w:val="0"/>
          <w:marTop w:val="0"/>
          <w:marBottom w:val="0"/>
          <w:divBdr>
            <w:top w:val="none" w:sz="0" w:space="0" w:color="auto"/>
            <w:left w:val="none" w:sz="0" w:space="0" w:color="auto"/>
            <w:bottom w:val="none" w:sz="0" w:space="0" w:color="auto"/>
            <w:right w:val="none" w:sz="0" w:space="0" w:color="auto"/>
          </w:divBdr>
        </w:div>
      </w:divsChild>
    </w:div>
    <w:div w:id="1512794963">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4194217">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692872429">
      <w:bodyDiv w:val="1"/>
      <w:marLeft w:val="0"/>
      <w:marRight w:val="0"/>
      <w:marTop w:val="0"/>
      <w:marBottom w:val="0"/>
      <w:divBdr>
        <w:top w:val="none" w:sz="0" w:space="0" w:color="auto"/>
        <w:left w:val="none" w:sz="0" w:space="0" w:color="auto"/>
        <w:bottom w:val="none" w:sz="0" w:space="0" w:color="auto"/>
        <w:right w:val="none" w:sz="0" w:space="0" w:color="auto"/>
      </w:divBdr>
      <w:divsChild>
        <w:div w:id="297885477">
          <w:marLeft w:val="274"/>
          <w:marRight w:val="0"/>
          <w:marTop w:val="77"/>
          <w:marBottom w:val="0"/>
          <w:divBdr>
            <w:top w:val="none" w:sz="0" w:space="0" w:color="auto"/>
            <w:left w:val="none" w:sz="0" w:space="0" w:color="auto"/>
            <w:bottom w:val="none" w:sz="0" w:space="0" w:color="auto"/>
            <w:right w:val="none" w:sz="0" w:space="0" w:color="auto"/>
          </w:divBdr>
        </w:div>
        <w:div w:id="745803556">
          <w:marLeft w:val="274"/>
          <w:marRight w:val="0"/>
          <w:marTop w:val="77"/>
          <w:marBottom w:val="0"/>
          <w:divBdr>
            <w:top w:val="none" w:sz="0" w:space="0" w:color="auto"/>
            <w:left w:val="none" w:sz="0" w:space="0" w:color="auto"/>
            <w:bottom w:val="none" w:sz="0" w:space="0" w:color="auto"/>
            <w:right w:val="none" w:sz="0" w:space="0" w:color="auto"/>
          </w:divBdr>
        </w:div>
      </w:divsChild>
    </w:div>
    <w:div w:id="1701513153">
      <w:bodyDiv w:val="1"/>
      <w:marLeft w:val="0"/>
      <w:marRight w:val="0"/>
      <w:marTop w:val="0"/>
      <w:marBottom w:val="0"/>
      <w:divBdr>
        <w:top w:val="none" w:sz="0" w:space="0" w:color="auto"/>
        <w:left w:val="none" w:sz="0" w:space="0" w:color="auto"/>
        <w:bottom w:val="none" w:sz="0" w:space="0" w:color="auto"/>
        <w:right w:val="none" w:sz="0" w:space="0" w:color="auto"/>
      </w:divBdr>
      <w:divsChild>
        <w:div w:id="1112091658">
          <w:marLeft w:val="907"/>
          <w:marRight w:val="0"/>
          <w:marTop w:val="115"/>
          <w:marBottom w:val="0"/>
          <w:divBdr>
            <w:top w:val="none" w:sz="0" w:space="0" w:color="auto"/>
            <w:left w:val="none" w:sz="0" w:space="0" w:color="auto"/>
            <w:bottom w:val="none" w:sz="0" w:space="0" w:color="auto"/>
            <w:right w:val="none" w:sz="0" w:space="0" w:color="auto"/>
          </w:divBdr>
        </w:div>
        <w:div w:id="1388450290">
          <w:marLeft w:val="907"/>
          <w:marRight w:val="0"/>
          <w:marTop w:val="115"/>
          <w:marBottom w:val="0"/>
          <w:divBdr>
            <w:top w:val="none" w:sz="0" w:space="0" w:color="auto"/>
            <w:left w:val="none" w:sz="0" w:space="0" w:color="auto"/>
            <w:bottom w:val="none" w:sz="0" w:space="0" w:color="auto"/>
            <w:right w:val="none" w:sz="0" w:space="0" w:color="auto"/>
          </w:divBdr>
        </w:div>
        <w:div w:id="1631130144">
          <w:marLeft w:val="360"/>
          <w:marRight w:val="0"/>
          <w:marTop w:val="115"/>
          <w:marBottom w:val="0"/>
          <w:divBdr>
            <w:top w:val="none" w:sz="0" w:space="0" w:color="auto"/>
            <w:left w:val="none" w:sz="0" w:space="0" w:color="auto"/>
            <w:bottom w:val="none" w:sz="0" w:space="0" w:color="auto"/>
            <w:right w:val="none" w:sz="0" w:space="0" w:color="auto"/>
          </w:divBdr>
        </w:div>
        <w:div w:id="1798911180">
          <w:marLeft w:val="360"/>
          <w:marRight w:val="0"/>
          <w:marTop w:val="115"/>
          <w:marBottom w:val="0"/>
          <w:divBdr>
            <w:top w:val="none" w:sz="0" w:space="0" w:color="auto"/>
            <w:left w:val="none" w:sz="0" w:space="0" w:color="auto"/>
            <w:bottom w:val="none" w:sz="0" w:space="0" w:color="auto"/>
            <w:right w:val="none" w:sz="0" w:space="0" w:color="auto"/>
          </w:divBdr>
        </w:div>
      </w:divsChild>
    </w:div>
    <w:div w:id="1756970764">
      <w:bodyDiv w:val="1"/>
      <w:marLeft w:val="0"/>
      <w:marRight w:val="0"/>
      <w:marTop w:val="0"/>
      <w:marBottom w:val="0"/>
      <w:divBdr>
        <w:top w:val="none" w:sz="0" w:space="0" w:color="auto"/>
        <w:left w:val="none" w:sz="0" w:space="0" w:color="auto"/>
        <w:bottom w:val="none" w:sz="0" w:space="0" w:color="auto"/>
        <w:right w:val="none" w:sz="0" w:space="0" w:color="auto"/>
      </w:divBdr>
      <w:divsChild>
        <w:div w:id="869414605">
          <w:marLeft w:val="547"/>
          <w:marRight w:val="0"/>
          <w:marTop w:val="96"/>
          <w:marBottom w:val="0"/>
          <w:divBdr>
            <w:top w:val="none" w:sz="0" w:space="0" w:color="auto"/>
            <w:left w:val="none" w:sz="0" w:space="0" w:color="auto"/>
            <w:bottom w:val="none" w:sz="0" w:space="0" w:color="auto"/>
            <w:right w:val="none" w:sz="0" w:space="0" w:color="auto"/>
          </w:divBdr>
        </w:div>
      </w:divsChild>
    </w:div>
    <w:div w:id="1773085650">
      <w:bodyDiv w:val="1"/>
      <w:marLeft w:val="0"/>
      <w:marRight w:val="0"/>
      <w:marTop w:val="0"/>
      <w:marBottom w:val="0"/>
      <w:divBdr>
        <w:top w:val="none" w:sz="0" w:space="0" w:color="auto"/>
        <w:left w:val="none" w:sz="0" w:space="0" w:color="auto"/>
        <w:bottom w:val="none" w:sz="0" w:space="0" w:color="auto"/>
        <w:right w:val="none" w:sz="0" w:space="0" w:color="auto"/>
      </w:divBdr>
      <w:divsChild>
        <w:div w:id="1347438253">
          <w:marLeft w:val="547"/>
          <w:marRight w:val="0"/>
          <w:marTop w:val="154"/>
          <w:marBottom w:val="0"/>
          <w:divBdr>
            <w:top w:val="none" w:sz="0" w:space="0" w:color="auto"/>
            <w:left w:val="none" w:sz="0" w:space="0" w:color="auto"/>
            <w:bottom w:val="none" w:sz="0" w:space="0" w:color="auto"/>
            <w:right w:val="none" w:sz="0" w:space="0" w:color="auto"/>
          </w:divBdr>
        </w:div>
      </w:divsChild>
    </w:div>
    <w:div w:id="1779371321">
      <w:bodyDiv w:val="1"/>
      <w:marLeft w:val="0"/>
      <w:marRight w:val="0"/>
      <w:marTop w:val="0"/>
      <w:marBottom w:val="0"/>
      <w:divBdr>
        <w:top w:val="none" w:sz="0" w:space="0" w:color="auto"/>
        <w:left w:val="none" w:sz="0" w:space="0" w:color="auto"/>
        <w:bottom w:val="none" w:sz="0" w:space="0" w:color="auto"/>
        <w:right w:val="none" w:sz="0" w:space="0" w:color="auto"/>
      </w:divBdr>
    </w:div>
    <w:div w:id="1792046672">
      <w:bodyDiv w:val="1"/>
      <w:marLeft w:val="0"/>
      <w:marRight w:val="0"/>
      <w:marTop w:val="0"/>
      <w:marBottom w:val="0"/>
      <w:divBdr>
        <w:top w:val="none" w:sz="0" w:space="0" w:color="auto"/>
        <w:left w:val="none" w:sz="0" w:space="0" w:color="auto"/>
        <w:bottom w:val="none" w:sz="0" w:space="0" w:color="auto"/>
        <w:right w:val="none" w:sz="0" w:space="0" w:color="auto"/>
      </w:divBdr>
      <w:divsChild>
        <w:div w:id="467670382">
          <w:marLeft w:val="360"/>
          <w:marRight w:val="0"/>
          <w:marTop w:val="130"/>
          <w:marBottom w:val="0"/>
          <w:divBdr>
            <w:top w:val="none" w:sz="0" w:space="0" w:color="auto"/>
            <w:left w:val="none" w:sz="0" w:space="0" w:color="auto"/>
            <w:bottom w:val="none" w:sz="0" w:space="0" w:color="auto"/>
            <w:right w:val="none" w:sz="0" w:space="0" w:color="auto"/>
          </w:divBdr>
        </w:div>
        <w:div w:id="508714882">
          <w:marLeft w:val="360"/>
          <w:marRight w:val="0"/>
          <w:marTop w:val="130"/>
          <w:marBottom w:val="0"/>
          <w:divBdr>
            <w:top w:val="none" w:sz="0" w:space="0" w:color="auto"/>
            <w:left w:val="none" w:sz="0" w:space="0" w:color="auto"/>
            <w:bottom w:val="none" w:sz="0" w:space="0" w:color="auto"/>
            <w:right w:val="none" w:sz="0" w:space="0" w:color="auto"/>
          </w:divBdr>
        </w:div>
        <w:div w:id="540097137">
          <w:marLeft w:val="360"/>
          <w:marRight w:val="0"/>
          <w:marTop w:val="130"/>
          <w:marBottom w:val="0"/>
          <w:divBdr>
            <w:top w:val="none" w:sz="0" w:space="0" w:color="auto"/>
            <w:left w:val="none" w:sz="0" w:space="0" w:color="auto"/>
            <w:bottom w:val="none" w:sz="0" w:space="0" w:color="auto"/>
            <w:right w:val="none" w:sz="0" w:space="0" w:color="auto"/>
          </w:divBdr>
        </w:div>
        <w:div w:id="1553886171">
          <w:marLeft w:val="360"/>
          <w:marRight w:val="0"/>
          <w:marTop w:val="130"/>
          <w:marBottom w:val="0"/>
          <w:divBdr>
            <w:top w:val="none" w:sz="0" w:space="0" w:color="auto"/>
            <w:left w:val="none" w:sz="0" w:space="0" w:color="auto"/>
            <w:bottom w:val="none" w:sz="0" w:space="0" w:color="auto"/>
            <w:right w:val="none" w:sz="0" w:space="0" w:color="auto"/>
          </w:divBdr>
        </w:div>
      </w:divsChild>
    </w:div>
    <w:div w:id="180835841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76">
          <w:marLeft w:val="547"/>
          <w:marRight w:val="0"/>
          <w:marTop w:val="0"/>
          <w:marBottom w:val="0"/>
          <w:divBdr>
            <w:top w:val="none" w:sz="0" w:space="0" w:color="auto"/>
            <w:left w:val="none" w:sz="0" w:space="0" w:color="auto"/>
            <w:bottom w:val="none" w:sz="0" w:space="0" w:color="auto"/>
            <w:right w:val="none" w:sz="0" w:space="0" w:color="auto"/>
          </w:divBdr>
        </w:div>
        <w:div w:id="1552157174">
          <w:marLeft w:val="547"/>
          <w:marRight w:val="0"/>
          <w:marTop w:val="0"/>
          <w:marBottom w:val="0"/>
          <w:divBdr>
            <w:top w:val="none" w:sz="0" w:space="0" w:color="auto"/>
            <w:left w:val="none" w:sz="0" w:space="0" w:color="auto"/>
            <w:bottom w:val="none" w:sz="0" w:space="0" w:color="auto"/>
            <w:right w:val="none" w:sz="0" w:space="0" w:color="auto"/>
          </w:divBdr>
        </w:div>
        <w:div w:id="1339111885">
          <w:marLeft w:val="547"/>
          <w:marRight w:val="0"/>
          <w:marTop w:val="0"/>
          <w:marBottom w:val="0"/>
          <w:divBdr>
            <w:top w:val="none" w:sz="0" w:space="0" w:color="auto"/>
            <w:left w:val="none" w:sz="0" w:space="0" w:color="auto"/>
            <w:bottom w:val="none" w:sz="0" w:space="0" w:color="auto"/>
            <w:right w:val="none" w:sz="0" w:space="0" w:color="auto"/>
          </w:divBdr>
        </w:div>
        <w:div w:id="1433435117">
          <w:marLeft w:val="547"/>
          <w:marRight w:val="0"/>
          <w:marTop w:val="0"/>
          <w:marBottom w:val="0"/>
          <w:divBdr>
            <w:top w:val="none" w:sz="0" w:space="0" w:color="auto"/>
            <w:left w:val="none" w:sz="0" w:space="0" w:color="auto"/>
            <w:bottom w:val="none" w:sz="0" w:space="0" w:color="auto"/>
            <w:right w:val="none" w:sz="0" w:space="0" w:color="auto"/>
          </w:divBdr>
        </w:div>
        <w:div w:id="159122869">
          <w:marLeft w:val="547"/>
          <w:marRight w:val="0"/>
          <w:marTop w:val="0"/>
          <w:marBottom w:val="0"/>
          <w:divBdr>
            <w:top w:val="none" w:sz="0" w:space="0" w:color="auto"/>
            <w:left w:val="none" w:sz="0" w:space="0" w:color="auto"/>
            <w:bottom w:val="none" w:sz="0" w:space="0" w:color="auto"/>
            <w:right w:val="none" w:sz="0" w:space="0" w:color="auto"/>
          </w:divBdr>
        </w:div>
      </w:divsChild>
    </w:div>
    <w:div w:id="1855070289">
      <w:bodyDiv w:val="1"/>
      <w:marLeft w:val="0"/>
      <w:marRight w:val="0"/>
      <w:marTop w:val="0"/>
      <w:marBottom w:val="0"/>
      <w:divBdr>
        <w:top w:val="none" w:sz="0" w:space="0" w:color="auto"/>
        <w:left w:val="none" w:sz="0" w:space="0" w:color="auto"/>
        <w:bottom w:val="none" w:sz="0" w:space="0" w:color="auto"/>
        <w:right w:val="none" w:sz="0" w:space="0" w:color="auto"/>
      </w:divBdr>
      <w:divsChild>
        <w:div w:id="680162295">
          <w:marLeft w:val="1166"/>
          <w:marRight w:val="0"/>
          <w:marTop w:val="0"/>
          <w:marBottom w:val="0"/>
          <w:divBdr>
            <w:top w:val="none" w:sz="0" w:space="0" w:color="auto"/>
            <w:left w:val="none" w:sz="0" w:space="0" w:color="auto"/>
            <w:bottom w:val="none" w:sz="0" w:space="0" w:color="auto"/>
            <w:right w:val="none" w:sz="0" w:space="0" w:color="auto"/>
          </w:divBdr>
        </w:div>
      </w:divsChild>
    </w:div>
    <w:div w:id="1870292005">
      <w:bodyDiv w:val="1"/>
      <w:marLeft w:val="0"/>
      <w:marRight w:val="0"/>
      <w:marTop w:val="0"/>
      <w:marBottom w:val="0"/>
      <w:divBdr>
        <w:top w:val="none" w:sz="0" w:space="0" w:color="auto"/>
        <w:left w:val="none" w:sz="0" w:space="0" w:color="auto"/>
        <w:bottom w:val="none" w:sz="0" w:space="0" w:color="auto"/>
        <w:right w:val="none" w:sz="0" w:space="0" w:color="auto"/>
      </w:divBdr>
      <w:divsChild>
        <w:div w:id="122817734">
          <w:marLeft w:val="360"/>
          <w:marRight w:val="0"/>
          <w:marTop w:val="130"/>
          <w:marBottom w:val="0"/>
          <w:divBdr>
            <w:top w:val="none" w:sz="0" w:space="0" w:color="auto"/>
            <w:left w:val="none" w:sz="0" w:space="0" w:color="auto"/>
            <w:bottom w:val="none" w:sz="0" w:space="0" w:color="auto"/>
            <w:right w:val="none" w:sz="0" w:space="0" w:color="auto"/>
          </w:divBdr>
        </w:div>
        <w:div w:id="763234123">
          <w:marLeft w:val="360"/>
          <w:marRight w:val="0"/>
          <w:marTop w:val="130"/>
          <w:marBottom w:val="0"/>
          <w:divBdr>
            <w:top w:val="none" w:sz="0" w:space="0" w:color="auto"/>
            <w:left w:val="none" w:sz="0" w:space="0" w:color="auto"/>
            <w:bottom w:val="none" w:sz="0" w:space="0" w:color="auto"/>
            <w:right w:val="none" w:sz="0" w:space="0" w:color="auto"/>
          </w:divBdr>
        </w:div>
        <w:div w:id="1427767799">
          <w:marLeft w:val="360"/>
          <w:marRight w:val="0"/>
          <w:marTop w:val="130"/>
          <w:marBottom w:val="0"/>
          <w:divBdr>
            <w:top w:val="none" w:sz="0" w:space="0" w:color="auto"/>
            <w:left w:val="none" w:sz="0" w:space="0" w:color="auto"/>
            <w:bottom w:val="none" w:sz="0" w:space="0" w:color="auto"/>
            <w:right w:val="none" w:sz="0" w:space="0" w:color="auto"/>
          </w:divBdr>
        </w:div>
        <w:div w:id="1474176545">
          <w:marLeft w:val="360"/>
          <w:marRight w:val="0"/>
          <w:marTop w:val="130"/>
          <w:marBottom w:val="0"/>
          <w:divBdr>
            <w:top w:val="none" w:sz="0" w:space="0" w:color="auto"/>
            <w:left w:val="none" w:sz="0" w:space="0" w:color="auto"/>
            <w:bottom w:val="none" w:sz="0" w:space="0" w:color="auto"/>
            <w:right w:val="none" w:sz="0" w:space="0" w:color="auto"/>
          </w:divBdr>
        </w:div>
      </w:divsChild>
    </w:div>
    <w:div w:id="1872913988">
      <w:bodyDiv w:val="1"/>
      <w:marLeft w:val="0"/>
      <w:marRight w:val="0"/>
      <w:marTop w:val="0"/>
      <w:marBottom w:val="0"/>
      <w:divBdr>
        <w:top w:val="none" w:sz="0" w:space="0" w:color="auto"/>
        <w:left w:val="none" w:sz="0" w:space="0" w:color="auto"/>
        <w:bottom w:val="none" w:sz="0" w:space="0" w:color="auto"/>
        <w:right w:val="none" w:sz="0" w:space="0" w:color="auto"/>
      </w:divBdr>
      <w:divsChild>
        <w:div w:id="483401870">
          <w:marLeft w:val="547"/>
          <w:marRight w:val="0"/>
          <w:marTop w:val="72"/>
          <w:marBottom w:val="0"/>
          <w:divBdr>
            <w:top w:val="none" w:sz="0" w:space="0" w:color="auto"/>
            <w:left w:val="none" w:sz="0" w:space="0" w:color="auto"/>
            <w:bottom w:val="none" w:sz="0" w:space="0" w:color="auto"/>
            <w:right w:val="none" w:sz="0" w:space="0" w:color="auto"/>
          </w:divBdr>
        </w:div>
      </w:divsChild>
    </w:div>
    <w:div w:id="1896428455">
      <w:bodyDiv w:val="1"/>
      <w:marLeft w:val="0"/>
      <w:marRight w:val="0"/>
      <w:marTop w:val="0"/>
      <w:marBottom w:val="0"/>
      <w:divBdr>
        <w:top w:val="none" w:sz="0" w:space="0" w:color="auto"/>
        <w:left w:val="none" w:sz="0" w:space="0" w:color="auto"/>
        <w:bottom w:val="none" w:sz="0" w:space="0" w:color="auto"/>
        <w:right w:val="none" w:sz="0" w:space="0" w:color="auto"/>
      </w:divBdr>
      <w:divsChild>
        <w:div w:id="37626515">
          <w:marLeft w:val="446"/>
          <w:marRight w:val="0"/>
          <w:marTop w:val="0"/>
          <w:marBottom w:val="0"/>
          <w:divBdr>
            <w:top w:val="none" w:sz="0" w:space="0" w:color="auto"/>
            <w:left w:val="none" w:sz="0" w:space="0" w:color="auto"/>
            <w:bottom w:val="none" w:sz="0" w:space="0" w:color="auto"/>
            <w:right w:val="none" w:sz="0" w:space="0" w:color="auto"/>
          </w:divBdr>
        </w:div>
      </w:divsChild>
    </w:div>
    <w:div w:id="1921284711">
      <w:bodyDiv w:val="1"/>
      <w:marLeft w:val="0"/>
      <w:marRight w:val="0"/>
      <w:marTop w:val="0"/>
      <w:marBottom w:val="0"/>
      <w:divBdr>
        <w:top w:val="none" w:sz="0" w:space="0" w:color="auto"/>
        <w:left w:val="none" w:sz="0" w:space="0" w:color="auto"/>
        <w:bottom w:val="none" w:sz="0" w:space="0" w:color="auto"/>
        <w:right w:val="none" w:sz="0" w:space="0" w:color="auto"/>
      </w:divBdr>
    </w:div>
    <w:div w:id="1927684263">
      <w:bodyDiv w:val="1"/>
      <w:marLeft w:val="0"/>
      <w:marRight w:val="0"/>
      <w:marTop w:val="0"/>
      <w:marBottom w:val="0"/>
      <w:divBdr>
        <w:top w:val="none" w:sz="0" w:space="0" w:color="auto"/>
        <w:left w:val="none" w:sz="0" w:space="0" w:color="auto"/>
        <w:bottom w:val="none" w:sz="0" w:space="0" w:color="auto"/>
        <w:right w:val="none" w:sz="0" w:space="0" w:color="auto"/>
      </w:divBdr>
      <w:divsChild>
        <w:div w:id="1867327927">
          <w:marLeft w:val="547"/>
          <w:marRight w:val="0"/>
          <w:marTop w:val="0"/>
          <w:marBottom w:val="0"/>
          <w:divBdr>
            <w:top w:val="none" w:sz="0" w:space="0" w:color="auto"/>
            <w:left w:val="none" w:sz="0" w:space="0" w:color="auto"/>
            <w:bottom w:val="none" w:sz="0" w:space="0" w:color="auto"/>
            <w:right w:val="none" w:sz="0" w:space="0" w:color="auto"/>
          </w:divBdr>
        </w:div>
        <w:div w:id="945043038">
          <w:marLeft w:val="547"/>
          <w:marRight w:val="0"/>
          <w:marTop w:val="0"/>
          <w:marBottom w:val="0"/>
          <w:divBdr>
            <w:top w:val="none" w:sz="0" w:space="0" w:color="auto"/>
            <w:left w:val="none" w:sz="0" w:space="0" w:color="auto"/>
            <w:bottom w:val="none" w:sz="0" w:space="0" w:color="auto"/>
            <w:right w:val="none" w:sz="0" w:space="0" w:color="auto"/>
          </w:divBdr>
        </w:div>
        <w:div w:id="2085369948">
          <w:marLeft w:val="547"/>
          <w:marRight w:val="0"/>
          <w:marTop w:val="0"/>
          <w:marBottom w:val="0"/>
          <w:divBdr>
            <w:top w:val="none" w:sz="0" w:space="0" w:color="auto"/>
            <w:left w:val="none" w:sz="0" w:space="0" w:color="auto"/>
            <w:bottom w:val="none" w:sz="0" w:space="0" w:color="auto"/>
            <w:right w:val="none" w:sz="0" w:space="0" w:color="auto"/>
          </w:divBdr>
        </w:div>
        <w:div w:id="528185728">
          <w:marLeft w:val="547"/>
          <w:marRight w:val="0"/>
          <w:marTop w:val="0"/>
          <w:marBottom w:val="0"/>
          <w:divBdr>
            <w:top w:val="none" w:sz="0" w:space="0" w:color="auto"/>
            <w:left w:val="none" w:sz="0" w:space="0" w:color="auto"/>
            <w:bottom w:val="none" w:sz="0" w:space="0" w:color="auto"/>
            <w:right w:val="none" w:sz="0" w:space="0" w:color="auto"/>
          </w:divBdr>
        </w:div>
        <w:div w:id="1763381401">
          <w:marLeft w:val="547"/>
          <w:marRight w:val="0"/>
          <w:marTop w:val="0"/>
          <w:marBottom w:val="0"/>
          <w:divBdr>
            <w:top w:val="none" w:sz="0" w:space="0" w:color="auto"/>
            <w:left w:val="none" w:sz="0" w:space="0" w:color="auto"/>
            <w:bottom w:val="none" w:sz="0" w:space="0" w:color="auto"/>
            <w:right w:val="none" w:sz="0" w:space="0" w:color="auto"/>
          </w:divBdr>
        </w:div>
        <w:div w:id="948703633">
          <w:marLeft w:val="547"/>
          <w:marRight w:val="0"/>
          <w:marTop w:val="0"/>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2421800">
      <w:bodyDiv w:val="1"/>
      <w:marLeft w:val="0"/>
      <w:marRight w:val="0"/>
      <w:marTop w:val="0"/>
      <w:marBottom w:val="0"/>
      <w:divBdr>
        <w:top w:val="none" w:sz="0" w:space="0" w:color="auto"/>
        <w:left w:val="none" w:sz="0" w:space="0" w:color="auto"/>
        <w:bottom w:val="none" w:sz="0" w:space="0" w:color="auto"/>
        <w:right w:val="none" w:sz="0" w:space="0" w:color="auto"/>
      </w:divBdr>
      <w:divsChild>
        <w:div w:id="1584297084">
          <w:marLeft w:val="547"/>
          <w:marRight w:val="0"/>
          <w:marTop w:val="72"/>
          <w:marBottom w:val="0"/>
          <w:divBdr>
            <w:top w:val="none" w:sz="0" w:space="0" w:color="auto"/>
            <w:left w:val="none" w:sz="0" w:space="0" w:color="auto"/>
            <w:bottom w:val="none" w:sz="0" w:space="0" w:color="auto"/>
            <w:right w:val="none" w:sz="0" w:space="0" w:color="auto"/>
          </w:divBdr>
        </w:div>
      </w:divsChild>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88626971">
      <w:bodyDiv w:val="1"/>
      <w:marLeft w:val="0"/>
      <w:marRight w:val="0"/>
      <w:marTop w:val="0"/>
      <w:marBottom w:val="0"/>
      <w:divBdr>
        <w:top w:val="none" w:sz="0" w:space="0" w:color="auto"/>
        <w:left w:val="none" w:sz="0" w:space="0" w:color="auto"/>
        <w:bottom w:val="none" w:sz="0" w:space="0" w:color="auto"/>
        <w:right w:val="none" w:sz="0" w:space="0" w:color="auto"/>
      </w:divBdr>
    </w:div>
    <w:div w:id="1989433627">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32564919">
      <w:bodyDiv w:val="1"/>
      <w:marLeft w:val="0"/>
      <w:marRight w:val="0"/>
      <w:marTop w:val="0"/>
      <w:marBottom w:val="0"/>
      <w:divBdr>
        <w:top w:val="none" w:sz="0" w:space="0" w:color="auto"/>
        <w:left w:val="none" w:sz="0" w:space="0" w:color="auto"/>
        <w:bottom w:val="none" w:sz="0" w:space="0" w:color="auto"/>
        <w:right w:val="none" w:sz="0" w:space="0" w:color="auto"/>
      </w:divBdr>
    </w:div>
    <w:div w:id="2065174687">
      <w:bodyDiv w:val="1"/>
      <w:marLeft w:val="0"/>
      <w:marRight w:val="0"/>
      <w:marTop w:val="0"/>
      <w:marBottom w:val="0"/>
      <w:divBdr>
        <w:top w:val="none" w:sz="0" w:space="0" w:color="auto"/>
        <w:left w:val="none" w:sz="0" w:space="0" w:color="auto"/>
        <w:bottom w:val="none" w:sz="0" w:space="0" w:color="auto"/>
        <w:right w:val="none" w:sz="0" w:space="0" w:color="auto"/>
      </w:divBdr>
      <w:divsChild>
        <w:div w:id="175850633">
          <w:marLeft w:val="533"/>
          <w:marRight w:val="0"/>
          <w:marTop w:val="120"/>
          <w:marBottom w:val="120"/>
          <w:divBdr>
            <w:top w:val="none" w:sz="0" w:space="0" w:color="auto"/>
            <w:left w:val="none" w:sz="0" w:space="0" w:color="auto"/>
            <w:bottom w:val="none" w:sz="0" w:space="0" w:color="auto"/>
            <w:right w:val="none" w:sz="0" w:space="0" w:color="auto"/>
          </w:divBdr>
        </w:div>
        <w:div w:id="949554107">
          <w:marLeft w:val="533"/>
          <w:marRight w:val="0"/>
          <w:marTop w:val="120"/>
          <w:marBottom w:val="120"/>
          <w:divBdr>
            <w:top w:val="none" w:sz="0" w:space="0" w:color="auto"/>
            <w:left w:val="none" w:sz="0" w:space="0" w:color="auto"/>
            <w:bottom w:val="none" w:sz="0" w:space="0" w:color="auto"/>
            <w:right w:val="none" w:sz="0" w:space="0" w:color="auto"/>
          </w:divBdr>
        </w:div>
        <w:div w:id="541092399">
          <w:marLeft w:val="533"/>
          <w:marRight w:val="0"/>
          <w:marTop w:val="120"/>
          <w:marBottom w:val="120"/>
          <w:divBdr>
            <w:top w:val="none" w:sz="0" w:space="0" w:color="auto"/>
            <w:left w:val="none" w:sz="0" w:space="0" w:color="auto"/>
            <w:bottom w:val="none" w:sz="0" w:space="0" w:color="auto"/>
            <w:right w:val="none" w:sz="0" w:space="0" w:color="auto"/>
          </w:divBdr>
        </w:div>
        <w:div w:id="1889367177">
          <w:marLeft w:val="533"/>
          <w:marRight w:val="0"/>
          <w:marTop w:val="120"/>
          <w:marBottom w:val="120"/>
          <w:divBdr>
            <w:top w:val="none" w:sz="0" w:space="0" w:color="auto"/>
            <w:left w:val="none" w:sz="0" w:space="0" w:color="auto"/>
            <w:bottom w:val="none" w:sz="0" w:space="0" w:color="auto"/>
            <w:right w:val="none" w:sz="0" w:space="0" w:color="auto"/>
          </w:divBdr>
        </w:div>
        <w:div w:id="1766997140">
          <w:marLeft w:val="533"/>
          <w:marRight w:val="0"/>
          <w:marTop w:val="120"/>
          <w:marBottom w:val="120"/>
          <w:divBdr>
            <w:top w:val="none" w:sz="0" w:space="0" w:color="auto"/>
            <w:left w:val="none" w:sz="0" w:space="0" w:color="auto"/>
            <w:bottom w:val="none" w:sz="0" w:space="0" w:color="auto"/>
            <w:right w:val="none" w:sz="0" w:space="0" w:color="auto"/>
          </w:divBdr>
        </w:div>
        <w:div w:id="134801654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9EDA-A813-4BFC-85D0-83C69873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6168</Words>
  <Characters>35163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lsetle</dc:creator>
  <cp:keywords/>
  <dc:description/>
  <cp:lastModifiedBy>Jenny Singh</cp:lastModifiedBy>
  <cp:revision>2</cp:revision>
  <cp:lastPrinted>2015-09-14T13:14:00Z</cp:lastPrinted>
  <dcterms:created xsi:type="dcterms:W3CDTF">2022-06-20T07:43:00Z</dcterms:created>
  <dcterms:modified xsi:type="dcterms:W3CDTF">2022-06-20T07:43:00Z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