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BAFA" w14:textId="5303F76F" w:rsidR="00034184" w:rsidRDefault="00034184" w:rsidP="00374995">
      <w:pPr>
        <w:jc w:val="center"/>
        <w:rPr>
          <w:rFonts w:ascii="Arial Narrow" w:hAnsi="Arial Narrow"/>
          <w:b/>
          <w:bCs/>
        </w:rPr>
      </w:pPr>
    </w:p>
    <w:p w14:paraId="13501E62" w14:textId="48046EA5" w:rsidR="00034184" w:rsidRPr="00034184" w:rsidRDefault="00034184" w:rsidP="00034184">
      <w:pPr>
        <w:rPr>
          <w:rFonts w:ascii="Arial" w:eastAsia="Times New Roman" w:hAnsi="Arial" w:cs="Times New Roman"/>
          <w:b/>
          <w:bCs/>
          <w:sz w:val="20"/>
          <w:szCs w:val="24"/>
          <w:lang w:val="en-GB"/>
        </w:rPr>
      </w:pPr>
      <w:r w:rsidRPr="00034184">
        <w:rPr>
          <w:rFonts w:ascii="Arial" w:eastAsia="Times New Roman" w:hAnsi="Arial" w:cs="Times New Roman"/>
          <w:b/>
          <w:bCs/>
          <w:sz w:val="20"/>
          <w:szCs w:val="24"/>
          <w:lang w:val="en-GB"/>
        </w:rPr>
        <w:t>No.213 - 2022: Fourth Session, Sixth Legislature</w:t>
      </w:r>
    </w:p>
    <w:p w14:paraId="03AA5751" w14:textId="77777777" w:rsidR="00034184" w:rsidRPr="00034184" w:rsidRDefault="00034184" w:rsidP="00034184">
      <w:pPr>
        <w:spacing w:line="240" w:lineRule="auto"/>
        <w:rPr>
          <w:rFonts w:ascii="Arial" w:eastAsia="Times New Roman" w:hAnsi="Arial" w:cs="Times New Roman"/>
          <w:sz w:val="20"/>
          <w:szCs w:val="24"/>
          <w:lang w:val="en-GB"/>
        </w:rPr>
      </w:pPr>
    </w:p>
    <w:p w14:paraId="38E47D5E" w14:textId="77777777" w:rsidR="00034184" w:rsidRPr="00034184" w:rsidRDefault="00034184" w:rsidP="00034184">
      <w:pPr>
        <w:spacing w:line="240" w:lineRule="auto"/>
        <w:rPr>
          <w:rFonts w:ascii="Arial" w:eastAsia="Times New Roman" w:hAnsi="Arial" w:cs="Times New Roman"/>
          <w:sz w:val="20"/>
          <w:szCs w:val="24"/>
          <w:lang w:val="en-GB"/>
        </w:rPr>
      </w:pPr>
    </w:p>
    <w:p w14:paraId="30AA48CE" w14:textId="77777777" w:rsidR="00034184" w:rsidRPr="00034184" w:rsidRDefault="00034184" w:rsidP="00034184">
      <w:pPr>
        <w:spacing w:line="240" w:lineRule="auto"/>
        <w:rPr>
          <w:rFonts w:ascii="Arial" w:eastAsia="Times New Roman" w:hAnsi="Arial" w:cs="Times New Roman"/>
          <w:sz w:val="20"/>
          <w:szCs w:val="24"/>
          <w:lang w:val="en-GB"/>
        </w:rPr>
      </w:pPr>
    </w:p>
    <w:p w14:paraId="0FB7CF85" w14:textId="77777777" w:rsidR="00034184" w:rsidRPr="00034184" w:rsidRDefault="00034184" w:rsidP="00034184">
      <w:pPr>
        <w:spacing w:line="240" w:lineRule="auto"/>
        <w:rPr>
          <w:rFonts w:ascii="Arial" w:eastAsia="Times New Roman" w:hAnsi="Arial" w:cs="Times New Roman"/>
          <w:sz w:val="20"/>
          <w:szCs w:val="24"/>
          <w:lang w:val="en-GB"/>
        </w:rPr>
      </w:pPr>
    </w:p>
    <w:p w14:paraId="19A0DC23" w14:textId="77777777" w:rsidR="00034184" w:rsidRPr="00034184" w:rsidRDefault="00034184" w:rsidP="00034184">
      <w:pPr>
        <w:spacing w:line="240" w:lineRule="auto"/>
        <w:jc w:val="center"/>
        <w:rPr>
          <w:rFonts w:ascii="Times New Roman" w:eastAsia="Times New Roman" w:hAnsi="Times New Roman" w:cs="Times New Roman"/>
          <w:sz w:val="28"/>
          <w:szCs w:val="24"/>
          <w:lang w:val="en-GB"/>
        </w:rPr>
      </w:pPr>
      <w:r w:rsidRPr="00034184">
        <w:rPr>
          <w:rFonts w:ascii="Times New Roman" w:eastAsia="Times New Roman" w:hAnsi="Times New Roman" w:cs="Times New Roman"/>
          <w:b/>
          <w:sz w:val="33"/>
          <w:szCs w:val="24"/>
          <w:lang w:val="en-GB"/>
        </w:rPr>
        <w:t>GAUTENG PROVINCIAL LEGISLATURE</w:t>
      </w:r>
    </w:p>
    <w:p w14:paraId="4B29F4BE" w14:textId="77777777" w:rsidR="00034184" w:rsidRPr="00034184" w:rsidRDefault="00034184" w:rsidP="00034184">
      <w:pPr>
        <w:spacing w:line="240" w:lineRule="auto"/>
        <w:jc w:val="center"/>
        <w:rPr>
          <w:rFonts w:ascii="Times New Roman" w:eastAsia="Times New Roman" w:hAnsi="Times New Roman" w:cs="Times New Roman"/>
          <w:sz w:val="28"/>
          <w:szCs w:val="24"/>
          <w:lang w:val="en-GB"/>
        </w:rPr>
      </w:pPr>
    </w:p>
    <w:p w14:paraId="239F088C" w14:textId="77777777" w:rsidR="00034184" w:rsidRPr="00034184" w:rsidRDefault="00034184" w:rsidP="00034184">
      <w:pPr>
        <w:spacing w:line="240" w:lineRule="auto"/>
        <w:jc w:val="center"/>
        <w:rPr>
          <w:rFonts w:ascii="Times New Roman" w:eastAsia="Times New Roman" w:hAnsi="Times New Roman" w:cs="Times New Roman"/>
          <w:sz w:val="28"/>
          <w:szCs w:val="24"/>
          <w:lang w:val="en-GB"/>
        </w:rPr>
      </w:pPr>
    </w:p>
    <w:p w14:paraId="2717AF70" w14:textId="77777777" w:rsidR="00034184" w:rsidRPr="00034184" w:rsidRDefault="00034184" w:rsidP="00034184">
      <w:pPr>
        <w:spacing w:line="240" w:lineRule="auto"/>
        <w:jc w:val="center"/>
        <w:rPr>
          <w:rFonts w:ascii="Times New Roman" w:eastAsia="Times New Roman" w:hAnsi="Times New Roman" w:cs="Times New Roman"/>
          <w:b/>
          <w:spacing w:val="-20"/>
          <w:sz w:val="24"/>
          <w:szCs w:val="24"/>
          <w:lang w:val="en-GB"/>
        </w:rPr>
      </w:pPr>
      <w:r w:rsidRPr="00034184">
        <w:rPr>
          <w:rFonts w:ascii="Times New Roman" w:eastAsia="Times New Roman" w:hAnsi="Times New Roman" w:cs="Times New Roman"/>
          <w:b/>
          <w:spacing w:val="-20"/>
          <w:sz w:val="24"/>
          <w:szCs w:val="24"/>
          <w:lang w:val="en-GB"/>
        </w:rPr>
        <w:t xml:space="preserve">======================== </w:t>
      </w:r>
    </w:p>
    <w:p w14:paraId="52B22797" w14:textId="77777777" w:rsidR="00034184" w:rsidRPr="00034184" w:rsidRDefault="00034184" w:rsidP="00034184">
      <w:pPr>
        <w:spacing w:line="240" w:lineRule="auto"/>
        <w:jc w:val="center"/>
        <w:rPr>
          <w:rFonts w:ascii="Times New Roman" w:eastAsia="Times New Roman" w:hAnsi="Times New Roman" w:cs="Times New Roman"/>
          <w:sz w:val="28"/>
          <w:szCs w:val="24"/>
          <w:lang w:val="en-GB"/>
        </w:rPr>
      </w:pPr>
    </w:p>
    <w:p w14:paraId="17A5A5C6" w14:textId="77777777" w:rsidR="00034184" w:rsidRPr="00034184" w:rsidRDefault="00034184" w:rsidP="00034184">
      <w:pPr>
        <w:spacing w:line="240" w:lineRule="auto"/>
        <w:jc w:val="center"/>
        <w:rPr>
          <w:rFonts w:ascii="Times New Roman" w:eastAsia="Times New Roman" w:hAnsi="Times New Roman" w:cs="Times New Roman"/>
          <w:b/>
          <w:sz w:val="56"/>
          <w:szCs w:val="24"/>
          <w:lang w:val="en-GB"/>
        </w:rPr>
      </w:pPr>
      <w:r w:rsidRPr="00034184">
        <w:rPr>
          <w:rFonts w:ascii="Times New Roman" w:eastAsia="Times New Roman" w:hAnsi="Times New Roman" w:cs="Times New Roman"/>
          <w:b/>
          <w:sz w:val="56"/>
          <w:szCs w:val="24"/>
          <w:lang w:val="en-GB"/>
        </w:rPr>
        <w:t>ANNOUNCEMENTS,</w:t>
      </w:r>
    </w:p>
    <w:p w14:paraId="48D54F35" w14:textId="77777777" w:rsidR="00034184" w:rsidRPr="00034184" w:rsidRDefault="00034184" w:rsidP="00034184">
      <w:pPr>
        <w:spacing w:line="240" w:lineRule="auto"/>
        <w:jc w:val="center"/>
        <w:rPr>
          <w:rFonts w:ascii="Times New Roman" w:eastAsia="Times New Roman" w:hAnsi="Times New Roman" w:cs="Times New Roman"/>
          <w:b/>
          <w:sz w:val="56"/>
          <w:szCs w:val="24"/>
          <w:lang w:val="en-GB"/>
        </w:rPr>
      </w:pPr>
      <w:r w:rsidRPr="00034184">
        <w:rPr>
          <w:rFonts w:ascii="Times New Roman" w:eastAsia="Times New Roman" w:hAnsi="Times New Roman" w:cs="Times New Roman"/>
          <w:b/>
          <w:sz w:val="56"/>
          <w:szCs w:val="24"/>
          <w:lang w:val="en-GB"/>
        </w:rPr>
        <w:t>TABLINGS AND</w:t>
      </w:r>
    </w:p>
    <w:p w14:paraId="3A4C7986" w14:textId="77777777" w:rsidR="00034184" w:rsidRPr="00034184" w:rsidRDefault="00034184" w:rsidP="00034184">
      <w:pPr>
        <w:spacing w:line="240" w:lineRule="auto"/>
        <w:jc w:val="center"/>
        <w:rPr>
          <w:rFonts w:ascii="Times New Roman" w:eastAsia="Times New Roman" w:hAnsi="Times New Roman" w:cs="Times New Roman"/>
          <w:b/>
          <w:sz w:val="56"/>
          <w:szCs w:val="24"/>
          <w:lang w:val="en-GB"/>
        </w:rPr>
      </w:pPr>
      <w:r w:rsidRPr="00034184">
        <w:rPr>
          <w:rFonts w:ascii="Times New Roman" w:eastAsia="Times New Roman" w:hAnsi="Times New Roman" w:cs="Times New Roman"/>
          <w:b/>
          <w:sz w:val="56"/>
          <w:szCs w:val="24"/>
          <w:lang w:val="en-GB"/>
        </w:rPr>
        <w:t>COMMITTEE REPORTS</w:t>
      </w:r>
    </w:p>
    <w:p w14:paraId="22DED848" w14:textId="77777777" w:rsidR="00034184" w:rsidRPr="00034184" w:rsidRDefault="00034184" w:rsidP="00034184">
      <w:pPr>
        <w:spacing w:line="240" w:lineRule="auto"/>
        <w:jc w:val="center"/>
        <w:rPr>
          <w:rFonts w:ascii="Times New Roman" w:eastAsia="Times New Roman" w:hAnsi="Times New Roman" w:cs="Times New Roman"/>
          <w:b/>
          <w:spacing w:val="-20"/>
          <w:sz w:val="24"/>
          <w:szCs w:val="24"/>
          <w:lang w:val="en-GB"/>
        </w:rPr>
      </w:pPr>
    </w:p>
    <w:p w14:paraId="5A1C0A63" w14:textId="77777777" w:rsidR="00034184" w:rsidRPr="00034184" w:rsidRDefault="00034184" w:rsidP="00034184">
      <w:pPr>
        <w:spacing w:line="240" w:lineRule="auto"/>
        <w:jc w:val="center"/>
        <w:rPr>
          <w:rFonts w:ascii="Times New Roman" w:eastAsia="Times New Roman" w:hAnsi="Times New Roman" w:cs="Times New Roman"/>
          <w:b/>
          <w:spacing w:val="-20"/>
          <w:sz w:val="24"/>
          <w:szCs w:val="24"/>
          <w:lang w:val="en-GB"/>
        </w:rPr>
      </w:pPr>
      <w:r w:rsidRPr="00034184">
        <w:rPr>
          <w:rFonts w:ascii="Times New Roman" w:eastAsia="Times New Roman" w:hAnsi="Times New Roman" w:cs="Times New Roman"/>
          <w:b/>
          <w:spacing w:val="-20"/>
          <w:sz w:val="24"/>
          <w:szCs w:val="24"/>
          <w:lang w:val="en-GB"/>
        </w:rPr>
        <w:t>========================</w:t>
      </w:r>
    </w:p>
    <w:p w14:paraId="00C755B4" w14:textId="77777777" w:rsidR="00034184" w:rsidRPr="00034184" w:rsidRDefault="00034184" w:rsidP="00034184">
      <w:pPr>
        <w:spacing w:line="240" w:lineRule="auto"/>
        <w:jc w:val="center"/>
        <w:rPr>
          <w:rFonts w:ascii="Arial" w:eastAsia="Times New Roman" w:hAnsi="Arial" w:cs="Times New Roman"/>
          <w:sz w:val="20"/>
          <w:szCs w:val="24"/>
          <w:lang w:val="en-GB"/>
        </w:rPr>
      </w:pPr>
    </w:p>
    <w:p w14:paraId="7A2F96C8" w14:textId="77777777" w:rsidR="00034184" w:rsidRPr="00034184" w:rsidRDefault="00034184" w:rsidP="00034184">
      <w:pPr>
        <w:spacing w:line="240" w:lineRule="auto"/>
        <w:jc w:val="center"/>
        <w:rPr>
          <w:rFonts w:ascii="Arial" w:eastAsia="Times New Roman" w:hAnsi="Arial" w:cs="Times New Roman"/>
          <w:sz w:val="20"/>
          <w:szCs w:val="24"/>
          <w:lang w:val="en-GB"/>
        </w:rPr>
      </w:pPr>
      <w:r w:rsidRPr="00034184">
        <w:rPr>
          <w:rFonts w:ascii="Arial" w:eastAsia="Times New Roman" w:hAnsi="Arial" w:cs="Times New Roman"/>
          <w:sz w:val="20"/>
          <w:szCs w:val="24"/>
          <w:lang w:val="en-GB"/>
        </w:rPr>
        <w:t>Monday, 20 June 2022</w:t>
      </w:r>
    </w:p>
    <w:p w14:paraId="0EB85FEF" w14:textId="77777777" w:rsidR="00034184" w:rsidRPr="00034184" w:rsidRDefault="00034184" w:rsidP="00034184">
      <w:pPr>
        <w:spacing w:line="240" w:lineRule="auto"/>
        <w:jc w:val="center"/>
        <w:rPr>
          <w:rFonts w:ascii="Arial" w:eastAsia="Times New Roman" w:hAnsi="Arial" w:cs="Times New Roman"/>
          <w:sz w:val="20"/>
          <w:szCs w:val="24"/>
          <w:lang w:val="en-GB"/>
        </w:rPr>
      </w:pPr>
    </w:p>
    <w:p w14:paraId="52451AC8" w14:textId="77777777" w:rsidR="00034184" w:rsidRPr="00034184" w:rsidRDefault="00034184" w:rsidP="00034184">
      <w:pPr>
        <w:tabs>
          <w:tab w:val="left" w:pos="2127"/>
        </w:tabs>
        <w:spacing w:line="240" w:lineRule="auto"/>
        <w:jc w:val="center"/>
        <w:rPr>
          <w:rFonts w:ascii="Arial" w:eastAsia="Times New Roman" w:hAnsi="Arial" w:cs="Times New Roman"/>
          <w:sz w:val="20"/>
          <w:szCs w:val="24"/>
          <w:lang w:val="en-GB"/>
        </w:rPr>
      </w:pPr>
    </w:p>
    <w:p w14:paraId="40214505" w14:textId="77777777" w:rsidR="00034184" w:rsidRPr="00034184" w:rsidRDefault="00034184" w:rsidP="00034184">
      <w:pPr>
        <w:keepNext/>
        <w:widowControl w:val="0"/>
        <w:tabs>
          <w:tab w:val="center" w:pos="4489"/>
        </w:tabs>
        <w:spacing w:line="240" w:lineRule="auto"/>
        <w:jc w:val="left"/>
        <w:outlineLvl w:val="0"/>
        <w:rPr>
          <w:rFonts w:ascii="Arial" w:eastAsia="Times New Roman" w:hAnsi="Arial" w:cs="Arial"/>
          <w:b/>
          <w:snapToGrid w:val="0"/>
          <w:sz w:val="24"/>
          <w:szCs w:val="24"/>
          <w:lang w:val="en-GB"/>
        </w:rPr>
      </w:pPr>
      <w:r w:rsidRPr="00034184">
        <w:rPr>
          <w:rFonts w:ascii="Arial" w:eastAsia="Times New Roman" w:hAnsi="Arial" w:cs="Arial"/>
          <w:b/>
          <w:snapToGrid w:val="0"/>
          <w:sz w:val="24"/>
          <w:szCs w:val="24"/>
          <w:lang w:val="en-GB"/>
        </w:rPr>
        <w:t>ANNOUNCEMENTS</w:t>
      </w:r>
    </w:p>
    <w:p w14:paraId="5761ACE7" w14:textId="77777777" w:rsidR="00034184" w:rsidRPr="00034184" w:rsidRDefault="00034184" w:rsidP="00034184">
      <w:pPr>
        <w:spacing w:line="240" w:lineRule="auto"/>
        <w:ind w:firstLine="720"/>
        <w:jc w:val="left"/>
        <w:rPr>
          <w:rFonts w:ascii="Arial" w:eastAsia="Times New Roman" w:hAnsi="Arial" w:cs="Arial"/>
          <w:bCs/>
          <w:i/>
          <w:sz w:val="20"/>
          <w:szCs w:val="24"/>
          <w:lang w:val="en-GB"/>
        </w:rPr>
      </w:pPr>
      <w:r w:rsidRPr="00034184">
        <w:rPr>
          <w:rFonts w:ascii="Arial" w:eastAsia="Times New Roman" w:hAnsi="Arial" w:cs="Arial"/>
          <w:bCs/>
          <w:sz w:val="20"/>
          <w:szCs w:val="20"/>
          <w:lang w:val="en-GB"/>
        </w:rPr>
        <w:t>none</w:t>
      </w:r>
    </w:p>
    <w:p w14:paraId="5932FCD2" w14:textId="77777777" w:rsidR="00034184" w:rsidRPr="00034184" w:rsidRDefault="00034184" w:rsidP="00034184">
      <w:pPr>
        <w:keepNext/>
        <w:widowControl w:val="0"/>
        <w:tabs>
          <w:tab w:val="center" w:pos="4489"/>
        </w:tabs>
        <w:spacing w:line="240" w:lineRule="auto"/>
        <w:jc w:val="left"/>
        <w:outlineLvl w:val="0"/>
        <w:rPr>
          <w:rFonts w:ascii="Arial" w:eastAsia="Times New Roman" w:hAnsi="Arial" w:cs="Times New Roman"/>
          <w:b/>
          <w:snapToGrid w:val="0"/>
          <w:sz w:val="24"/>
          <w:szCs w:val="20"/>
        </w:rPr>
      </w:pPr>
    </w:p>
    <w:p w14:paraId="43D236F7" w14:textId="77777777" w:rsidR="00034184" w:rsidRPr="00034184" w:rsidRDefault="00034184" w:rsidP="00034184">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r w:rsidRPr="00034184">
        <w:rPr>
          <w:rFonts w:ascii="Arial" w:eastAsia="Times New Roman" w:hAnsi="Arial" w:cs="Times New Roman"/>
          <w:b/>
          <w:snapToGrid w:val="0"/>
          <w:sz w:val="24"/>
          <w:szCs w:val="20"/>
          <w:lang w:val="en-GB"/>
        </w:rPr>
        <w:t>TABLINGS</w:t>
      </w:r>
    </w:p>
    <w:p w14:paraId="729376EC" w14:textId="77777777" w:rsidR="00034184" w:rsidRPr="00034184" w:rsidRDefault="00034184" w:rsidP="00034184">
      <w:pPr>
        <w:spacing w:line="240" w:lineRule="auto"/>
        <w:ind w:firstLine="720"/>
        <w:jc w:val="left"/>
        <w:rPr>
          <w:rFonts w:ascii="Arial" w:eastAsia="Times New Roman" w:hAnsi="Arial" w:cs="Arial"/>
          <w:sz w:val="20"/>
          <w:szCs w:val="20"/>
          <w:lang w:val="en-GB"/>
        </w:rPr>
      </w:pPr>
      <w:r w:rsidRPr="00034184">
        <w:rPr>
          <w:rFonts w:ascii="Arial" w:eastAsia="Times New Roman" w:hAnsi="Arial" w:cs="Arial"/>
          <w:bCs/>
          <w:sz w:val="20"/>
          <w:szCs w:val="20"/>
          <w:lang w:val="en-GB"/>
        </w:rPr>
        <w:t>none</w:t>
      </w:r>
    </w:p>
    <w:p w14:paraId="1E4629BB" w14:textId="77777777" w:rsidR="00034184" w:rsidRPr="00034184" w:rsidRDefault="00034184" w:rsidP="00034184">
      <w:pPr>
        <w:keepNext/>
        <w:widowControl w:val="0"/>
        <w:spacing w:line="240" w:lineRule="auto"/>
        <w:outlineLvl w:val="6"/>
        <w:rPr>
          <w:rFonts w:ascii="Arial" w:eastAsia="Times New Roman" w:hAnsi="Arial" w:cs="Arial"/>
          <w:b/>
          <w:snapToGrid w:val="0"/>
          <w:sz w:val="24"/>
          <w:szCs w:val="20"/>
        </w:rPr>
      </w:pPr>
    </w:p>
    <w:p w14:paraId="307348E2" w14:textId="77777777" w:rsidR="00034184" w:rsidRPr="00034184" w:rsidRDefault="00034184" w:rsidP="00034184">
      <w:pPr>
        <w:keepNext/>
        <w:widowControl w:val="0"/>
        <w:spacing w:line="240" w:lineRule="auto"/>
        <w:outlineLvl w:val="6"/>
        <w:rPr>
          <w:rFonts w:ascii="Arial" w:eastAsia="Times New Roman" w:hAnsi="Arial" w:cs="Arial"/>
          <w:b/>
          <w:snapToGrid w:val="0"/>
          <w:sz w:val="24"/>
          <w:szCs w:val="20"/>
        </w:rPr>
      </w:pPr>
      <w:bookmarkStart w:id="0" w:name="_GoBack"/>
      <w:bookmarkEnd w:id="0"/>
      <w:r w:rsidRPr="00034184">
        <w:rPr>
          <w:rFonts w:ascii="Arial" w:eastAsia="Times New Roman" w:hAnsi="Arial" w:cs="Arial"/>
          <w:b/>
          <w:snapToGrid w:val="0"/>
          <w:sz w:val="24"/>
          <w:szCs w:val="20"/>
        </w:rPr>
        <w:t>COMMITTEE REPORTS</w:t>
      </w:r>
    </w:p>
    <w:p w14:paraId="51BFC604" w14:textId="77777777" w:rsidR="00034184" w:rsidRPr="00034184" w:rsidRDefault="00034184" w:rsidP="00034184">
      <w:pPr>
        <w:keepNext/>
        <w:widowControl w:val="0"/>
        <w:spacing w:line="240" w:lineRule="auto"/>
        <w:ind w:left="720" w:hanging="720"/>
        <w:outlineLvl w:val="6"/>
        <w:rPr>
          <w:rFonts w:ascii="Arial" w:eastAsia="Times New Roman" w:hAnsi="Arial" w:cs="Arial"/>
          <w:b/>
          <w:sz w:val="20"/>
          <w:szCs w:val="20"/>
        </w:rPr>
      </w:pPr>
      <w:r w:rsidRPr="00034184">
        <w:rPr>
          <w:rFonts w:ascii="Arial" w:eastAsia="Times New Roman" w:hAnsi="Arial" w:cs="Arial"/>
          <w:b/>
          <w:snapToGrid w:val="0"/>
          <w:sz w:val="20"/>
          <w:szCs w:val="20"/>
        </w:rPr>
        <w:t>1.</w:t>
      </w:r>
      <w:r w:rsidRPr="00034184">
        <w:rPr>
          <w:rFonts w:ascii="Arial" w:eastAsia="Times New Roman" w:hAnsi="Arial" w:cs="Arial"/>
          <w:b/>
          <w:snapToGrid w:val="0"/>
          <w:sz w:val="20"/>
          <w:szCs w:val="20"/>
        </w:rPr>
        <w:tab/>
      </w:r>
      <w:r w:rsidRPr="00034184">
        <w:rPr>
          <w:rFonts w:ascii="Arial" w:eastAsia="Times New Roman" w:hAnsi="Arial" w:cs="Arial"/>
          <w:b/>
          <w:sz w:val="20"/>
          <w:szCs w:val="20"/>
        </w:rPr>
        <w:t>The Chairperson of the Co-operative Governance, Traditional Affairs and Human Settlements Portfolio Committee, Hon. K P Diale-Tlabela, tabled the Committee’s Oversight Report on the Fourth Quarterly Performance Report of the Department of Co-operative Governance and Traditional Affairs for the 2021/2022 financial year, as attached:</w:t>
      </w:r>
    </w:p>
    <w:p w14:paraId="451C5EF8" w14:textId="77777777" w:rsidR="00034184" w:rsidRPr="00034184" w:rsidRDefault="00034184" w:rsidP="00034184">
      <w:pPr>
        <w:spacing w:line="240" w:lineRule="auto"/>
        <w:jc w:val="left"/>
        <w:rPr>
          <w:rFonts w:ascii="Times New Roman" w:eastAsia="Times New Roman" w:hAnsi="Times New Roman" w:cs="Times New Roman"/>
          <w:sz w:val="24"/>
          <w:szCs w:val="24"/>
        </w:rPr>
      </w:pPr>
    </w:p>
    <w:p w14:paraId="5A384938" w14:textId="6C742FED" w:rsidR="00034184" w:rsidRDefault="00034184">
      <w:pPr>
        <w:spacing w:after="200" w:line="276" w:lineRule="auto"/>
        <w:jc w:val="left"/>
        <w:rPr>
          <w:rFonts w:ascii="Arial Narrow" w:hAnsi="Arial Narrow"/>
          <w:b/>
          <w:bCs/>
        </w:rPr>
      </w:pPr>
    </w:p>
    <w:p w14:paraId="41FAF133" w14:textId="77777777" w:rsidR="00374995" w:rsidRPr="00D74068" w:rsidRDefault="00374995" w:rsidP="00374995">
      <w:pPr>
        <w:jc w:val="center"/>
        <w:rPr>
          <w:rFonts w:ascii="Arial Narrow" w:hAnsi="Arial Narrow"/>
          <w:b/>
          <w:bCs/>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466A113E" w:rsidR="00EF7123" w:rsidRPr="00615AF4" w:rsidRDefault="004E2C21" w:rsidP="00AF0E97">
      <w:pPr>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 xml:space="preserve">Committee on </w:t>
      </w:r>
      <w:r w:rsidR="0093042D">
        <w:rPr>
          <w:rFonts w:ascii="Arial Narrow" w:hAnsi="Arial Narrow"/>
          <w:b/>
          <w:bCs/>
          <w:sz w:val="32"/>
          <w:szCs w:val="32"/>
        </w:rPr>
        <w:t xml:space="preserve">CoGTA and Human Settlements </w:t>
      </w:r>
      <w:r w:rsidR="006310EC">
        <w:rPr>
          <w:rFonts w:ascii="Arial Narrow" w:hAnsi="Arial Narrow"/>
          <w:b/>
          <w:bCs/>
          <w:sz w:val="32"/>
          <w:szCs w:val="32"/>
        </w:rPr>
        <w:t>Oversight</w:t>
      </w:r>
      <w:r w:rsidR="00EF7123" w:rsidRPr="00D74068">
        <w:rPr>
          <w:rFonts w:ascii="Arial Narrow" w:hAnsi="Arial Narrow"/>
          <w:b/>
          <w:bCs/>
          <w:sz w:val="32"/>
          <w:szCs w:val="32"/>
        </w:rPr>
        <w:t xml:space="preserve"> </w:t>
      </w:r>
      <w:r w:rsidR="00EF7123" w:rsidRPr="006E6614">
        <w:rPr>
          <w:rFonts w:ascii="Arial Narrow" w:hAnsi="Arial Narrow"/>
          <w:b/>
          <w:bCs/>
          <w:sz w:val="32"/>
          <w:szCs w:val="32"/>
        </w:rPr>
        <w:t>Report on the</w:t>
      </w:r>
      <w:r w:rsidR="000F7DFB" w:rsidRPr="006E6614">
        <w:rPr>
          <w:rFonts w:ascii="Arial Narrow" w:hAnsi="Arial Narrow"/>
          <w:b/>
          <w:bCs/>
          <w:sz w:val="32"/>
          <w:szCs w:val="32"/>
        </w:rPr>
        <w:t xml:space="preserve"> </w:t>
      </w:r>
      <w:r w:rsidR="0093042D" w:rsidRPr="006E6614">
        <w:rPr>
          <w:rFonts w:ascii="Arial Narrow" w:hAnsi="Arial Narrow"/>
          <w:b/>
          <w:bCs/>
          <w:sz w:val="32"/>
          <w:szCs w:val="32"/>
        </w:rPr>
        <w:t>4</w:t>
      </w:r>
      <w:r w:rsidR="0093042D" w:rsidRPr="006E6614">
        <w:rPr>
          <w:rFonts w:ascii="Arial Narrow" w:hAnsi="Arial Narrow"/>
          <w:b/>
          <w:bCs/>
          <w:sz w:val="32"/>
          <w:szCs w:val="32"/>
          <w:vertAlign w:val="superscript"/>
        </w:rPr>
        <w:t>th</w:t>
      </w:r>
      <w:r w:rsidR="0093042D" w:rsidRPr="006E6614">
        <w:rPr>
          <w:rFonts w:ascii="Arial Narrow" w:hAnsi="Arial Narrow"/>
          <w:b/>
          <w:bCs/>
          <w:sz w:val="32"/>
          <w:szCs w:val="32"/>
        </w:rPr>
        <w:t xml:space="preserve"> </w:t>
      </w:r>
      <w:r w:rsidR="00EF7123" w:rsidRPr="006E6614">
        <w:rPr>
          <w:rFonts w:ascii="Arial Narrow" w:hAnsi="Arial Narrow"/>
          <w:b/>
          <w:bCs/>
          <w:sz w:val="32"/>
          <w:szCs w:val="32"/>
        </w:rPr>
        <w:t xml:space="preserve">Quarterly Report of the </w:t>
      </w:r>
      <w:r w:rsidR="000F7DFB" w:rsidRPr="006E6614">
        <w:rPr>
          <w:rFonts w:ascii="Arial Narrow" w:hAnsi="Arial Narrow"/>
          <w:b/>
          <w:bCs/>
          <w:sz w:val="32"/>
          <w:szCs w:val="32"/>
        </w:rPr>
        <w:t xml:space="preserve">Gauteng Department of </w:t>
      </w:r>
      <w:r w:rsidR="009041C3" w:rsidRPr="006E6614">
        <w:rPr>
          <w:rFonts w:ascii="Arial Narrow" w:hAnsi="Arial Narrow"/>
          <w:b/>
          <w:bCs/>
          <w:sz w:val="32"/>
          <w:szCs w:val="32"/>
        </w:rPr>
        <w:t>CoGTA</w:t>
      </w:r>
      <w:r w:rsidR="003C42A4" w:rsidRPr="006E6614">
        <w:rPr>
          <w:rFonts w:ascii="Arial Narrow" w:hAnsi="Arial Narrow"/>
          <w:b/>
          <w:bCs/>
          <w:sz w:val="32"/>
          <w:szCs w:val="32"/>
        </w:rPr>
        <w:t xml:space="preserve"> </w:t>
      </w:r>
      <w:r w:rsidR="00EF7123" w:rsidRPr="006E6614">
        <w:rPr>
          <w:rFonts w:ascii="Arial Narrow" w:hAnsi="Arial Narrow"/>
          <w:b/>
          <w:bCs/>
          <w:sz w:val="32"/>
          <w:szCs w:val="32"/>
        </w:rPr>
        <w:t xml:space="preserve">for the </w:t>
      </w:r>
      <w:r w:rsidR="00C6718D" w:rsidRPr="006E6614">
        <w:rPr>
          <w:rFonts w:ascii="Arial Narrow" w:hAnsi="Arial Narrow"/>
          <w:b/>
          <w:bCs/>
          <w:sz w:val="32"/>
          <w:szCs w:val="32"/>
        </w:rPr>
        <w:t>20</w:t>
      </w:r>
      <w:r w:rsidR="000F7DFB" w:rsidRPr="006E6614">
        <w:rPr>
          <w:rFonts w:ascii="Arial Narrow" w:hAnsi="Arial Narrow"/>
          <w:b/>
          <w:bCs/>
          <w:sz w:val="32"/>
          <w:szCs w:val="32"/>
        </w:rPr>
        <w:t>2</w:t>
      </w:r>
      <w:r w:rsidR="0097616E" w:rsidRPr="006E6614">
        <w:rPr>
          <w:rFonts w:ascii="Arial Narrow" w:hAnsi="Arial Narrow"/>
          <w:b/>
          <w:bCs/>
          <w:sz w:val="32"/>
          <w:szCs w:val="32"/>
        </w:rPr>
        <w:t>1</w:t>
      </w:r>
      <w:r w:rsidR="000F7DFB" w:rsidRPr="006E6614">
        <w:rPr>
          <w:rFonts w:ascii="Arial Narrow" w:hAnsi="Arial Narrow"/>
          <w:b/>
          <w:bCs/>
          <w:sz w:val="32"/>
          <w:szCs w:val="32"/>
        </w:rPr>
        <w:t>/</w:t>
      </w:r>
      <w:r w:rsidR="00C6718D" w:rsidRPr="006E6614">
        <w:rPr>
          <w:rFonts w:ascii="Arial Narrow" w:hAnsi="Arial Narrow"/>
          <w:b/>
          <w:bCs/>
          <w:sz w:val="32"/>
          <w:szCs w:val="32"/>
        </w:rPr>
        <w:t>2</w:t>
      </w:r>
      <w:r w:rsidR="0097616E" w:rsidRPr="006E6614">
        <w:rPr>
          <w:rFonts w:ascii="Arial Narrow" w:hAnsi="Arial Narrow"/>
          <w:b/>
          <w:bCs/>
          <w:sz w:val="32"/>
          <w:szCs w:val="32"/>
        </w:rPr>
        <w:t>2</w:t>
      </w:r>
      <w:r w:rsidR="00EF7123" w:rsidRPr="00615AF4">
        <w:rPr>
          <w:rFonts w:ascii="Arial Narrow" w:hAnsi="Arial Narrow"/>
          <w:b/>
          <w:bCs/>
          <w:sz w:val="32"/>
          <w:szCs w:val="32"/>
        </w:rPr>
        <w:t xml:space="preserve"> </w:t>
      </w:r>
      <w:r w:rsidRPr="00615AF4">
        <w:rPr>
          <w:rFonts w:ascii="Arial Narrow" w:hAnsi="Arial Narrow"/>
          <w:b/>
          <w:bCs/>
          <w:sz w:val="32"/>
          <w:szCs w:val="32"/>
        </w:rPr>
        <w:t>F</w:t>
      </w:r>
      <w:r w:rsidR="00EF7123" w:rsidRPr="00615AF4">
        <w:rPr>
          <w:rFonts w:ascii="Arial Narrow" w:hAnsi="Arial Narrow"/>
          <w:b/>
          <w:bCs/>
          <w:sz w:val="32"/>
          <w:szCs w:val="32"/>
        </w:rPr>
        <w:t xml:space="preserve">inancial </w:t>
      </w:r>
      <w:r w:rsidRPr="00615AF4">
        <w:rPr>
          <w:rFonts w:ascii="Arial Narrow" w:hAnsi="Arial Narrow"/>
          <w:b/>
          <w:bCs/>
          <w:sz w:val="32"/>
          <w:szCs w:val="32"/>
        </w:rPr>
        <w:t>Y</w:t>
      </w:r>
      <w:r w:rsidR="00EF7123" w:rsidRPr="00615AF4">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75"/>
        <w:gridCol w:w="5134"/>
        <w:gridCol w:w="2241"/>
        <w:gridCol w:w="4520"/>
      </w:tblGrid>
      <w:tr w:rsidR="0093042D"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93042D"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7B27C5CA" w:rsidR="005116D2" w:rsidRPr="00D74068" w:rsidRDefault="0093042D" w:rsidP="00AF0E97">
            <w:pPr>
              <w:rPr>
                <w:rFonts w:ascii="Arial Narrow" w:eastAsiaTheme="majorEastAsia" w:hAnsi="Arial Narrow"/>
                <w:b/>
                <w:bCs/>
                <w:lang w:val="en-GB"/>
              </w:rPr>
            </w:pPr>
            <w:r>
              <w:rPr>
                <w:rFonts w:ascii="Arial Narrow" w:eastAsiaTheme="majorEastAsia" w:hAnsi="Arial Narrow"/>
                <w:b/>
                <w:bCs/>
                <w:lang w:val="en-GB"/>
              </w:rPr>
              <w:t>CoGTA and Human Settlements</w:t>
            </w:r>
            <w:r w:rsidR="000F7DFB">
              <w:rPr>
                <w:rFonts w:ascii="Arial Narrow" w:eastAsiaTheme="majorEastAsia" w:hAnsi="Arial Narrow"/>
                <w:b/>
                <w:bCs/>
                <w:lang w:val="en-GB"/>
              </w:rPr>
              <w:t xml:space="preserve"> Portfolio</w:t>
            </w:r>
            <w:r>
              <w:rPr>
                <w:rFonts w:ascii="Arial Narrow" w:eastAsiaTheme="majorEastAsia" w:hAnsi="Arial Narrow"/>
                <w:b/>
                <w:bCs/>
                <w:lang w:val="en-GB"/>
              </w:rPr>
              <w:t xml:space="preserve"> Committee</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22FD2732" w:rsidR="005116D2" w:rsidRPr="00D74068" w:rsidRDefault="000F7DFB" w:rsidP="00AF0E97">
            <w:pPr>
              <w:rPr>
                <w:rFonts w:ascii="Arial Narrow" w:eastAsiaTheme="majorEastAsia" w:hAnsi="Arial Narrow"/>
                <w:b/>
                <w:bCs/>
                <w:lang w:val="en-GB"/>
              </w:rPr>
            </w:pPr>
            <w:r>
              <w:rPr>
                <w:rFonts w:ascii="Arial Narrow" w:eastAsiaTheme="majorEastAsia" w:hAnsi="Arial Narrow"/>
                <w:b/>
                <w:bCs/>
                <w:lang w:val="en-GB"/>
              </w:rPr>
              <w:t xml:space="preserve">Gauteng Department of </w:t>
            </w:r>
            <w:r w:rsidR="0093042D">
              <w:rPr>
                <w:rFonts w:ascii="Arial Narrow" w:eastAsiaTheme="majorEastAsia" w:hAnsi="Arial Narrow"/>
                <w:b/>
                <w:bCs/>
                <w:lang w:val="en-GB"/>
              </w:rPr>
              <w:t>Human Settlements</w:t>
            </w:r>
          </w:p>
        </w:tc>
      </w:tr>
      <w:tr w:rsidR="0093042D"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6A2DD9D2" w:rsidR="005116D2" w:rsidRPr="00D74068" w:rsidRDefault="00141B32" w:rsidP="00AF0E97">
            <w:pPr>
              <w:rPr>
                <w:rFonts w:ascii="Arial Narrow" w:eastAsiaTheme="majorEastAsia" w:hAnsi="Arial Narrow"/>
                <w:b/>
                <w:bCs/>
                <w:lang w:val="en-GB"/>
              </w:rPr>
            </w:pPr>
            <w:r>
              <w:rPr>
                <w:rFonts w:ascii="Arial Narrow" w:eastAsiaTheme="majorEastAsia" w:hAnsi="Arial Narrow"/>
                <w:b/>
                <w:bCs/>
                <w:lang w:val="en-GB"/>
              </w:rPr>
              <w:t>202</w:t>
            </w:r>
            <w:r w:rsidR="0097616E">
              <w:rPr>
                <w:rFonts w:ascii="Arial Narrow" w:eastAsiaTheme="majorEastAsia" w:hAnsi="Arial Narrow"/>
                <w:b/>
                <w:bCs/>
                <w:lang w:val="en-GB"/>
              </w:rPr>
              <w:t>1</w:t>
            </w:r>
            <w:r>
              <w:rPr>
                <w:rFonts w:ascii="Arial Narrow" w:eastAsiaTheme="majorEastAsia" w:hAnsi="Arial Narrow"/>
                <w:b/>
                <w:bCs/>
                <w:lang w:val="en-GB"/>
              </w:rPr>
              <w:t>/202</w:t>
            </w:r>
            <w:r w:rsidR="0097616E">
              <w:rPr>
                <w:rFonts w:ascii="Arial Narrow" w:eastAsiaTheme="majorEastAsia" w:hAnsi="Arial Narrow"/>
                <w:b/>
                <w:bCs/>
                <w:lang w:val="en-GB"/>
              </w:rPr>
              <w:t>2</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60587D5E" w:rsidR="005116D2" w:rsidRPr="00D74068" w:rsidRDefault="009041C3" w:rsidP="00AF0E97">
            <w:pPr>
              <w:rPr>
                <w:rFonts w:ascii="Arial Narrow" w:eastAsiaTheme="majorEastAsia" w:hAnsi="Arial Narrow"/>
                <w:b/>
                <w:bCs/>
                <w:lang w:val="en-GB"/>
              </w:rPr>
            </w:pPr>
            <w:r>
              <w:rPr>
                <w:rFonts w:ascii="Arial Narrow" w:eastAsiaTheme="majorEastAsia" w:hAnsi="Arial Narrow"/>
                <w:b/>
                <w:bCs/>
                <w:lang w:val="en-GB"/>
              </w:rPr>
              <w:t>7</w:t>
            </w:r>
          </w:p>
        </w:tc>
      </w:tr>
      <w:tr w:rsidR="0093042D"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6B922F4A" w:rsidR="005116D2" w:rsidRPr="00D74068" w:rsidRDefault="0093042D" w:rsidP="00AF0E97">
            <w:pPr>
              <w:rPr>
                <w:rFonts w:ascii="Arial Narrow" w:eastAsiaTheme="majorEastAsia" w:hAnsi="Arial Narrow"/>
                <w:b/>
                <w:bCs/>
                <w:lang w:val="en-GB"/>
              </w:rPr>
            </w:pPr>
            <w:r>
              <w:rPr>
                <w:rFonts w:ascii="Arial Narrow" w:eastAsiaTheme="majorEastAsia" w:hAnsi="Arial Narrow"/>
                <w:b/>
                <w:bCs/>
                <w:lang w:val="en-GB"/>
              </w:rPr>
              <w:t>4</w:t>
            </w:r>
            <w:r w:rsidR="00B554A5" w:rsidRPr="00B554A5">
              <w:rPr>
                <w:rFonts w:ascii="Arial Narrow" w:eastAsiaTheme="majorEastAsia" w:hAnsi="Arial Narrow"/>
                <w:b/>
                <w:bCs/>
                <w:vertAlign w:val="superscript"/>
                <w:lang w:val="en-GB"/>
              </w:rPr>
              <w:t>th</w:t>
            </w:r>
            <w:r w:rsidR="00B554A5">
              <w:rPr>
                <w:rFonts w:ascii="Arial Narrow" w:eastAsiaTheme="majorEastAsia" w:hAnsi="Arial Narrow"/>
                <w:b/>
                <w:bCs/>
                <w:lang w:val="en-GB"/>
              </w:rPr>
              <w:t xml:space="preserve"> </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7FA322A8" w:rsidR="005116D2" w:rsidRPr="00D74068" w:rsidRDefault="00371545" w:rsidP="00AF0E97">
            <w:pPr>
              <w:rPr>
                <w:rFonts w:ascii="Arial Narrow" w:eastAsiaTheme="majorEastAsia" w:hAnsi="Arial Narrow"/>
                <w:b/>
                <w:bCs/>
                <w:lang w:val="en-GB"/>
              </w:rPr>
            </w:pPr>
            <w:r>
              <w:rPr>
                <w:rFonts w:ascii="Arial Narrow" w:eastAsiaTheme="majorEastAsia" w:hAnsi="Arial Narrow"/>
                <w:b/>
                <w:bCs/>
                <w:sz w:val="24"/>
                <w:szCs w:val="24"/>
                <w:lang w:val="en-GB"/>
              </w:rPr>
              <w:t xml:space="preserve">Mr </w:t>
            </w:r>
            <w:r w:rsidR="0093042D">
              <w:rPr>
                <w:rFonts w:ascii="Arial Narrow" w:eastAsiaTheme="majorEastAsia" w:hAnsi="Arial Narrow"/>
                <w:b/>
                <w:bCs/>
                <w:sz w:val="24"/>
                <w:szCs w:val="24"/>
                <w:lang w:val="en-GB"/>
              </w:rPr>
              <w:t>Lebogang Maile</w:t>
            </w:r>
            <w:r>
              <w:rPr>
                <w:rFonts w:ascii="Arial Narrow" w:eastAsiaTheme="majorEastAsia" w:hAnsi="Arial Narrow"/>
                <w:b/>
                <w:bCs/>
                <w:sz w:val="24"/>
                <w:szCs w:val="24"/>
                <w:lang w:val="en-GB"/>
              </w:rPr>
              <w:t xml:space="preserve"> </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93042D"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93042D" w:rsidRPr="00D74068" w14:paraId="781C313C" w14:textId="77777777" w:rsidTr="00C52E7A">
        <w:trPr>
          <w:tblHeader/>
        </w:trPr>
        <w:tc>
          <w:tcPr>
            <w:tcW w:w="2235" w:type="dxa"/>
            <w:shd w:val="clear" w:color="auto" w:fill="D9D9D9" w:themeFill="background1" w:themeFillShade="D9"/>
          </w:tcPr>
          <w:p w14:paraId="7BFC7DCF" w14:textId="3EEFD92A" w:rsidR="00124369" w:rsidRPr="00D74068" w:rsidRDefault="00124369" w:rsidP="00AF0E97">
            <w:pPr>
              <w:ind w:right="996"/>
              <w:rPr>
                <w:rFonts w:ascii="Arial Narrow" w:eastAsiaTheme="majorEastAsia" w:hAnsi="Arial Narrow"/>
                <w:b/>
                <w:bCs/>
                <w:lang w:val="en-GB"/>
              </w:rPr>
            </w:pPr>
            <w:r w:rsidRPr="00D74068">
              <w:rPr>
                <w:rFonts w:ascii="Arial Narrow" w:eastAsiaTheme="majorEastAsia" w:hAnsi="Arial Narrow"/>
                <w:b/>
                <w:bCs/>
                <w:lang w:val="en-GB"/>
              </w:rPr>
              <w:t>Hon.</w:t>
            </w:r>
            <w:r w:rsidR="0093042D">
              <w:rPr>
                <w:rFonts w:ascii="Arial Narrow" w:eastAsiaTheme="majorEastAsia" w:hAnsi="Arial Narrow"/>
                <w:b/>
                <w:bCs/>
                <w:lang w:val="en-GB"/>
              </w:rPr>
              <w:t xml:space="preserve"> </w:t>
            </w:r>
            <w:r w:rsidRPr="00D74068">
              <w:rPr>
                <w:rFonts w:ascii="Arial Narrow" w:eastAsiaTheme="majorEastAsia" w:hAnsi="Arial Narrow"/>
                <w:b/>
                <w:bCs/>
                <w:lang w:val="en-GB"/>
              </w:rPr>
              <w:t>Chairperson</w:t>
            </w:r>
          </w:p>
        </w:tc>
        <w:tc>
          <w:tcPr>
            <w:tcW w:w="7399" w:type="dxa"/>
            <w:gridSpan w:val="2"/>
            <w:shd w:val="clear" w:color="auto" w:fill="auto"/>
          </w:tcPr>
          <w:p w14:paraId="20737200" w14:textId="7DF69B8C" w:rsidR="00124369" w:rsidRPr="00D74068" w:rsidRDefault="000F7DFB" w:rsidP="00AF0E97">
            <w:pPr>
              <w:rPr>
                <w:rFonts w:ascii="Arial Narrow" w:hAnsi="Arial Narrow"/>
              </w:rPr>
            </w:pPr>
            <w:r>
              <w:rPr>
                <w:rFonts w:ascii="Arial Narrow" w:hAnsi="Arial Narrow"/>
              </w:rPr>
              <w:t xml:space="preserve">Ms </w:t>
            </w:r>
            <w:r w:rsidR="0093042D">
              <w:rPr>
                <w:rFonts w:ascii="Arial Narrow" w:hAnsi="Arial Narrow"/>
              </w:rPr>
              <w:t>Kedibone Diale</w:t>
            </w:r>
            <w:r w:rsidR="0097616E">
              <w:rPr>
                <w:rFonts w:ascii="Arial Narrow" w:hAnsi="Arial Narrow"/>
              </w:rPr>
              <w:t>-Tlabela</w:t>
            </w:r>
            <w:r w:rsidR="00371545">
              <w:rPr>
                <w:rFonts w:ascii="Arial Narrow" w:hAnsi="Arial Narrow"/>
              </w:rPr>
              <w:t xml:space="preserve"> </w:t>
            </w:r>
          </w:p>
        </w:tc>
        <w:tc>
          <w:tcPr>
            <w:tcW w:w="4536" w:type="dxa"/>
            <w:shd w:val="clear" w:color="auto" w:fill="auto"/>
          </w:tcPr>
          <w:p w14:paraId="79D193B3" w14:textId="12B37B3C" w:rsidR="00141B32" w:rsidRPr="00141B32" w:rsidRDefault="00141B32" w:rsidP="00AF0E97">
            <w:pPr>
              <w:rPr>
                <w:rFonts w:ascii="Arial Narrow" w:hAnsi="Arial Narrow"/>
                <w:b/>
                <w:bCs/>
              </w:rPr>
            </w:pPr>
            <w:r w:rsidRPr="00141B32">
              <w:rPr>
                <w:rFonts w:ascii="Arial Narrow" w:hAnsi="Arial Narrow"/>
                <w:b/>
                <w:bCs/>
              </w:rPr>
              <w:t>T</w:t>
            </w:r>
            <w:r w:rsidR="0097616E">
              <w:rPr>
                <w:rFonts w:ascii="Arial Narrow" w:hAnsi="Arial Narrow"/>
                <w:b/>
                <w:bCs/>
              </w:rPr>
              <w:t>ue</w:t>
            </w:r>
            <w:r w:rsidRPr="00141B32">
              <w:rPr>
                <w:rFonts w:ascii="Arial Narrow" w:hAnsi="Arial Narrow"/>
                <w:b/>
                <w:bCs/>
              </w:rPr>
              <w:t>sday, 1</w:t>
            </w:r>
            <w:r w:rsidR="0097616E">
              <w:rPr>
                <w:rFonts w:ascii="Arial Narrow" w:hAnsi="Arial Narrow"/>
                <w:b/>
                <w:bCs/>
              </w:rPr>
              <w:t>4</w:t>
            </w:r>
            <w:r w:rsidR="00B554A5" w:rsidRPr="00B554A5">
              <w:rPr>
                <w:rFonts w:ascii="Arial Narrow" w:hAnsi="Arial Narrow"/>
                <w:b/>
                <w:bCs/>
                <w:vertAlign w:val="superscript"/>
              </w:rPr>
              <w:t>th</w:t>
            </w:r>
            <w:r w:rsidR="00B554A5">
              <w:rPr>
                <w:rFonts w:ascii="Arial Narrow" w:hAnsi="Arial Narrow"/>
                <w:b/>
                <w:bCs/>
              </w:rPr>
              <w:t xml:space="preserve"> </w:t>
            </w:r>
            <w:r w:rsidRPr="00141B32">
              <w:rPr>
                <w:rFonts w:ascii="Arial Narrow" w:hAnsi="Arial Narrow"/>
                <w:b/>
                <w:bCs/>
              </w:rPr>
              <w:t xml:space="preserve"> June 202</w:t>
            </w:r>
            <w:r w:rsidR="0097616E">
              <w:rPr>
                <w:rFonts w:ascii="Arial Narrow" w:hAnsi="Arial Narrow"/>
                <w:b/>
                <w:bCs/>
              </w:rPr>
              <w:t>2</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93042D"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93042D" w:rsidRPr="00D74068" w14:paraId="4F6F23C6" w14:textId="77777777" w:rsidTr="00124369">
        <w:trPr>
          <w:tblHeader/>
        </w:trPr>
        <w:tc>
          <w:tcPr>
            <w:tcW w:w="9634" w:type="dxa"/>
            <w:gridSpan w:val="3"/>
            <w:shd w:val="clear" w:color="auto" w:fill="auto"/>
          </w:tcPr>
          <w:p w14:paraId="3B24FFF4" w14:textId="11DF6B68" w:rsidR="000F7DFB" w:rsidRPr="00D74068" w:rsidRDefault="00141B32" w:rsidP="000F7DFB">
            <w:pPr>
              <w:rPr>
                <w:rFonts w:ascii="Arial Narrow" w:eastAsiaTheme="majorEastAsia" w:hAnsi="Arial Narrow"/>
                <w:b/>
                <w:bCs/>
                <w:lang w:val="en-GB"/>
              </w:rPr>
            </w:pPr>
            <w:r w:rsidRPr="00141B32">
              <w:rPr>
                <w:rFonts w:ascii="Arial Narrow" w:hAnsi="Arial Narrow"/>
                <w:b/>
                <w:bCs/>
              </w:rPr>
              <w:t>T</w:t>
            </w:r>
            <w:r w:rsidR="0097616E">
              <w:rPr>
                <w:rFonts w:ascii="Arial Narrow" w:hAnsi="Arial Narrow"/>
                <w:b/>
                <w:bCs/>
              </w:rPr>
              <w:t>ue</w:t>
            </w:r>
            <w:r w:rsidRPr="00141B32">
              <w:rPr>
                <w:rFonts w:ascii="Arial Narrow" w:hAnsi="Arial Narrow"/>
                <w:b/>
                <w:bCs/>
              </w:rPr>
              <w:t>sday, 1</w:t>
            </w:r>
            <w:r w:rsidR="0097616E">
              <w:rPr>
                <w:rFonts w:ascii="Arial Narrow" w:hAnsi="Arial Narrow"/>
                <w:b/>
                <w:bCs/>
              </w:rPr>
              <w:t>4</w:t>
            </w:r>
            <w:r w:rsidR="00B554A5" w:rsidRPr="00B554A5">
              <w:rPr>
                <w:rFonts w:ascii="Arial Narrow" w:hAnsi="Arial Narrow"/>
                <w:b/>
                <w:bCs/>
                <w:vertAlign w:val="superscript"/>
              </w:rPr>
              <w:t>th</w:t>
            </w:r>
            <w:r w:rsidR="00B554A5">
              <w:rPr>
                <w:rFonts w:ascii="Arial Narrow" w:hAnsi="Arial Narrow"/>
                <w:b/>
                <w:bCs/>
              </w:rPr>
              <w:t xml:space="preserve"> </w:t>
            </w:r>
            <w:r w:rsidRPr="00141B32">
              <w:rPr>
                <w:rFonts w:ascii="Arial Narrow" w:hAnsi="Arial Narrow"/>
                <w:b/>
                <w:bCs/>
              </w:rPr>
              <w:t xml:space="preserve"> June 202</w:t>
            </w:r>
            <w:r w:rsidR="0097616E">
              <w:rPr>
                <w:rFonts w:ascii="Arial Narrow" w:hAnsi="Arial Narrow"/>
                <w:b/>
                <w:bCs/>
              </w:rPr>
              <w:t>2</w:t>
            </w:r>
          </w:p>
        </w:tc>
        <w:tc>
          <w:tcPr>
            <w:tcW w:w="4536" w:type="dxa"/>
            <w:shd w:val="clear" w:color="auto" w:fill="auto"/>
          </w:tcPr>
          <w:p w14:paraId="157BF4E8" w14:textId="6361E14D" w:rsidR="000F7DFB" w:rsidRPr="00D74068" w:rsidRDefault="00031542" w:rsidP="000F7DFB">
            <w:pPr>
              <w:rPr>
                <w:rFonts w:ascii="Arial Narrow" w:hAnsi="Arial Narrow"/>
                <w:b/>
              </w:rPr>
            </w:pPr>
            <w:r w:rsidRPr="00F53E0D">
              <w:rPr>
                <w:rFonts w:ascii="Arial Narrow" w:hAnsi="Arial Narrow"/>
                <w:b/>
              </w:rPr>
              <w:t>T</w:t>
            </w:r>
            <w:r w:rsidR="00F53E0D" w:rsidRPr="00F53E0D">
              <w:rPr>
                <w:rFonts w:ascii="Arial Narrow" w:hAnsi="Arial Narrow"/>
                <w:b/>
              </w:rPr>
              <w:t>ue</w:t>
            </w:r>
            <w:r w:rsidRPr="00F53E0D">
              <w:rPr>
                <w:rFonts w:ascii="Arial Narrow" w:hAnsi="Arial Narrow"/>
                <w:b/>
              </w:rPr>
              <w:t>s</w:t>
            </w:r>
            <w:r w:rsidR="00141B32" w:rsidRPr="00F53E0D">
              <w:rPr>
                <w:rFonts w:ascii="Arial Narrow" w:hAnsi="Arial Narrow"/>
                <w:b/>
              </w:rPr>
              <w:t>day</w:t>
            </w:r>
            <w:r w:rsidRPr="00F53E0D">
              <w:rPr>
                <w:rFonts w:ascii="Arial Narrow" w:hAnsi="Arial Narrow"/>
                <w:b/>
              </w:rPr>
              <w:t xml:space="preserve">, </w:t>
            </w:r>
            <w:r w:rsidR="0097616E">
              <w:rPr>
                <w:rFonts w:ascii="Arial Narrow" w:hAnsi="Arial Narrow"/>
                <w:b/>
              </w:rPr>
              <w:t>21</w:t>
            </w:r>
            <w:r w:rsidR="0097616E" w:rsidRPr="0097616E">
              <w:rPr>
                <w:rFonts w:ascii="Arial Narrow" w:hAnsi="Arial Narrow"/>
                <w:b/>
                <w:vertAlign w:val="superscript"/>
              </w:rPr>
              <w:t>st</w:t>
            </w:r>
            <w:r w:rsidR="0097616E">
              <w:rPr>
                <w:rFonts w:ascii="Arial Narrow" w:hAnsi="Arial Narrow"/>
                <w:b/>
              </w:rPr>
              <w:t xml:space="preserve"> </w:t>
            </w:r>
            <w:r w:rsidR="00F53E0D" w:rsidRPr="00F53E0D">
              <w:rPr>
                <w:rFonts w:ascii="Arial Narrow" w:hAnsi="Arial Narrow"/>
                <w:b/>
              </w:rPr>
              <w:t>June</w:t>
            </w:r>
            <w:r w:rsidRPr="00F53E0D">
              <w:rPr>
                <w:rFonts w:ascii="Arial Narrow" w:hAnsi="Arial Narrow"/>
                <w:b/>
              </w:rPr>
              <w:t xml:space="preserve"> 202</w:t>
            </w:r>
            <w:r w:rsidR="0097616E">
              <w:rPr>
                <w:rFonts w:ascii="Arial Narrow" w:hAnsi="Arial Narrow"/>
                <w:b/>
              </w:rPr>
              <w:t>2</w:t>
            </w:r>
            <w:r w:rsidR="00141B32" w:rsidRPr="00F53E0D">
              <w:rPr>
                <w:rFonts w:ascii="Arial Narrow" w:hAnsi="Arial Narrow"/>
                <w:b/>
              </w:rPr>
              <w:t xml:space="preserve">  </w:t>
            </w:r>
          </w:p>
        </w:tc>
      </w:tr>
    </w:tbl>
    <w:p w14:paraId="75BC454F" w14:textId="77777777" w:rsidR="00880E01" w:rsidRPr="00D74068" w:rsidRDefault="00880E01" w:rsidP="00AF0E97">
      <w:pPr>
        <w:rPr>
          <w:rFonts w:ascii="Arial Narrow" w:hAnsi="Arial Narrow"/>
          <w:b/>
          <w:bCs/>
        </w:rPr>
      </w:pPr>
    </w:p>
    <w:p w14:paraId="52BBD47F" w14:textId="77777777" w:rsidR="00880E01" w:rsidRPr="00D74068" w:rsidRDefault="00880E01" w:rsidP="00AF0E97">
      <w:pPr>
        <w:spacing w:after="200"/>
        <w:jc w:val="left"/>
        <w:rPr>
          <w:rFonts w:ascii="Arial Narrow" w:hAnsi="Arial Narrow"/>
          <w:b/>
          <w:bCs/>
        </w:rPr>
      </w:pPr>
      <w:r w:rsidRPr="00D74068">
        <w:rPr>
          <w:rFonts w:ascii="Arial Narrow" w:hAnsi="Arial Narrow"/>
          <w:b/>
          <w:bCs/>
        </w:rPr>
        <w:br w:type="page"/>
      </w:r>
    </w:p>
    <w:p w14:paraId="0AD3DC17" w14:textId="77777777" w:rsidR="004B7663" w:rsidRPr="00D74068" w:rsidRDefault="00B114B8" w:rsidP="00C67137">
      <w:pPr>
        <w:shd w:val="clear" w:color="auto" w:fill="D9D9D9" w:themeFill="background1" w:themeFillShade="D9"/>
        <w:rPr>
          <w:rFonts w:ascii="Arial Narrow" w:hAnsi="Arial Narrow"/>
          <w:b/>
          <w:bCs/>
          <w:color w:val="000000" w:themeColor="text1"/>
        </w:rPr>
      </w:pPr>
      <w:r w:rsidRPr="00D74068">
        <w:rPr>
          <w:rFonts w:ascii="Arial Narrow" w:hAnsi="Arial Narrow"/>
          <w:b/>
          <w:bCs/>
          <w:color w:val="000000" w:themeColor="text1"/>
        </w:rPr>
        <w:lastRenderedPageBreak/>
        <w:t>NOTES:</w:t>
      </w:r>
    </w:p>
    <w:p w14:paraId="7243C02E" w14:textId="77777777" w:rsidR="00C67137" w:rsidRPr="00D74068" w:rsidRDefault="00C67137" w:rsidP="00C67137">
      <w:pPr>
        <w:rPr>
          <w:rFonts w:ascii="Arial Narrow" w:hAnsi="Arial Narrow"/>
          <w:b/>
          <w:color w:val="000000" w:themeColor="text1"/>
        </w:rPr>
      </w:pPr>
    </w:p>
    <w:p w14:paraId="7CAF0A8F" w14:textId="186D11D0" w:rsidR="00B114B8" w:rsidRPr="00D74068" w:rsidRDefault="00B114B8"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When expressing monetary amounts, please use South African Rand only “R”</w:t>
      </w:r>
      <w:r w:rsidR="0031352C" w:rsidRPr="00D74068">
        <w:rPr>
          <w:rFonts w:ascii="Arial Narrow" w:hAnsi="Arial Narrow"/>
          <w:bCs/>
          <w:color w:val="000000" w:themeColor="text1"/>
        </w:rPr>
        <w:t xml:space="preserve"> and express the full Rand amount with no cents</w:t>
      </w:r>
    </w:p>
    <w:p w14:paraId="62351698" w14:textId="77777777" w:rsidR="00B114B8" w:rsidRPr="00D74068" w:rsidRDefault="00B114B8"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When expressing percentage, please use the “%” sign and round off to two (2) decimal places</w:t>
      </w:r>
    </w:p>
    <w:p w14:paraId="29B0AECB" w14:textId="55EAB796" w:rsidR="0031352C" w:rsidRPr="00D74068" w:rsidRDefault="0031352C"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 xml:space="preserve">When </w:t>
      </w:r>
      <w:r w:rsidR="00BF4C54" w:rsidRPr="00D74068">
        <w:rPr>
          <w:rFonts w:ascii="Arial Narrow" w:hAnsi="Arial Narrow"/>
          <w:bCs/>
          <w:color w:val="000000" w:themeColor="text1"/>
        </w:rPr>
        <w:t>analyzing</w:t>
      </w:r>
      <w:r w:rsidRPr="00D74068">
        <w:rPr>
          <w:rFonts w:ascii="Arial Narrow" w:hAnsi="Arial Narrow"/>
          <w:bCs/>
          <w:color w:val="000000" w:themeColor="text1"/>
        </w:rPr>
        <w:t xml:space="preserv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please do NOT copy and paste the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 budget tables. These need to be </w:t>
      </w:r>
      <w:r w:rsidR="00911B2B" w:rsidRPr="00D74068">
        <w:rPr>
          <w:rFonts w:ascii="Arial Narrow" w:hAnsi="Arial Narrow"/>
          <w:bCs/>
          <w:color w:val="000000" w:themeColor="text1"/>
        </w:rPr>
        <w:t>analyzed</w:t>
      </w:r>
      <w:r w:rsidRPr="00D74068">
        <w:rPr>
          <w:rFonts w:ascii="Arial Narrow" w:hAnsi="Arial Narrow"/>
          <w:bCs/>
          <w:color w:val="000000" w:themeColor="text1"/>
        </w:rPr>
        <w:t>.</w:t>
      </w:r>
    </w:p>
    <w:p w14:paraId="7A2E78F6" w14:textId="77777777" w:rsidR="00D01F03" w:rsidRPr="00D74068" w:rsidRDefault="00D01F03"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In the Executive Summary, include just the strategic or high level “Snap-shots” of the required information. Details will be provided later in the report under “Programme Achievement”</w:t>
      </w:r>
    </w:p>
    <w:p w14:paraId="63E35FB0" w14:textId="77777777" w:rsidR="00DD4EA2" w:rsidRPr="00D74068" w:rsidRDefault="00DD4EA2" w:rsidP="00AF0E97">
      <w:pPr>
        <w:spacing w:after="200"/>
        <w:jc w:val="left"/>
        <w:rPr>
          <w:rFonts w:ascii="Arial Narrow" w:hAnsi="Arial Narrow"/>
          <w:bCs/>
        </w:rPr>
      </w:pPr>
      <w:r w:rsidRPr="00D74068">
        <w:rPr>
          <w:rFonts w:ascii="Arial Narrow" w:hAnsi="Arial Narrow"/>
          <w:bCs/>
        </w:rPr>
        <w:br w:type="page"/>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77777777" w:rsidR="00D754DB" w:rsidRPr="00D74068"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31C017C7" w:rsidR="004A0F05" w:rsidRPr="00D74068" w:rsidRDefault="00D754DB">
          <w:pPr>
            <w:pStyle w:val="TOC1"/>
            <w:tabs>
              <w:tab w:val="right" w:leader="dot" w:pos="13948"/>
            </w:tabs>
            <w:rPr>
              <w:rFonts w:ascii="Arial Narrow" w:eastAsiaTheme="minorEastAsia" w:hAnsi="Arial Narrow"/>
              <w:noProof/>
              <w:lang w:eastAsia="en-ZA"/>
            </w:rPr>
          </w:pPr>
          <w:r w:rsidRPr="00D74068">
            <w:rPr>
              <w:rFonts w:ascii="Arial Narrow" w:hAnsi="Arial Narrow"/>
            </w:rPr>
            <w:fldChar w:fldCharType="begin"/>
          </w:r>
          <w:r w:rsidRPr="00D74068">
            <w:rPr>
              <w:rFonts w:ascii="Arial Narrow" w:hAnsi="Arial Narrow"/>
            </w:rPr>
            <w:instrText xml:space="preserve"> TOC \o "1-3" \h \z \u </w:instrText>
          </w:r>
          <w:r w:rsidRPr="00D74068">
            <w:rPr>
              <w:rFonts w:ascii="Arial Narrow" w:hAnsi="Arial Narrow"/>
            </w:rPr>
            <w:fldChar w:fldCharType="separate"/>
          </w:r>
          <w:hyperlink w:anchor="_Toc50576907" w:history="1">
            <w:r w:rsidR="004A0F05" w:rsidRPr="00D74068">
              <w:rPr>
                <w:rStyle w:val="Hyperlink"/>
                <w:rFonts w:ascii="Arial Narrow" w:hAnsi="Arial Narrow"/>
                <w:noProof/>
              </w:rPr>
              <w:t>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ABBREVIATIONS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5</w:t>
            </w:r>
            <w:r w:rsidR="004A0F05" w:rsidRPr="00D74068">
              <w:rPr>
                <w:rFonts w:ascii="Arial Narrow" w:hAnsi="Arial Narrow"/>
                <w:noProof/>
                <w:webHidden/>
              </w:rPr>
              <w:fldChar w:fldCharType="end"/>
            </w:r>
          </w:hyperlink>
        </w:p>
        <w:p w14:paraId="72C7BE14" w14:textId="59E469A4" w:rsidR="004A0F05" w:rsidRPr="00D74068" w:rsidRDefault="0097180E">
          <w:pPr>
            <w:pStyle w:val="TOC1"/>
            <w:tabs>
              <w:tab w:val="right" w:leader="dot" w:pos="13948"/>
            </w:tabs>
            <w:rPr>
              <w:rFonts w:ascii="Arial Narrow" w:eastAsiaTheme="minorEastAsia" w:hAnsi="Arial Narrow"/>
              <w:noProof/>
              <w:lang w:eastAsia="en-ZA"/>
            </w:rPr>
          </w:pPr>
          <w:hyperlink w:anchor="_Toc50576908" w:history="1">
            <w:r w:rsidR="004A0F05" w:rsidRPr="00D74068">
              <w:rPr>
                <w:rStyle w:val="Hyperlink"/>
                <w:rFonts w:ascii="Arial Narrow" w:hAnsi="Arial Narrow"/>
                <w:noProof/>
              </w:rPr>
              <w:t>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SUMMARY</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6</w:t>
            </w:r>
            <w:r w:rsidR="004A0F05" w:rsidRPr="00D74068">
              <w:rPr>
                <w:rFonts w:ascii="Arial Narrow" w:hAnsi="Arial Narrow"/>
                <w:noProof/>
                <w:webHidden/>
              </w:rPr>
              <w:fldChar w:fldCharType="end"/>
            </w:r>
          </w:hyperlink>
        </w:p>
        <w:p w14:paraId="73D3FDE6" w14:textId="15D2811C" w:rsidR="004A0F05" w:rsidRPr="00D74068" w:rsidRDefault="0097180E">
          <w:pPr>
            <w:pStyle w:val="TOC1"/>
            <w:tabs>
              <w:tab w:val="right" w:leader="dot" w:pos="13948"/>
            </w:tabs>
            <w:rPr>
              <w:rFonts w:ascii="Arial Narrow" w:eastAsiaTheme="minorEastAsia" w:hAnsi="Arial Narrow"/>
              <w:noProof/>
              <w:lang w:eastAsia="en-ZA"/>
            </w:rPr>
          </w:pPr>
          <w:hyperlink w:anchor="_Toc50576909" w:history="1">
            <w:r w:rsidR="004A0F05" w:rsidRPr="00D74068">
              <w:rPr>
                <w:rStyle w:val="Hyperlink"/>
                <w:rFonts w:ascii="Arial Narrow" w:hAnsi="Arial Narrow"/>
                <w:noProof/>
              </w:rPr>
              <w:t>iii.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INTRODUCTION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10</w:t>
            </w:r>
            <w:r w:rsidR="004A0F05" w:rsidRPr="00D74068">
              <w:rPr>
                <w:rFonts w:ascii="Arial Narrow" w:hAnsi="Arial Narrow"/>
                <w:noProof/>
                <w:webHidden/>
              </w:rPr>
              <w:fldChar w:fldCharType="end"/>
            </w:r>
          </w:hyperlink>
        </w:p>
        <w:p w14:paraId="26C04B7B" w14:textId="3FFB8740" w:rsidR="004A0F05" w:rsidRPr="00D74068" w:rsidRDefault="0097180E">
          <w:pPr>
            <w:pStyle w:val="TOC1"/>
            <w:tabs>
              <w:tab w:val="right" w:leader="dot" w:pos="13948"/>
            </w:tabs>
            <w:rPr>
              <w:rFonts w:ascii="Arial Narrow" w:eastAsiaTheme="minorEastAsia" w:hAnsi="Arial Narrow"/>
              <w:noProof/>
              <w:lang w:eastAsia="en-ZA"/>
            </w:rPr>
          </w:pPr>
          <w:hyperlink w:anchor="_Toc50576910" w:history="1">
            <w:r w:rsidR="004A0F05" w:rsidRPr="00D74068">
              <w:rPr>
                <w:rStyle w:val="Hyperlink"/>
                <w:rFonts w:ascii="Arial Narrow" w:hAnsi="Arial Narrow"/>
                <w:noProof/>
              </w:rPr>
              <w:t>iv.</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PROCESS FOLLOWED</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11</w:t>
            </w:r>
            <w:r w:rsidR="004A0F05" w:rsidRPr="00D74068">
              <w:rPr>
                <w:rFonts w:ascii="Arial Narrow" w:hAnsi="Arial Narrow"/>
                <w:noProof/>
                <w:webHidden/>
              </w:rPr>
              <w:fldChar w:fldCharType="end"/>
            </w:r>
          </w:hyperlink>
        </w:p>
        <w:p w14:paraId="3A1C68F4" w14:textId="6C28B26D" w:rsidR="004A0F05" w:rsidRPr="00D74068" w:rsidRDefault="0097180E">
          <w:pPr>
            <w:pStyle w:val="TOC1"/>
            <w:tabs>
              <w:tab w:val="right" w:leader="dot" w:pos="13948"/>
            </w:tabs>
            <w:rPr>
              <w:rFonts w:ascii="Arial Narrow" w:eastAsiaTheme="minorEastAsia" w:hAnsi="Arial Narrow"/>
              <w:noProof/>
              <w:lang w:eastAsia="en-ZA"/>
            </w:rPr>
          </w:pPr>
          <w:hyperlink w:anchor="_Toc50576911" w:history="1">
            <w:r w:rsidR="004A0F05" w:rsidRPr="00D74068">
              <w:rPr>
                <w:rStyle w:val="Hyperlink"/>
                <w:rFonts w:ascii="Arial Narrow" w:hAnsi="Arial Narrow"/>
                <w:noProof/>
              </w:rPr>
              <w:t>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STRATEGIC PRIORITIES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11</w:t>
            </w:r>
            <w:r w:rsidR="004A0F05" w:rsidRPr="00D74068">
              <w:rPr>
                <w:rFonts w:ascii="Arial Narrow" w:hAnsi="Arial Narrow"/>
                <w:noProof/>
                <w:webHidden/>
              </w:rPr>
              <w:fldChar w:fldCharType="end"/>
            </w:r>
          </w:hyperlink>
        </w:p>
        <w:p w14:paraId="6EF3261D" w14:textId="124B4A31" w:rsidR="004A0F05" w:rsidRPr="00D74068" w:rsidRDefault="0097180E">
          <w:pPr>
            <w:pStyle w:val="TOC1"/>
            <w:tabs>
              <w:tab w:val="right" w:leader="dot" w:pos="13948"/>
            </w:tabs>
            <w:rPr>
              <w:rFonts w:ascii="Arial Narrow" w:eastAsiaTheme="minorEastAsia" w:hAnsi="Arial Narrow"/>
              <w:noProof/>
              <w:lang w:eastAsia="en-ZA"/>
            </w:rPr>
          </w:pPr>
          <w:hyperlink w:anchor="_Toc50576912" w:history="1">
            <w:r w:rsidR="004A0F05" w:rsidRPr="00D74068">
              <w:rPr>
                <w:rStyle w:val="Hyperlink"/>
                <w:rFonts w:ascii="Arial Narrow" w:hAnsi="Arial Narrow"/>
                <w:noProof/>
              </w:rPr>
              <w:t>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APP TARGETS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12</w:t>
            </w:r>
            <w:r w:rsidR="004A0F05" w:rsidRPr="00D74068">
              <w:rPr>
                <w:rFonts w:ascii="Arial Narrow" w:hAnsi="Arial Narrow"/>
                <w:noProof/>
                <w:webHidden/>
              </w:rPr>
              <w:fldChar w:fldCharType="end"/>
            </w:r>
          </w:hyperlink>
        </w:p>
        <w:p w14:paraId="010A1FB3" w14:textId="15197EF3" w:rsidR="004A0F05" w:rsidRPr="00D74068" w:rsidRDefault="0097180E">
          <w:pPr>
            <w:pStyle w:val="TOC1"/>
            <w:tabs>
              <w:tab w:val="right" w:leader="dot" w:pos="13948"/>
            </w:tabs>
            <w:rPr>
              <w:rFonts w:ascii="Arial Narrow" w:eastAsiaTheme="minorEastAsia" w:hAnsi="Arial Narrow"/>
              <w:noProof/>
              <w:lang w:eastAsia="en-ZA"/>
            </w:rPr>
          </w:pPr>
          <w:hyperlink w:anchor="_Toc50576913" w:history="1">
            <w:r w:rsidR="004A0F05" w:rsidRPr="00D74068">
              <w:rPr>
                <w:rStyle w:val="Hyperlink"/>
                <w:rFonts w:ascii="Arial Narrow" w:hAnsi="Arial Narrow"/>
                <w:noProof/>
              </w:rPr>
              <w:t>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PROJECT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17</w:t>
            </w:r>
            <w:r w:rsidR="004A0F05" w:rsidRPr="00D74068">
              <w:rPr>
                <w:rFonts w:ascii="Arial Narrow" w:hAnsi="Arial Narrow"/>
                <w:noProof/>
                <w:webHidden/>
              </w:rPr>
              <w:fldChar w:fldCharType="end"/>
            </w:r>
          </w:hyperlink>
        </w:p>
        <w:p w14:paraId="7C6EBE8F" w14:textId="2BEEAE10" w:rsidR="004A0F05" w:rsidRPr="00D74068" w:rsidRDefault="0097180E">
          <w:pPr>
            <w:pStyle w:val="TOC1"/>
            <w:tabs>
              <w:tab w:val="right" w:leader="dot" w:pos="13948"/>
            </w:tabs>
            <w:rPr>
              <w:rFonts w:ascii="Arial Narrow" w:eastAsiaTheme="minorEastAsia" w:hAnsi="Arial Narrow"/>
              <w:noProof/>
              <w:lang w:eastAsia="en-ZA"/>
            </w:rPr>
          </w:pPr>
          <w:hyperlink w:anchor="_Toc50576914" w:history="1">
            <w:r w:rsidR="004A0F05" w:rsidRPr="00D74068">
              <w:rPr>
                <w:rStyle w:val="Hyperlink"/>
                <w:rFonts w:ascii="Arial Narrow" w:hAnsi="Arial Narrow"/>
                <w:noProof/>
              </w:rPr>
              <w:t>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FINANCIAL PERFORMANCE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18</w:t>
            </w:r>
            <w:r w:rsidR="004A0F05" w:rsidRPr="00D74068">
              <w:rPr>
                <w:rFonts w:ascii="Arial Narrow" w:hAnsi="Arial Narrow"/>
                <w:noProof/>
                <w:webHidden/>
              </w:rPr>
              <w:fldChar w:fldCharType="end"/>
            </w:r>
          </w:hyperlink>
        </w:p>
        <w:p w14:paraId="3F917E6B" w14:textId="3676C0EA" w:rsidR="004A0F05" w:rsidRPr="00D74068" w:rsidRDefault="0097180E">
          <w:pPr>
            <w:pStyle w:val="TOC1"/>
            <w:tabs>
              <w:tab w:val="right" w:leader="dot" w:pos="13948"/>
            </w:tabs>
            <w:rPr>
              <w:rFonts w:ascii="Arial Narrow" w:eastAsiaTheme="minorEastAsia" w:hAnsi="Arial Narrow"/>
              <w:noProof/>
              <w:lang w:eastAsia="en-ZA"/>
            </w:rPr>
          </w:pPr>
          <w:hyperlink w:anchor="_Toc50576915" w:history="1">
            <w:r w:rsidR="004A0F05" w:rsidRPr="00D74068">
              <w:rPr>
                <w:rStyle w:val="Hyperlink"/>
                <w:rFonts w:ascii="Arial Narrow" w:hAnsi="Arial Narrow"/>
                <w:noProof/>
              </w:rPr>
              <w:t>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RESOLUTIONS AND PETITIONS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20</w:t>
            </w:r>
            <w:r w:rsidR="004A0F05" w:rsidRPr="00D74068">
              <w:rPr>
                <w:rFonts w:ascii="Arial Narrow" w:hAnsi="Arial Narrow"/>
                <w:noProof/>
                <w:webHidden/>
              </w:rPr>
              <w:fldChar w:fldCharType="end"/>
            </w:r>
          </w:hyperlink>
        </w:p>
        <w:p w14:paraId="4BABA7A9" w14:textId="467F21D1" w:rsidR="004A0F05" w:rsidRPr="00D74068" w:rsidRDefault="0097180E">
          <w:pPr>
            <w:pStyle w:val="TOC1"/>
            <w:tabs>
              <w:tab w:val="right" w:leader="dot" w:pos="13948"/>
            </w:tabs>
            <w:rPr>
              <w:rFonts w:ascii="Arial Narrow" w:eastAsiaTheme="minorEastAsia" w:hAnsi="Arial Narrow"/>
              <w:noProof/>
              <w:lang w:eastAsia="en-ZA"/>
            </w:rPr>
          </w:pPr>
          <w:hyperlink w:anchor="_Toc50576916" w:history="1">
            <w:r w:rsidR="004A0F05" w:rsidRPr="00D74068">
              <w:rPr>
                <w:rStyle w:val="Hyperlink"/>
                <w:rFonts w:ascii="Arial Narrow" w:hAnsi="Arial Narrow"/>
                <w:noProof/>
              </w:rPr>
              <w:t>6</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PUBLIC ENGAGEMENT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_Toc50576916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21</w:t>
            </w:r>
            <w:r w:rsidR="004A0F05" w:rsidRPr="00D74068">
              <w:rPr>
                <w:rFonts w:ascii="Arial Narrow" w:hAnsi="Arial Narrow"/>
                <w:noProof/>
                <w:webHidden/>
              </w:rPr>
              <w:fldChar w:fldCharType="end"/>
            </w:r>
          </w:hyperlink>
        </w:p>
        <w:p w14:paraId="134BE19A" w14:textId="5B2D8B3D" w:rsidR="004A0F05" w:rsidRPr="00D74068" w:rsidRDefault="0097180E">
          <w:pPr>
            <w:pStyle w:val="TOC1"/>
            <w:tabs>
              <w:tab w:val="right" w:leader="dot" w:pos="13948"/>
            </w:tabs>
            <w:rPr>
              <w:rFonts w:ascii="Arial Narrow" w:eastAsiaTheme="minorEastAsia" w:hAnsi="Arial Narrow"/>
              <w:noProof/>
              <w:lang w:eastAsia="en-ZA"/>
            </w:rPr>
          </w:pPr>
          <w:hyperlink w:anchor="_Toc50576917" w:history="1">
            <w:r w:rsidR="004A0F05" w:rsidRPr="00D74068">
              <w:rPr>
                <w:rStyle w:val="Hyperlink"/>
                <w:rFonts w:ascii="Arial Narrow" w:hAnsi="Arial Narrow"/>
                <w:noProof/>
              </w:rPr>
              <w:t>7</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INTERNATIONAL TREATISE / AGREEMENTS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21</w:t>
            </w:r>
            <w:r w:rsidR="004A0F05" w:rsidRPr="00D74068">
              <w:rPr>
                <w:rFonts w:ascii="Arial Narrow" w:hAnsi="Arial Narrow"/>
                <w:noProof/>
                <w:webHidden/>
              </w:rPr>
              <w:fldChar w:fldCharType="end"/>
            </w:r>
          </w:hyperlink>
        </w:p>
        <w:p w14:paraId="611A974D" w14:textId="2283AAA3" w:rsidR="004A0F05" w:rsidRPr="00D74068" w:rsidRDefault="0097180E">
          <w:pPr>
            <w:pStyle w:val="TOC1"/>
            <w:tabs>
              <w:tab w:val="right" w:leader="dot" w:pos="13948"/>
            </w:tabs>
            <w:rPr>
              <w:rFonts w:ascii="Arial Narrow" w:eastAsiaTheme="minorEastAsia" w:hAnsi="Arial Narrow"/>
              <w:noProof/>
              <w:lang w:eastAsia="en-ZA"/>
            </w:rPr>
          </w:pPr>
          <w:hyperlink w:anchor="_Toc50576918" w:history="1">
            <w:r w:rsidR="004A0F05" w:rsidRPr="00D74068">
              <w:rPr>
                <w:rStyle w:val="Hyperlink"/>
                <w:rFonts w:ascii="Arial Narrow" w:hAnsi="Arial Narrow"/>
                <w:noProof/>
              </w:rPr>
              <w:t>8</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GEYODI EMPOWERMENT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21</w:t>
            </w:r>
            <w:r w:rsidR="004A0F05" w:rsidRPr="00D74068">
              <w:rPr>
                <w:rFonts w:ascii="Arial Narrow" w:hAnsi="Arial Narrow"/>
                <w:noProof/>
                <w:webHidden/>
              </w:rPr>
              <w:fldChar w:fldCharType="end"/>
            </w:r>
          </w:hyperlink>
        </w:p>
        <w:p w14:paraId="542B5451" w14:textId="2223457D" w:rsidR="004A0F05" w:rsidRPr="00D74068" w:rsidRDefault="0097180E">
          <w:pPr>
            <w:pStyle w:val="TOC1"/>
            <w:tabs>
              <w:tab w:val="right" w:leader="dot" w:pos="13948"/>
            </w:tabs>
            <w:rPr>
              <w:rFonts w:ascii="Arial Narrow" w:eastAsiaTheme="minorEastAsia" w:hAnsi="Arial Narrow"/>
              <w:noProof/>
              <w:lang w:eastAsia="en-ZA"/>
            </w:rPr>
          </w:pPr>
          <w:hyperlink w:anchor="_Toc50576919" w:history="1">
            <w:r w:rsidR="004A0F05" w:rsidRPr="00D74068">
              <w:rPr>
                <w:rStyle w:val="Hyperlink"/>
                <w:rFonts w:ascii="Arial Narrow" w:hAnsi="Arial Narrow"/>
                <w:noProof/>
              </w:rPr>
              <w:t>9</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COMPLIANCE WITH FIDUCIARY REQUIREMENTS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22</w:t>
            </w:r>
            <w:r w:rsidR="004A0F05" w:rsidRPr="00D74068">
              <w:rPr>
                <w:rFonts w:ascii="Arial Narrow" w:hAnsi="Arial Narrow"/>
                <w:noProof/>
                <w:webHidden/>
              </w:rPr>
              <w:fldChar w:fldCharType="end"/>
            </w:r>
          </w:hyperlink>
        </w:p>
        <w:p w14:paraId="1D4E7E1F" w14:textId="72C3B6CE" w:rsidR="004A0F05" w:rsidRPr="00D74068" w:rsidRDefault="0097180E">
          <w:pPr>
            <w:pStyle w:val="TOC1"/>
            <w:tabs>
              <w:tab w:val="right" w:leader="dot" w:pos="13948"/>
            </w:tabs>
            <w:rPr>
              <w:rFonts w:ascii="Arial Narrow" w:eastAsiaTheme="minorEastAsia" w:hAnsi="Arial Narrow"/>
              <w:noProof/>
              <w:lang w:eastAsia="en-ZA"/>
            </w:rPr>
          </w:pPr>
          <w:hyperlink w:anchor="_Toc50576920" w:history="1">
            <w:r w:rsidR="004A0F05" w:rsidRPr="00D74068">
              <w:rPr>
                <w:rStyle w:val="Hyperlink"/>
                <w:rFonts w:ascii="Arial Narrow" w:hAnsi="Arial Narrow"/>
                <w:noProof/>
              </w:rPr>
              <w:t>10</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 CAPACITATED PUBLIC SERVICE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22</w:t>
            </w:r>
            <w:r w:rsidR="004A0F05" w:rsidRPr="00D74068">
              <w:rPr>
                <w:rFonts w:ascii="Arial Narrow" w:hAnsi="Arial Narrow"/>
                <w:noProof/>
                <w:webHidden/>
              </w:rPr>
              <w:fldChar w:fldCharType="end"/>
            </w:r>
          </w:hyperlink>
        </w:p>
        <w:p w14:paraId="674924CE" w14:textId="6070B6C2" w:rsidR="004A0F05" w:rsidRPr="00D74068" w:rsidRDefault="0097180E">
          <w:pPr>
            <w:pStyle w:val="TOC1"/>
            <w:tabs>
              <w:tab w:val="right" w:leader="dot" w:pos="13948"/>
            </w:tabs>
            <w:rPr>
              <w:rFonts w:ascii="Arial Narrow" w:eastAsiaTheme="minorEastAsia" w:hAnsi="Arial Narrow"/>
              <w:noProof/>
              <w:lang w:eastAsia="en-ZA"/>
            </w:rPr>
          </w:pPr>
          <w:hyperlink w:anchor="_Toc50576921" w:history="1">
            <w:r w:rsidR="004A0F05" w:rsidRPr="00D74068">
              <w:rPr>
                <w:rStyle w:val="Hyperlink"/>
                <w:rFonts w:ascii="Arial Narrow" w:hAnsi="Arial Narrow"/>
                <w:noProof/>
              </w:rPr>
              <w:t>11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ANY OTHER COMMITTEE FOCUS AREA</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23</w:t>
            </w:r>
            <w:r w:rsidR="004A0F05" w:rsidRPr="00D74068">
              <w:rPr>
                <w:rFonts w:ascii="Arial Narrow" w:hAnsi="Arial Narrow"/>
                <w:noProof/>
                <w:webHidden/>
              </w:rPr>
              <w:fldChar w:fldCharType="end"/>
            </w:r>
          </w:hyperlink>
        </w:p>
        <w:p w14:paraId="7C15DFDA" w14:textId="6C272C5C" w:rsidR="004A0F05" w:rsidRPr="00D74068" w:rsidRDefault="0097180E">
          <w:pPr>
            <w:pStyle w:val="TOC1"/>
            <w:tabs>
              <w:tab w:val="right" w:leader="dot" w:pos="13948"/>
            </w:tabs>
            <w:rPr>
              <w:rFonts w:ascii="Arial Narrow" w:eastAsiaTheme="minorEastAsia" w:hAnsi="Arial Narrow"/>
              <w:noProof/>
              <w:lang w:eastAsia="en-ZA"/>
            </w:rPr>
          </w:pPr>
          <w:hyperlink w:anchor="_Toc50576922" w:history="1">
            <w:r w:rsidR="004A0F05" w:rsidRPr="00D74068">
              <w:rPr>
                <w:rStyle w:val="Hyperlink"/>
                <w:rFonts w:ascii="Arial Narrow" w:hAnsi="Arial Narrow"/>
                <w:noProof/>
              </w:rPr>
              <w:t>12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FINDINGS / CONCERNS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23</w:t>
            </w:r>
            <w:r w:rsidR="004A0F05" w:rsidRPr="00D74068">
              <w:rPr>
                <w:rFonts w:ascii="Arial Narrow" w:hAnsi="Arial Narrow"/>
                <w:noProof/>
                <w:webHidden/>
              </w:rPr>
              <w:fldChar w:fldCharType="end"/>
            </w:r>
          </w:hyperlink>
        </w:p>
        <w:p w14:paraId="6E39B969" w14:textId="185DB804" w:rsidR="004A0F05" w:rsidRPr="00D74068" w:rsidRDefault="0097180E">
          <w:pPr>
            <w:pStyle w:val="TOC1"/>
            <w:tabs>
              <w:tab w:val="right" w:leader="dot" w:pos="13948"/>
            </w:tabs>
            <w:rPr>
              <w:rFonts w:ascii="Arial Narrow" w:eastAsiaTheme="minorEastAsia" w:hAnsi="Arial Narrow"/>
              <w:noProof/>
              <w:lang w:eastAsia="en-ZA"/>
            </w:rPr>
          </w:pPr>
          <w:hyperlink w:anchor="_Toc50576923" w:history="1">
            <w:r w:rsidR="004A0F05" w:rsidRPr="00D74068">
              <w:rPr>
                <w:rStyle w:val="Hyperlink"/>
                <w:rFonts w:ascii="Arial Narrow" w:hAnsi="Arial Narrow"/>
                <w:noProof/>
              </w:rPr>
              <w:t>13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RECOMMENDATIONS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23</w:t>
            </w:r>
            <w:r w:rsidR="004A0F05" w:rsidRPr="00D74068">
              <w:rPr>
                <w:rFonts w:ascii="Arial Narrow" w:hAnsi="Arial Narrow"/>
                <w:noProof/>
                <w:webHidden/>
              </w:rPr>
              <w:fldChar w:fldCharType="end"/>
            </w:r>
          </w:hyperlink>
        </w:p>
        <w:p w14:paraId="378ADDDE" w14:textId="02CEAF3B" w:rsidR="004A0F05" w:rsidRPr="00D74068" w:rsidRDefault="0097180E">
          <w:pPr>
            <w:pStyle w:val="TOC1"/>
            <w:tabs>
              <w:tab w:val="right" w:leader="dot" w:pos="13948"/>
            </w:tabs>
            <w:rPr>
              <w:rFonts w:ascii="Arial Narrow" w:eastAsiaTheme="minorEastAsia" w:hAnsi="Arial Narrow"/>
              <w:noProof/>
              <w:lang w:eastAsia="en-ZA"/>
            </w:rPr>
          </w:pPr>
          <w:hyperlink w:anchor="_Toc50576924" w:history="1">
            <w:r w:rsidR="004A0F05" w:rsidRPr="00D74068">
              <w:rPr>
                <w:rStyle w:val="Hyperlink"/>
                <w:rFonts w:ascii="Arial Narrow" w:hAnsi="Arial Narrow"/>
                <w:noProof/>
              </w:rPr>
              <w:t>14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ACKNOWLEDGEMENTS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25</w:t>
            </w:r>
            <w:r w:rsidR="004A0F05" w:rsidRPr="00D74068">
              <w:rPr>
                <w:rFonts w:ascii="Arial Narrow" w:hAnsi="Arial Narrow"/>
                <w:noProof/>
                <w:webHidden/>
              </w:rPr>
              <w:fldChar w:fldCharType="end"/>
            </w:r>
          </w:hyperlink>
        </w:p>
        <w:p w14:paraId="656E56B4" w14:textId="025515AD" w:rsidR="004A0F05" w:rsidRPr="00D74068" w:rsidRDefault="0097180E">
          <w:pPr>
            <w:pStyle w:val="TOC1"/>
            <w:tabs>
              <w:tab w:val="right" w:leader="dot" w:pos="13948"/>
            </w:tabs>
            <w:rPr>
              <w:rFonts w:ascii="Arial Narrow" w:eastAsiaTheme="minorEastAsia" w:hAnsi="Arial Narrow"/>
              <w:noProof/>
              <w:lang w:eastAsia="en-ZA"/>
            </w:rPr>
          </w:pPr>
          <w:hyperlink w:anchor="_Toc50576925" w:history="1">
            <w:r w:rsidR="004A0F05" w:rsidRPr="00D74068">
              <w:rPr>
                <w:rStyle w:val="Hyperlink"/>
                <w:rFonts w:ascii="Arial Narrow" w:hAnsi="Arial Narrow"/>
                <w:noProof/>
              </w:rPr>
              <w:t>15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ADOPTION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147DC">
              <w:rPr>
                <w:rFonts w:ascii="Arial Narrow" w:hAnsi="Arial Narrow"/>
                <w:noProof/>
                <w:webHidden/>
              </w:rPr>
              <w:t>25</w:t>
            </w:r>
            <w:r w:rsidR="004A0F05" w:rsidRPr="00D74068">
              <w:rPr>
                <w:rFonts w:ascii="Arial Narrow" w:hAnsi="Arial Narrow"/>
                <w:noProof/>
                <w:webHidden/>
              </w:rPr>
              <w:fldChar w:fldCharType="end"/>
            </w:r>
          </w:hyperlink>
        </w:p>
        <w:p w14:paraId="00FFE1CE" w14:textId="0505790A" w:rsidR="00ED70F4" w:rsidRPr="00527ABA" w:rsidRDefault="00D754DB" w:rsidP="00527ABA">
          <w:pPr>
            <w:rPr>
              <w:rFonts w:ascii="Arial Narrow" w:hAnsi="Arial Narrow"/>
            </w:rPr>
          </w:pPr>
          <w:r w:rsidRPr="00D74068">
            <w:rPr>
              <w:rFonts w:ascii="Arial Narrow" w:hAnsi="Arial Narrow"/>
              <w:b/>
              <w:bCs/>
              <w:noProof/>
            </w:rPr>
            <w:fldChar w:fldCharType="end"/>
          </w:r>
        </w:p>
      </w:sdtContent>
    </w:sdt>
    <w:p w14:paraId="73864F89" w14:textId="39BF56BB" w:rsidR="004B7663" w:rsidRPr="00D74068" w:rsidRDefault="009A46D6"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1" w:name="_Toc50576907"/>
      <w:r w:rsidRPr="00D74068">
        <w:rPr>
          <w:rFonts w:ascii="Arial Narrow" w:hAnsi="Arial Narrow"/>
          <w:color w:val="auto"/>
          <w:sz w:val="22"/>
          <w:szCs w:val="22"/>
        </w:rPr>
        <w:lastRenderedPageBreak/>
        <w:t>ABBREVIATIONS</w:t>
      </w:r>
      <w:bookmarkEnd w:id="1"/>
    </w:p>
    <w:p w14:paraId="02A63859" w14:textId="77777777" w:rsidR="004B7663" w:rsidRPr="00D74068"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2D57E0" w:rsidRPr="00D74068" w14:paraId="69410F55" w14:textId="77777777" w:rsidTr="00F852C4">
        <w:tc>
          <w:tcPr>
            <w:tcW w:w="3080" w:type="dxa"/>
            <w:shd w:val="clear" w:color="auto" w:fill="FFFFFF" w:themeFill="background1"/>
          </w:tcPr>
          <w:p w14:paraId="3E265B72" w14:textId="266B077B" w:rsidR="002D57E0" w:rsidRPr="00D74068" w:rsidRDefault="002D57E0" w:rsidP="00AF0E97">
            <w:pPr>
              <w:jc w:val="left"/>
              <w:rPr>
                <w:rFonts w:ascii="Arial Narrow" w:hAnsi="Arial Narrow" w:cs="Arial Narrow"/>
                <w:bCs/>
              </w:rPr>
            </w:pPr>
            <w:r>
              <w:rPr>
                <w:rFonts w:ascii="Arial Narrow" w:hAnsi="Arial Narrow" w:cs="Arial Narrow"/>
                <w:bCs/>
              </w:rPr>
              <w:t>AEL</w:t>
            </w:r>
          </w:p>
        </w:tc>
        <w:tc>
          <w:tcPr>
            <w:tcW w:w="10949" w:type="dxa"/>
            <w:shd w:val="clear" w:color="auto" w:fill="FFFFFF" w:themeFill="background1"/>
          </w:tcPr>
          <w:p w14:paraId="608F01B3" w14:textId="048843B8" w:rsidR="002D57E0" w:rsidRPr="00D74068" w:rsidRDefault="002D57E0" w:rsidP="00AF0E97">
            <w:pPr>
              <w:jc w:val="left"/>
              <w:rPr>
                <w:rFonts w:ascii="Arial Narrow" w:hAnsi="Arial Narrow" w:cs="Arial Narrow"/>
                <w:bCs/>
              </w:rPr>
            </w:pPr>
            <w:r w:rsidRPr="002D57E0">
              <w:rPr>
                <w:rFonts w:ascii="Arial Narrow" w:hAnsi="Arial Narrow" w:cs="Arial Narrow"/>
                <w:bCs/>
              </w:rPr>
              <w:t xml:space="preserve">Atmospheric Emission License </w:t>
            </w:r>
          </w:p>
        </w:tc>
      </w:tr>
      <w:tr w:rsidR="00F852C4" w:rsidRPr="00D74068" w14:paraId="0C07D113" w14:textId="77777777" w:rsidTr="00F852C4">
        <w:tc>
          <w:tcPr>
            <w:tcW w:w="3080" w:type="dxa"/>
            <w:shd w:val="clear" w:color="auto" w:fill="FFFFFF" w:themeFill="background1"/>
          </w:tcPr>
          <w:p w14:paraId="1C81AE0C"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APP</w:t>
            </w:r>
          </w:p>
        </w:tc>
        <w:tc>
          <w:tcPr>
            <w:tcW w:w="10949" w:type="dxa"/>
            <w:shd w:val="clear" w:color="auto" w:fill="FFFFFF" w:themeFill="background1"/>
          </w:tcPr>
          <w:p w14:paraId="35FED395"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Annual Performance Plan</w:t>
            </w:r>
          </w:p>
        </w:tc>
      </w:tr>
      <w:tr w:rsidR="00226975" w:rsidRPr="00D74068" w14:paraId="251256C3" w14:textId="77777777" w:rsidTr="00F852C4">
        <w:tc>
          <w:tcPr>
            <w:tcW w:w="3080" w:type="dxa"/>
            <w:shd w:val="clear" w:color="auto" w:fill="FFFFFF" w:themeFill="background1"/>
          </w:tcPr>
          <w:p w14:paraId="1A99996A" w14:textId="29D4AF7D" w:rsidR="00226975" w:rsidRPr="00D74068" w:rsidRDefault="00226975" w:rsidP="00AF0E97">
            <w:pPr>
              <w:jc w:val="left"/>
              <w:rPr>
                <w:rFonts w:ascii="Arial Narrow" w:hAnsi="Arial Narrow" w:cs="Arial Narrow"/>
                <w:bCs/>
              </w:rPr>
            </w:pPr>
            <w:r>
              <w:rPr>
                <w:rFonts w:ascii="Arial Narrow" w:hAnsi="Arial Narrow" w:cs="Arial Narrow"/>
                <w:bCs/>
              </w:rPr>
              <w:t>DBSA</w:t>
            </w:r>
          </w:p>
        </w:tc>
        <w:tc>
          <w:tcPr>
            <w:tcW w:w="10949" w:type="dxa"/>
            <w:shd w:val="clear" w:color="auto" w:fill="FFFFFF" w:themeFill="background1"/>
          </w:tcPr>
          <w:p w14:paraId="119F3DCB" w14:textId="7D7C5FC6" w:rsidR="00226975" w:rsidRPr="00D74068" w:rsidRDefault="00226975" w:rsidP="00AF0E97">
            <w:pPr>
              <w:jc w:val="left"/>
              <w:rPr>
                <w:rFonts w:ascii="Arial Narrow" w:hAnsi="Arial Narrow" w:cs="Arial Narrow"/>
                <w:bCs/>
              </w:rPr>
            </w:pPr>
            <w:r w:rsidRPr="00226975">
              <w:rPr>
                <w:rFonts w:ascii="Arial Narrow" w:hAnsi="Arial Narrow" w:cs="Arial Narrow"/>
                <w:bCs/>
                <w:lang w:val="en-GB"/>
              </w:rPr>
              <w:t>Development Bank of South Africa</w:t>
            </w:r>
          </w:p>
        </w:tc>
      </w:tr>
      <w:tr w:rsidR="00837830" w:rsidRPr="00D74068" w14:paraId="6E940CB6" w14:textId="77777777" w:rsidTr="00F852C4">
        <w:tc>
          <w:tcPr>
            <w:tcW w:w="3080" w:type="dxa"/>
            <w:shd w:val="clear" w:color="auto" w:fill="FFFFFF" w:themeFill="background1"/>
          </w:tcPr>
          <w:p w14:paraId="3EFB6D78" w14:textId="1615C680" w:rsidR="00837830" w:rsidRPr="00D74068" w:rsidRDefault="00837830" w:rsidP="00AF0E97">
            <w:pPr>
              <w:jc w:val="left"/>
              <w:rPr>
                <w:rFonts w:ascii="Arial Narrow" w:hAnsi="Arial Narrow" w:cs="Arial Narrow"/>
                <w:bCs/>
              </w:rPr>
            </w:pPr>
            <w:r w:rsidRPr="00D74068">
              <w:rPr>
                <w:rFonts w:ascii="Arial Narrow" w:hAnsi="Arial Narrow" w:cs="Arial Narrow"/>
                <w:bCs/>
              </w:rPr>
              <w:t>GEYODI</w:t>
            </w:r>
          </w:p>
        </w:tc>
        <w:tc>
          <w:tcPr>
            <w:tcW w:w="10949" w:type="dxa"/>
            <w:shd w:val="clear" w:color="auto" w:fill="FFFFFF" w:themeFill="background1"/>
          </w:tcPr>
          <w:p w14:paraId="4EA36CDC" w14:textId="1828FF27" w:rsidR="00837830" w:rsidRPr="00D74068" w:rsidRDefault="00837830" w:rsidP="00AF0E97">
            <w:pPr>
              <w:jc w:val="left"/>
              <w:rPr>
                <w:rFonts w:ascii="Arial Narrow" w:hAnsi="Arial Narrow" w:cs="Arial Narrow"/>
                <w:bCs/>
              </w:rPr>
            </w:pPr>
            <w:r w:rsidRPr="00D74068">
              <w:rPr>
                <w:rFonts w:ascii="Arial Narrow" w:hAnsi="Arial Narrow" w:cs="Arial Narrow"/>
                <w:bCs/>
              </w:rPr>
              <w:t>Gender, Youth, Persons living with Disabilities</w:t>
            </w:r>
          </w:p>
        </w:tc>
      </w:tr>
      <w:tr w:rsidR="00410698" w:rsidRPr="00D74068" w14:paraId="20BDBE24" w14:textId="77777777" w:rsidTr="00F852C4">
        <w:tc>
          <w:tcPr>
            <w:tcW w:w="3080" w:type="dxa"/>
            <w:shd w:val="clear" w:color="auto" w:fill="FFFFFF" w:themeFill="background1"/>
          </w:tcPr>
          <w:p w14:paraId="1EC45966" w14:textId="7BCF9836" w:rsidR="00410698" w:rsidRPr="00D74068" w:rsidRDefault="00410698" w:rsidP="00AF0E97">
            <w:pPr>
              <w:jc w:val="left"/>
              <w:rPr>
                <w:rFonts w:ascii="Arial Narrow" w:hAnsi="Arial Narrow" w:cs="Arial Narrow"/>
                <w:bCs/>
              </w:rPr>
            </w:pPr>
            <w:r>
              <w:rPr>
                <w:rFonts w:ascii="Arial Narrow" w:hAnsi="Arial Narrow" w:cs="Arial Narrow"/>
                <w:bCs/>
              </w:rPr>
              <w:t>GPEMF</w:t>
            </w:r>
          </w:p>
        </w:tc>
        <w:tc>
          <w:tcPr>
            <w:tcW w:w="10949" w:type="dxa"/>
            <w:shd w:val="clear" w:color="auto" w:fill="FFFFFF" w:themeFill="background1"/>
          </w:tcPr>
          <w:p w14:paraId="6DA652A7" w14:textId="5CCAE40D" w:rsidR="00410698" w:rsidRPr="00D74068" w:rsidRDefault="00410698" w:rsidP="00AF0E97">
            <w:pPr>
              <w:jc w:val="left"/>
              <w:rPr>
                <w:rFonts w:ascii="Arial Narrow" w:hAnsi="Arial Narrow" w:cs="Arial Narrow"/>
                <w:bCs/>
              </w:rPr>
            </w:pPr>
            <w:r w:rsidRPr="00410698">
              <w:rPr>
                <w:rFonts w:ascii="Arial Narrow" w:hAnsi="Arial Narrow" w:cs="Arial Narrow"/>
                <w:bCs/>
              </w:rPr>
              <w:t>Gauteng Provincial Environmental Management Framework</w:t>
            </w:r>
          </w:p>
        </w:tc>
      </w:tr>
      <w:tr w:rsidR="00837830" w:rsidRPr="00D74068" w14:paraId="4BB9FBBB" w14:textId="77777777" w:rsidTr="00F852C4">
        <w:tc>
          <w:tcPr>
            <w:tcW w:w="3080" w:type="dxa"/>
            <w:shd w:val="clear" w:color="auto" w:fill="FFFFFF" w:themeFill="background1"/>
          </w:tcPr>
          <w:p w14:paraId="6E28B53C" w14:textId="332C5BCD" w:rsidR="00837830" w:rsidRPr="00D74068" w:rsidRDefault="00837830" w:rsidP="00AF0E97">
            <w:pPr>
              <w:jc w:val="left"/>
              <w:rPr>
                <w:rFonts w:ascii="Arial Narrow" w:hAnsi="Arial Narrow" w:cs="Arial Narrow"/>
                <w:bCs/>
              </w:rPr>
            </w:pPr>
            <w:r w:rsidRPr="00D74068">
              <w:rPr>
                <w:rFonts w:ascii="Arial Narrow" w:hAnsi="Arial Narrow" w:cs="Arial Narrow"/>
                <w:bCs/>
              </w:rPr>
              <w:t>GGT-2030</w:t>
            </w:r>
          </w:p>
        </w:tc>
        <w:tc>
          <w:tcPr>
            <w:tcW w:w="10949" w:type="dxa"/>
            <w:shd w:val="clear" w:color="auto" w:fill="FFFFFF" w:themeFill="background1"/>
          </w:tcPr>
          <w:p w14:paraId="2ABDBAF4" w14:textId="0F9CE111" w:rsidR="00837830" w:rsidRPr="00D74068" w:rsidRDefault="00837830" w:rsidP="00AF0E97">
            <w:pPr>
              <w:jc w:val="left"/>
              <w:rPr>
                <w:rFonts w:ascii="Arial Narrow" w:hAnsi="Arial Narrow" w:cs="Arial Narrow"/>
                <w:bCs/>
              </w:rPr>
            </w:pPr>
            <w:r w:rsidRPr="00D74068">
              <w:rPr>
                <w:rFonts w:ascii="Arial Narrow" w:hAnsi="Arial Narrow" w:cs="Arial Narrow"/>
                <w:bCs/>
              </w:rPr>
              <w:t>Growing Gauteng Together</w:t>
            </w:r>
            <w:r w:rsidR="001F644C" w:rsidRPr="00D74068">
              <w:rPr>
                <w:rFonts w:ascii="Arial Narrow" w:hAnsi="Arial Narrow" w:cs="Arial Narrow"/>
                <w:bCs/>
              </w:rPr>
              <w:t xml:space="preserve"> – Our Vision 2030</w:t>
            </w:r>
          </w:p>
        </w:tc>
      </w:tr>
      <w:tr w:rsidR="00837830" w:rsidRPr="00D74068" w14:paraId="00C3824D" w14:textId="77777777" w:rsidTr="00F852C4">
        <w:tc>
          <w:tcPr>
            <w:tcW w:w="3080" w:type="dxa"/>
            <w:shd w:val="clear" w:color="auto" w:fill="FFFFFF" w:themeFill="background1"/>
          </w:tcPr>
          <w:p w14:paraId="6C0C570D" w14:textId="17D78AEF" w:rsidR="00837830" w:rsidRPr="00D74068" w:rsidRDefault="00837830" w:rsidP="00AF0E97">
            <w:pPr>
              <w:jc w:val="left"/>
              <w:rPr>
                <w:rFonts w:ascii="Arial Narrow" w:hAnsi="Arial Narrow" w:cs="Arial Narrow"/>
                <w:bCs/>
              </w:rPr>
            </w:pPr>
            <w:r w:rsidRPr="00D74068">
              <w:rPr>
                <w:rFonts w:ascii="Arial Narrow" w:hAnsi="Arial Narrow" w:cs="Arial Narrow"/>
                <w:bCs/>
              </w:rPr>
              <w:t>GPL</w:t>
            </w:r>
          </w:p>
        </w:tc>
        <w:tc>
          <w:tcPr>
            <w:tcW w:w="10949" w:type="dxa"/>
            <w:shd w:val="clear" w:color="auto" w:fill="FFFFFF" w:themeFill="background1"/>
          </w:tcPr>
          <w:p w14:paraId="3074829D" w14:textId="6FCAB6A6" w:rsidR="00837830" w:rsidRPr="00D74068" w:rsidRDefault="00837830" w:rsidP="00AF0E97">
            <w:pPr>
              <w:jc w:val="left"/>
              <w:rPr>
                <w:rFonts w:ascii="Arial Narrow" w:hAnsi="Arial Narrow" w:cs="Arial Narrow"/>
                <w:bCs/>
              </w:rPr>
            </w:pPr>
            <w:r w:rsidRPr="00D74068">
              <w:rPr>
                <w:rFonts w:ascii="Arial Narrow" w:hAnsi="Arial Narrow" w:cs="Arial Narrow"/>
                <w:bCs/>
              </w:rPr>
              <w:t>Gauteng Provincial Legislature</w:t>
            </w:r>
          </w:p>
        </w:tc>
      </w:tr>
      <w:tr w:rsidR="00410698" w:rsidRPr="00D74068" w14:paraId="2866E813" w14:textId="77777777" w:rsidTr="00F852C4">
        <w:tc>
          <w:tcPr>
            <w:tcW w:w="3080" w:type="dxa"/>
            <w:shd w:val="clear" w:color="auto" w:fill="FFFFFF" w:themeFill="background1"/>
          </w:tcPr>
          <w:p w14:paraId="23C3C1FF" w14:textId="532C2B9D" w:rsidR="00410698" w:rsidRPr="00D74068" w:rsidRDefault="00410698" w:rsidP="00AF0E97">
            <w:pPr>
              <w:jc w:val="left"/>
              <w:rPr>
                <w:rFonts w:ascii="Arial Narrow" w:hAnsi="Arial Narrow" w:cs="Arial Narrow"/>
                <w:bCs/>
              </w:rPr>
            </w:pPr>
            <w:r>
              <w:rPr>
                <w:rFonts w:ascii="Arial Narrow" w:hAnsi="Arial Narrow" w:cs="Arial Narrow"/>
                <w:bCs/>
              </w:rPr>
              <w:t>GWIS</w:t>
            </w:r>
          </w:p>
        </w:tc>
        <w:tc>
          <w:tcPr>
            <w:tcW w:w="10949" w:type="dxa"/>
            <w:shd w:val="clear" w:color="auto" w:fill="FFFFFF" w:themeFill="background1"/>
          </w:tcPr>
          <w:p w14:paraId="27F62144" w14:textId="4017EE67" w:rsidR="00410698" w:rsidRPr="00D74068" w:rsidRDefault="00410698" w:rsidP="00AF0E97">
            <w:pPr>
              <w:jc w:val="left"/>
              <w:rPr>
                <w:rFonts w:ascii="Arial Narrow" w:hAnsi="Arial Narrow" w:cs="Arial Narrow"/>
                <w:bCs/>
              </w:rPr>
            </w:pPr>
            <w:r w:rsidRPr="00410698">
              <w:rPr>
                <w:rFonts w:ascii="Arial Narrow" w:hAnsi="Arial Narrow" w:cs="Arial Narrow"/>
                <w:bCs/>
              </w:rPr>
              <w:t xml:space="preserve">Gauteng Waste Information System </w:t>
            </w:r>
          </w:p>
        </w:tc>
      </w:tr>
      <w:tr w:rsidR="009A46D6" w:rsidRPr="00D74068" w14:paraId="2D9DD9E7" w14:textId="77777777" w:rsidTr="00D754DB">
        <w:tc>
          <w:tcPr>
            <w:tcW w:w="3080" w:type="dxa"/>
          </w:tcPr>
          <w:p w14:paraId="22EC867E"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SOM</w:t>
            </w:r>
          </w:p>
        </w:tc>
        <w:tc>
          <w:tcPr>
            <w:tcW w:w="10949" w:type="dxa"/>
          </w:tcPr>
          <w:p w14:paraId="66F05947"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Sector Oversight Model</w:t>
            </w:r>
          </w:p>
        </w:tc>
      </w:tr>
      <w:tr w:rsidR="00F852C4" w:rsidRPr="00D74068" w14:paraId="7A414C6E" w14:textId="77777777" w:rsidTr="00D754DB">
        <w:tc>
          <w:tcPr>
            <w:tcW w:w="3080" w:type="dxa"/>
          </w:tcPr>
          <w:p w14:paraId="1BBD35FB"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MTSF</w:t>
            </w:r>
          </w:p>
        </w:tc>
        <w:tc>
          <w:tcPr>
            <w:tcW w:w="10949" w:type="dxa"/>
          </w:tcPr>
          <w:p w14:paraId="44CCA777" w14:textId="63015A76" w:rsidR="00F852C4" w:rsidRPr="00D74068" w:rsidRDefault="00F852C4" w:rsidP="00AF0E97">
            <w:pPr>
              <w:jc w:val="left"/>
              <w:rPr>
                <w:rFonts w:ascii="Arial Narrow" w:hAnsi="Arial Narrow" w:cs="Arial Narrow"/>
                <w:bCs/>
              </w:rPr>
            </w:pPr>
            <w:r w:rsidRPr="00D74068">
              <w:rPr>
                <w:rFonts w:ascii="Arial Narrow" w:hAnsi="Arial Narrow" w:cs="Arial Narrow"/>
                <w:bCs/>
              </w:rPr>
              <w:t>Medium Term Strategic Framework (in this case, relating to 201</w:t>
            </w:r>
            <w:r w:rsidR="00837830" w:rsidRPr="00D74068">
              <w:rPr>
                <w:rFonts w:ascii="Arial Narrow" w:hAnsi="Arial Narrow" w:cs="Arial Narrow"/>
                <w:bCs/>
              </w:rPr>
              <w:t>9</w:t>
            </w:r>
            <w:r w:rsidRPr="00D74068">
              <w:rPr>
                <w:rFonts w:ascii="Arial Narrow" w:hAnsi="Arial Narrow" w:cs="Arial Narrow"/>
                <w:bCs/>
              </w:rPr>
              <w:t>-20</w:t>
            </w:r>
            <w:r w:rsidR="00837830" w:rsidRPr="00D74068">
              <w:rPr>
                <w:rFonts w:ascii="Arial Narrow" w:hAnsi="Arial Narrow" w:cs="Arial Narrow"/>
                <w:bCs/>
              </w:rPr>
              <w:t>24</w:t>
            </w:r>
            <w:r w:rsidRPr="00D74068">
              <w:rPr>
                <w:rFonts w:ascii="Arial Narrow" w:hAnsi="Arial Narrow" w:cs="Arial Narrow"/>
                <w:bCs/>
              </w:rPr>
              <w:t xml:space="preserve"> Term of Office)</w:t>
            </w:r>
          </w:p>
        </w:tc>
      </w:tr>
      <w:tr w:rsidR="009A46D6" w:rsidRPr="00D74068" w14:paraId="0467090D" w14:textId="77777777" w:rsidTr="00D754DB">
        <w:tc>
          <w:tcPr>
            <w:tcW w:w="3080" w:type="dxa"/>
          </w:tcPr>
          <w:p w14:paraId="361E0DC0"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NDP</w:t>
            </w:r>
          </w:p>
        </w:tc>
        <w:tc>
          <w:tcPr>
            <w:tcW w:w="10949" w:type="dxa"/>
          </w:tcPr>
          <w:p w14:paraId="3A0246E8"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National Development Plan</w:t>
            </w:r>
          </w:p>
        </w:tc>
      </w:tr>
      <w:tr w:rsidR="009A46D6" w:rsidRPr="00D74068" w14:paraId="57FCD7E4" w14:textId="77777777" w:rsidTr="00D754DB">
        <w:tc>
          <w:tcPr>
            <w:tcW w:w="3080" w:type="dxa"/>
          </w:tcPr>
          <w:p w14:paraId="7FD2F83B"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PGDP</w:t>
            </w:r>
          </w:p>
        </w:tc>
        <w:tc>
          <w:tcPr>
            <w:tcW w:w="10949" w:type="dxa"/>
          </w:tcPr>
          <w:p w14:paraId="5B89FEB2"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Provincial Growth and Development Plan</w:t>
            </w:r>
          </w:p>
        </w:tc>
      </w:tr>
      <w:tr w:rsidR="00D536BE" w:rsidRPr="00D74068" w14:paraId="166D13FA" w14:textId="77777777" w:rsidTr="00D754DB">
        <w:tc>
          <w:tcPr>
            <w:tcW w:w="3080" w:type="dxa"/>
          </w:tcPr>
          <w:p w14:paraId="471E4A52" w14:textId="1677C770" w:rsidR="00D536BE" w:rsidRPr="00D74068" w:rsidRDefault="002D57E0" w:rsidP="00AF0E97">
            <w:pPr>
              <w:jc w:val="left"/>
              <w:rPr>
                <w:rFonts w:ascii="Arial Narrow" w:hAnsi="Arial Narrow" w:cs="Arial Narrow"/>
                <w:bCs/>
              </w:rPr>
            </w:pPr>
            <w:r>
              <w:rPr>
                <w:rFonts w:ascii="Arial Narrow" w:hAnsi="Arial Narrow" w:cs="Arial Narrow"/>
                <w:bCs/>
              </w:rPr>
              <w:t>POE</w:t>
            </w:r>
          </w:p>
        </w:tc>
        <w:tc>
          <w:tcPr>
            <w:tcW w:w="10949" w:type="dxa"/>
          </w:tcPr>
          <w:p w14:paraId="7015FBE3" w14:textId="0C1AC3A1" w:rsidR="00D536BE" w:rsidRPr="00D74068" w:rsidRDefault="00D536BE" w:rsidP="00AF0E97">
            <w:pPr>
              <w:jc w:val="left"/>
              <w:rPr>
                <w:rFonts w:ascii="Arial Narrow" w:hAnsi="Arial Narrow" w:cs="Arial Narrow"/>
                <w:bCs/>
              </w:rPr>
            </w:pPr>
            <w:r w:rsidRPr="00D536BE">
              <w:rPr>
                <w:rFonts w:ascii="Arial Narrow" w:hAnsi="Arial Narrow" w:cs="Arial Narrow"/>
                <w:bCs/>
                <w:iCs/>
                <w:lang w:val="en-US"/>
              </w:rPr>
              <w:t xml:space="preserve">Portfolios of Evidence </w:t>
            </w:r>
          </w:p>
        </w:tc>
      </w:tr>
      <w:tr w:rsidR="00D754DB" w:rsidRPr="00D74068" w14:paraId="1D84A0F1" w14:textId="77777777" w:rsidTr="00D754DB">
        <w:tc>
          <w:tcPr>
            <w:tcW w:w="3080" w:type="dxa"/>
          </w:tcPr>
          <w:p w14:paraId="19F32EE1" w14:textId="77777777" w:rsidR="00D754DB" w:rsidRPr="00D74068" w:rsidRDefault="00D754DB" w:rsidP="00AF0E97">
            <w:pPr>
              <w:jc w:val="left"/>
              <w:rPr>
                <w:rFonts w:ascii="Arial Narrow" w:hAnsi="Arial Narrow" w:cs="Arial Narrow"/>
                <w:bCs/>
              </w:rPr>
            </w:pPr>
            <w:proofErr w:type="spellStart"/>
            <w:r w:rsidRPr="00D74068">
              <w:rPr>
                <w:rFonts w:ascii="Arial Narrow" w:hAnsi="Arial Narrow" w:cs="Arial Narrow"/>
                <w:bCs/>
              </w:rPr>
              <w:t>PwDs</w:t>
            </w:r>
            <w:proofErr w:type="spellEnd"/>
          </w:p>
        </w:tc>
        <w:tc>
          <w:tcPr>
            <w:tcW w:w="10949" w:type="dxa"/>
          </w:tcPr>
          <w:p w14:paraId="215A3A8B" w14:textId="77777777" w:rsidR="00D754DB" w:rsidRPr="00D74068" w:rsidRDefault="00D754DB" w:rsidP="00AF0E97">
            <w:pPr>
              <w:jc w:val="left"/>
              <w:rPr>
                <w:rFonts w:ascii="Arial Narrow" w:hAnsi="Arial Narrow" w:cs="Arial Narrow"/>
                <w:bCs/>
              </w:rPr>
            </w:pPr>
            <w:r w:rsidRPr="00D74068">
              <w:rPr>
                <w:rFonts w:ascii="Arial Narrow" w:hAnsi="Arial Narrow" w:cs="Arial Narrow"/>
                <w:bCs/>
              </w:rPr>
              <w:t>Persons living with Disabilities</w:t>
            </w:r>
          </w:p>
        </w:tc>
      </w:tr>
      <w:tr w:rsidR="008830AE" w:rsidRPr="00D74068" w14:paraId="4902E852" w14:textId="77777777" w:rsidTr="00D754DB">
        <w:tc>
          <w:tcPr>
            <w:tcW w:w="3080" w:type="dxa"/>
          </w:tcPr>
          <w:p w14:paraId="041F0B1B"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RISDP</w:t>
            </w:r>
          </w:p>
        </w:tc>
        <w:tc>
          <w:tcPr>
            <w:tcW w:w="10949" w:type="dxa"/>
          </w:tcPr>
          <w:p w14:paraId="35F9BE36"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Regional Indicative Strategic Development Plan</w:t>
            </w:r>
          </w:p>
        </w:tc>
      </w:tr>
      <w:tr w:rsidR="008830AE" w:rsidRPr="00D74068" w14:paraId="6BC72FED" w14:textId="77777777" w:rsidTr="00D754DB">
        <w:tc>
          <w:tcPr>
            <w:tcW w:w="3080" w:type="dxa"/>
          </w:tcPr>
          <w:p w14:paraId="0F976F4E"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SDGs</w:t>
            </w:r>
          </w:p>
        </w:tc>
        <w:tc>
          <w:tcPr>
            <w:tcW w:w="10949" w:type="dxa"/>
          </w:tcPr>
          <w:p w14:paraId="3F95AAD3"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Sustainable Development Goals</w:t>
            </w:r>
          </w:p>
        </w:tc>
      </w:tr>
      <w:tr w:rsidR="002D57E0" w:rsidRPr="00D74068" w14:paraId="13CDD61F" w14:textId="77777777" w:rsidTr="00D754DB">
        <w:tc>
          <w:tcPr>
            <w:tcW w:w="3080" w:type="dxa"/>
          </w:tcPr>
          <w:p w14:paraId="45B1E394" w14:textId="17F7B12E" w:rsidR="002D57E0" w:rsidRPr="00D74068" w:rsidRDefault="002D57E0" w:rsidP="00AF0E97">
            <w:pPr>
              <w:jc w:val="left"/>
              <w:rPr>
                <w:rFonts w:ascii="Arial Narrow" w:hAnsi="Arial Narrow" w:cs="Arial Narrow"/>
                <w:bCs/>
              </w:rPr>
            </w:pPr>
            <w:r>
              <w:rPr>
                <w:rFonts w:ascii="Arial Narrow" w:hAnsi="Arial Narrow" w:cs="Arial Narrow"/>
                <w:bCs/>
              </w:rPr>
              <w:t>TER</w:t>
            </w:r>
          </w:p>
        </w:tc>
        <w:tc>
          <w:tcPr>
            <w:tcW w:w="10949" w:type="dxa"/>
          </w:tcPr>
          <w:p w14:paraId="54747C35" w14:textId="7AB97314" w:rsidR="002D57E0" w:rsidRPr="00D74068" w:rsidRDefault="002D57E0" w:rsidP="00AF0E97">
            <w:pPr>
              <w:jc w:val="left"/>
              <w:rPr>
                <w:rFonts w:ascii="Arial Narrow" w:hAnsi="Arial Narrow" w:cs="Arial Narrow"/>
                <w:bCs/>
              </w:rPr>
            </w:pPr>
            <w:r w:rsidRPr="002D57E0">
              <w:rPr>
                <w:rFonts w:ascii="Arial Narrow" w:hAnsi="Arial Narrow" w:cs="Arial Narrow"/>
                <w:bCs/>
              </w:rPr>
              <w:t xml:space="preserve">Township Economy Revitalisation </w:t>
            </w:r>
          </w:p>
        </w:tc>
      </w:tr>
    </w:tbl>
    <w:p w14:paraId="565F1A0C" w14:textId="4A721A90" w:rsidR="004B7663" w:rsidRPr="00D74068" w:rsidRDefault="00CE5E34"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r w:rsidRPr="00D74068">
        <w:rPr>
          <w:rFonts w:ascii="Arial Narrow" w:hAnsi="Arial Narrow"/>
        </w:rPr>
        <w:br w:type="page"/>
      </w:r>
      <w:bookmarkStart w:id="2" w:name="_Toc50576908"/>
      <w:r w:rsidR="009A46D6" w:rsidRPr="00D74068">
        <w:rPr>
          <w:rFonts w:ascii="Arial Narrow" w:hAnsi="Arial Narrow"/>
          <w:color w:val="auto"/>
          <w:sz w:val="22"/>
          <w:szCs w:val="22"/>
        </w:rPr>
        <w:lastRenderedPageBreak/>
        <w:t>SUMMARY</w:t>
      </w:r>
      <w:bookmarkEnd w:id="2"/>
    </w:p>
    <w:p w14:paraId="1977204B" w14:textId="77777777" w:rsidR="00F9671F" w:rsidRPr="00D74068"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D74068" w14:paraId="74F552DA" w14:textId="77777777" w:rsidTr="00035362">
        <w:trPr>
          <w:tblHeader/>
        </w:trPr>
        <w:tc>
          <w:tcPr>
            <w:tcW w:w="5000" w:type="pct"/>
            <w:shd w:val="clear" w:color="auto" w:fill="D6E3BC" w:themeFill="accent3" w:themeFillTint="66"/>
          </w:tcPr>
          <w:p w14:paraId="14E5AEE3" w14:textId="0C51FC67" w:rsidR="006E1F6C" w:rsidRPr="00D74068" w:rsidRDefault="00C918E0" w:rsidP="00AF0E97">
            <w:pPr>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035362">
        <w:trPr>
          <w:tblHeader/>
        </w:trPr>
        <w:tc>
          <w:tcPr>
            <w:tcW w:w="5000" w:type="pct"/>
            <w:shd w:val="clear" w:color="auto" w:fill="D6E3BC" w:themeFill="accent3" w:themeFillTint="66"/>
          </w:tcPr>
          <w:p w14:paraId="4E078DD5" w14:textId="5107D487" w:rsidR="004936B9" w:rsidRPr="00D74068" w:rsidRDefault="00035362" w:rsidP="00AF0E97">
            <w:pPr>
              <w:jc w:val="left"/>
              <w:rPr>
                <w:rFonts w:ascii="Arial Narrow" w:hAnsi="Arial Narrow" w:cs="Arial Narrow"/>
                <w:b/>
                <w:color w:val="FF0000"/>
              </w:rPr>
            </w:pPr>
            <w:r w:rsidRPr="00D74068">
              <w:rPr>
                <w:rFonts w:ascii="Arial Narrow" w:hAnsi="Arial Narrow" w:cs="Arial Narrow"/>
                <w:b/>
                <w:color w:val="FF0000"/>
                <w:highlight w:val="yellow"/>
              </w:rPr>
              <w:t>[Note: Only snapshots or “One-Liners” or Bullet Points of the most important / strategic achievements. No details please]</w:t>
            </w:r>
          </w:p>
        </w:tc>
      </w:tr>
      <w:tr w:rsidR="00600AFA" w:rsidRPr="00D74068" w14:paraId="7A2EB4C6" w14:textId="77777777" w:rsidTr="00035362">
        <w:tc>
          <w:tcPr>
            <w:tcW w:w="5000" w:type="pct"/>
            <w:shd w:val="clear" w:color="auto" w:fill="F2DBDB" w:themeFill="accent2" w:themeFillTint="33"/>
          </w:tcPr>
          <w:p w14:paraId="2D7D930D" w14:textId="77777777" w:rsidR="006149D2" w:rsidRPr="00D74068" w:rsidRDefault="006149D2" w:rsidP="000F7DFB">
            <w:pPr>
              <w:rPr>
                <w:rFonts w:ascii="Arial Narrow" w:hAnsi="Arial Narrow" w:cs="Arial Narrow"/>
                <w:b/>
                <w:bCs/>
                <w:i/>
                <w:iCs/>
                <w:color w:val="FF0000"/>
              </w:rPr>
            </w:pPr>
            <w:r w:rsidRPr="00D74068">
              <w:rPr>
                <w:rFonts w:ascii="Arial Narrow" w:hAnsi="Arial Narrow" w:cs="Arial Narrow"/>
                <w:b/>
                <w:bCs/>
                <w:i/>
                <w:iCs/>
                <w:color w:val="FF0000"/>
              </w:rPr>
              <w:t>Strategic Priorities</w:t>
            </w:r>
          </w:p>
          <w:p w14:paraId="4FB8A8C0" w14:textId="46282ED8" w:rsidR="00600AFA" w:rsidRPr="00D74068" w:rsidRDefault="00600AFA" w:rsidP="000F7DFB">
            <w:pPr>
              <w:rPr>
                <w:rFonts w:ascii="Arial Narrow" w:hAnsi="Arial Narrow" w:cs="Arial Narrow"/>
                <w:i/>
                <w:iCs/>
                <w:color w:val="FF0000"/>
              </w:rPr>
            </w:pPr>
            <w:r w:rsidRPr="00D74068">
              <w:rPr>
                <w:rFonts w:ascii="Arial Narrow" w:hAnsi="Arial Narrow" w:cs="Arial Narrow"/>
                <w:i/>
                <w:iCs/>
                <w:color w:val="FF0000"/>
              </w:rPr>
              <w:t xml:space="preserve">High level summary of Committee’s overall assessment of the </w:t>
            </w:r>
            <w:r w:rsidR="00D74068" w:rsidRPr="00D74068">
              <w:rPr>
                <w:rFonts w:ascii="Arial Narrow" w:hAnsi="Arial Narrow" w:cs="Arial Narrow"/>
                <w:i/>
                <w:iCs/>
                <w:color w:val="FF0000"/>
              </w:rPr>
              <w:t>Department / Entity</w:t>
            </w:r>
            <w:r w:rsidR="006149D2" w:rsidRPr="00D74068">
              <w:rPr>
                <w:rFonts w:ascii="Arial Narrow" w:hAnsi="Arial Narrow" w:cs="Arial Narrow"/>
                <w:i/>
                <w:iCs/>
                <w:color w:val="FF0000"/>
              </w:rPr>
              <w:t xml:space="preserve"> achievement of relevant strategic priorities </w:t>
            </w:r>
            <w:r w:rsidRPr="00D74068">
              <w:rPr>
                <w:rFonts w:ascii="Arial Narrow" w:hAnsi="Arial Narrow" w:cs="Arial Narrow"/>
                <w:i/>
                <w:iCs/>
                <w:color w:val="FF0000"/>
              </w:rPr>
              <w:t>for the period under Review</w:t>
            </w:r>
          </w:p>
        </w:tc>
      </w:tr>
      <w:tr w:rsidR="001619AC" w:rsidRPr="001619AC" w14:paraId="386F20A2" w14:textId="77777777" w:rsidTr="00035362">
        <w:tc>
          <w:tcPr>
            <w:tcW w:w="5000" w:type="pct"/>
          </w:tcPr>
          <w:p w14:paraId="611E1C0D" w14:textId="77777777" w:rsidR="00724DBD" w:rsidRDefault="00724DBD" w:rsidP="00724DBD">
            <w:pPr>
              <w:spacing w:line="276" w:lineRule="auto"/>
              <w:jc w:val="left"/>
              <w:rPr>
                <w:rFonts w:ascii="Arial Narrow" w:hAnsi="Arial Narrow" w:cs="Calibri"/>
              </w:rPr>
            </w:pPr>
          </w:p>
          <w:p w14:paraId="540CECEF" w14:textId="6A65281B" w:rsidR="006004E9" w:rsidRPr="006004E9" w:rsidRDefault="00724DBD" w:rsidP="006004E9">
            <w:pPr>
              <w:spacing w:line="276" w:lineRule="auto"/>
              <w:jc w:val="left"/>
              <w:rPr>
                <w:rFonts w:ascii="Arial Narrow" w:hAnsi="Arial Narrow" w:cs="Calibri"/>
                <w:bCs/>
                <w:iCs/>
                <w:lang w:val="en-US"/>
              </w:rPr>
            </w:pPr>
            <w:r>
              <w:rPr>
                <w:rFonts w:ascii="Arial Narrow" w:hAnsi="Arial Narrow" w:cs="Calibri"/>
              </w:rPr>
              <w:t xml:space="preserve">The Portfolio Committee noted that </w:t>
            </w:r>
            <w:r w:rsidR="006004E9">
              <w:rPr>
                <w:rFonts w:ascii="Arial Narrow" w:hAnsi="Arial Narrow" w:cs="Calibri"/>
              </w:rPr>
              <w:t>t</w:t>
            </w:r>
            <w:r w:rsidR="006004E9" w:rsidRPr="006004E9">
              <w:rPr>
                <w:rFonts w:ascii="Arial Narrow" w:hAnsi="Arial Narrow" w:cs="Calibri"/>
                <w:bCs/>
                <w:iCs/>
                <w:lang w:val="en-US"/>
              </w:rPr>
              <w:t xml:space="preserve">he expenditure incurred by the Department is R111 999 000. 00 (88%) against an allocation of R127 823 000. 00 by the end of the fourth quarter of 2021/22 FY. The material under-expenditure reported is R15 824 000. 00 (12%). In terms of the total budget and expenditure to date, the Department has utilized 97% of its annual budget. </w:t>
            </w:r>
          </w:p>
          <w:p w14:paraId="0EEA78B9" w14:textId="77777777" w:rsidR="006004E9" w:rsidRPr="006004E9" w:rsidRDefault="006004E9" w:rsidP="006004E9">
            <w:pPr>
              <w:spacing w:line="276" w:lineRule="auto"/>
              <w:jc w:val="left"/>
              <w:rPr>
                <w:rFonts w:ascii="Arial Narrow" w:hAnsi="Arial Narrow" w:cs="Calibri"/>
                <w:bCs/>
                <w:iCs/>
                <w:lang w:val="en-US"/>
              </w:rPr>
            </w:pPr>
          </w:p>
          <w:p w14:paraId="54261A43" w14:textId="696B9D92" w:rsidR="006004E9" w:rsidRPr="006004E9" w:rsidRDefault="006004E9" w:rsidP="006004E9">
            <w:pPr>
              <w:spacing w:line="276" w:lineRule="auto"/>
              <w:jc w:val="left"/>
              <w:rPr>
                <w:rFonts w:ascii="Arial Narrow" w:hAnsi="Arial Narrow" w:cs="Calibri"/>
                <w:bCs/>
                <w:iCs/>
                <w:lang w:val="en-US"/>
              </w:rPr>
            </w:pPr>
            <w:r w:rsidRPr="006004E9">
              <w:rPr>
                <w:rFonts w:ascii="Arial Narrow" w:hAnsi="Arial Narrow" w:cs="Calibri"/>
                <w:bCs/>
                <w:iCs/>
                <w:lang w:val="en-US"/>
              </w:rPr>
              <w:t xml:space="preserve"> The Department report</w:t>
            </w:r>
            <w:r>
              <w:rPr>
                <w:rFonts w:ascii="Arial Narrow" w:hAnsi="Arial Narrow" w:cs="Calibri"/>
                <w:bCs/>
                <w:iCs/>
                <w:lang w:val="en-US"/>
              </w:rPr>
              <w:t>ed</w:t>
            </w:r>
            <w:r w:rsidRPr="006004E9">
              <w:rPr>
                <w:rFonts w:ascii="Arial Narrow" w:hAnsi="Arial Narrow" w:cs="Calibri"/>
                <w:bCs/>
                <w:iCs/>
                <w:lang w:val="en-US"/>
              </w:rPr>
              <w:t xml:space="preserve"> that one (1) capacity building intervention on accountability and ethical conduct for councillors and officials in eleven (11) Gauteng municipalities has been conducted.</w:t>
            </w:r>
          </w:p>
          <w:p w14:paraId="54CA5A00" w14:textId="77777777" w:rsidR="006004E9" w:rsidRPr="006004E9" w:rsidRDefault="006004E9" w:rsidP="006004E9">
            <w:pPr>
              <w:spacing w:line="276" w:lineRule="auto"/>
              <w:jc w:val="left"/>
              <w:rPr>
                <w:rFonts w:ascii="Arial Narrow" w:hAnsi="Arial Narrow" w:cs="Calibri"/>
                <w:bCs/>
                <w:iCs/>
                <w:lang w:val="en-US"/>
              </w:rPr>
            </w:pPr>
          </w:p>
          <w:p w14:paraId="71EB8DC9" w14:textId="2C4817A3" w:rsidR="006004E9" w:rsidRPr="006004E9" w:rsidRDefault="006004E9" w:rsidP="006004E9">
            <w:pPr>
              <w:spacing w:line="276" w:lineRule="auto"/>
              <w:jc w:val="left"/>
              <w:rPr>
                <w:rFonts w:ascii="Arial Narrow" w:hAnsi="Arial Narrow" w:cs="Calibri"/>
                <w:bCs/>
                <w:iCs/>
                <w:lang w:val="en-US"/>
              </w:rPr>
            </w:pPr>
            <w:r>
              <w:rPr>
                <w:rFonts w:ascii="Arial Narrow" w:hAnsi="Arial Narrow" w:cs="Calibri"/>
                <w:bCs/>
                <w:iCs/>
                <w:lang w:val="en-US"/>
              </w:rPr>
              <w:t xml:space="preserve">The Department also </w:t>
            </w:r>
            <w:r w:rsidRPr="006004E9">
              <w:rPr>
                <w:rFonts w:ascii="Arial Narrow" w:hAnsi="Arial Narrow" w:cs="Calibri"/>
                <w:bCs/>
                <w:iCs/>
                <w:lang w:val="en-US"/>
              </w:rPr>
              <w:t xml:space="preserve"> reported that four (4) experts were deployed in regional teams to support municipalities to address service delivery challenges in municipalities.  </w:t>
            </w:r>
          </w:p>
          <w:p w14:paraId="74AB4569" w14:textId="77777777" w:rsidR="006004E9" w:rsidRPr="006004E9" w:rsidRDefault="006004E9" w:rsidP="006004E9">
            <w:pPr>
              <w:spacing w:line="276" w:lineRule="auto"/>
              <w:jc w:val="left"/>
              <w:rPr>
                <w:rFonts w:ascii="Arial Narrow" w:hAnsi="Arial Narrow" w:cs="Calibri"/>
                <w:bCs/>
                <w:iCs/>
                <w:lang w:val="en-US"/>
              </w:rPr>
            </w:pPr>
          </w:p>
          <w:p w14:paraId="6992D4D6" w14:textId="77777777" w:rsidR="006004E9" w:rsidRPr="006004E9" w:rsidRDefault="006004E9" w:rsidP="006004E9">
            <w:pPr>
              <w:spacing w:line="276" w:lineRule="auto"/>
              <w:jc w:val="left"/>
              <w:rPr>
                <w:rFonts w:ascii="Arial Narrow" w:hAnsi="Arial Narrow" w:cs="Calibri"/>
                <w:bCs/>
                <w:iCs/>
                <w:lang w:val="en-US"/>
              </w:rPr>
            </w:pPr>
            <w:r w:rsidRPr="006004E9">
              <w:rPr>
                <w:rFonts w:ascii="Arial Narrow" w:hAnsi="Arial Narrow" w:cs="Calibri"/>
                <w:bCs/>
                <w:iCs/>
                <w:lang w:val="en-US"/>
              </w:rPr>
              <w:t xml:space="preserve">The expenditure on municipal infrastructure grants remains stagnant (a combined 29%, just two months before the end of the municipal financial year).  </w:t>
            </w:r>
          </w:p>
          <w:p w14:paraId="40FC1425" w14:textId="77777777" w:rsidR="006004E9" w:rsidRPr="006004E9" w:rsidRDefault="006004E9" w:rsidP="006004E9">
            <w:pPr>
              <w:spacing w:line="276" w:lineRule="auto"/>
              <w:jc w:val="left"/>
              <w:rPr>
                <w:rFonts w:ascii="Arial Narrow" w:hAnsi="Arial Narrow" w:cs="Calibri"/>
                <w:bCs/>
                <w:iCs/>
                <w:lang w:val="en-US"/>
              </w:rPr>
            </w:pPr>
          </w:p>
          <w:p w14:paraId="219DB9B1" w14:textId="10150A95" w:rsidR="006004E9" w:rsidRPr="006004E9" w:rsidRDefault="006004E9" w:rsidP="006004E9">
            <w:pPr>
              <w:spacing w:line="276" w:lineRule="auto"/>
              <w:jc w:val="left"/>
              <w:rPr>
                <w:rFonts w:ascii="Arial Narrow" w:hAnsi="Arial Narrow" w:cs="Calibri"/>
                <w:b/>
                <w:bCs/>
                <w:iCs/>
                <w:lang w:val="en-US"/>
              </w:rPr>
            </w:pPr>
            <w:r w:rsidRPr="006004E9">
              <w:rPr>
                <w:rFonts w:ascii="Arial Narrow" w:hAnsi="Arial Narrow" w:cs="Calibri"/>
                <w:bCs/>
                <w:iCs/>
                <w:lang w:val="en-US"/>
              </w:rPr>
              <w:t xml:space="preserve">On risk assessment, </w:t>
            </w:r>
            <w:r>
              <w:rPr>
                <w:rFonts w:ascii="Arial Narrow" w:hAnsi="Arial Narrow" w:cs="Calibri"/>
                <w:bCs/>
                <w:iCs/>
                <w:lang w:val="en-US"/>
              </w:rPr>
              <w:t xml:space="preserve">the Portfolio Committee noted </w:t>
            </w:r>
            <w:r w:rsidRPr="006004E9">
              <w:rPr>
                <w:rFonts w:ascii="Arial Narrow" w:hAnsi="Arial Narrow" w:cs="Calibri"/>
                <w:bCs/>
                <w:iCs/>
                <w:lang w:val="en-US"/>
              </w:rPr>
              <w:t>lack of funding to support existing</w:t>
            </w:r>
            <w:r>
              <w:t xml:space="preserve"> </w:t>
            </w:r>
            <w:r w:rsidRPr="006004E9">
              <w:rPr>
                <w:rFonts w:ascii="Arial Narrow" w:hAnsi="Arial Narrow" w:cs="Calibri"/>
                <w:bCs/>
                <w:iCs/>
                <w:lang w:val="en-US"/>
              </w:rPr>
              <w:t>municipal</w:t>
            </w:r>
            <w:r>
              <w:rPr>
                <w:rFonts w:ascii="Arial Narrow" w:hAnsi="Arial Narrow" w:cs="Calibri"/>
                <w:bCs/>
                <w:iCs/>
                <w:lang w:val="en-US"/>
              </w:rPr>
              <w:t>ities</w:t>
            </w:r>
            <w:r w:rsidRPr="006004E9">
              <w:rPr>
                <w:rFonts w:ascii="Arial Narrow" w:hAnsi="Arial Narrow" w:cs="Calibri"/>
                <w:bCs/>
                <w:iCs/>
                <w:lang w:val="en-US"/>
              </w:rPr>
              <w:t xml:space="preserve"> and new infrastructure</w:t>
            </w:r>
            <w:r>
              <w:rPr>
                <w:rFonts w:ascii="Arial Narrow" w:hAnsi="Arial Narrow" w:cs="Calibri"/>
                <w:bCs/>
                <w:iCs/>
                <w:lang w:val="en-US"/>
              </w:rPr>
              <w:t xml:space="preserve">, </w:t>
            </w:r>
            <w:r w:rsidRPr="006004E9">
              <w:rPr>
                <w:rFonts w:ascii="Arial Narrow" w:hAnsi="Arial Narrow" w:cs="Calibri"/>
                <w:bCs/>
                <w:iCs/>
                <w:lang w:val="en-US"/>
              </w:rPr>
              <w:t xml:space="preserve"> and</w:t>
            </w:r>
            <w:r>
              <w:rPr>
                <w:rFonts w:ascii="Arial Narrow" w:hAnsi="Arial Narrow" w:cs="Calibri"/>
                <w:bCs/>
                <w:iCs/>
                <w:lang w:val="en-US"/>
              </w:rPr>
              <w:t xml:space="preserve"> furthermore,</w:t>
            </w:r>
            <w:r w:rsidRPr="006004E9">
              <w:rPr>
                <w:rFonts w:ascii="Arial Narrow" w:hAnsi="Arial Narrow" w:cs="Calibri"/>
                <w:bCs/>
                <w:iCs/>
                <w:lang w:val="en-US"/>
              </w:rPr>
              <w:t xml:space="preserve"> the</w:t>
            </w:r>
            <w:r>
              <w:rPr>
                <w:rFonts w:ascii="Arial Narrow" w:hAnsi="Arial Narrow" w:cs="Calibri"/>
                <w:bCs/>
                <w:iCs/>
                <w:lang w:val="en-US"/>
              </w:rPr>
              <w:t xml:space="preserve"> lack of </w:t>
            </w:r>
            <w:r w:rsidRPr="006004E9">
              <w:rPr>
                <w:rFonts w:ascii="Arial Narrow" w:hAnsi="Arial Narrow" w:cs="Calibri"/>
                <w:bCs/>
                <w:iCs/>
                <w:lang w:val="en-US"/>
              </w:rPr>
              <w:t xml:space="preserve"> Department’s ability to support and build the capacity of the </w:t>
            </w:r>
            <w:r>
              <w:rPr>
                <w:rFonts w:ascii="Arial Narrow" w:hAnsi="Arial Narrow" w:cs="Calibri"/>
                <w:bCs/>
                <w:iCs/>
                <w:lang w:val="en-US"/>
              </w:rPr>
              <w:t>M</w:t>
            </w:r>
            <w:r w:rsidRPr="006004E9">
              <w:rPr>
                <w:rFonts w:ascii="Arial Narrow" w:hAnsi="Arial Narrow" w:cs="Calibri"/>
                <w:bCs/>
                <w:iCs/>
                <w:lang w:val="en-US"/>
              </w:rPr>
              <w:t xml:space="preserve">unicipalities.    </w:t>
            </w:r>
          </w:p>
          <w:p w14:paraId="7BD3CBE2" w14:textId="3AE98482" w:rsidR="003974C2" w:rsidRDefault="003974C2" w:rsidP="00F2451C">
            <w:pPr>
              <w:rPr>
                <w:rFonts w:ascii="Arial Narrow" w:hAnsi="Arial Narrow" w:cs="Calibri"/>
                <w:b/>
                <w:bCs/>
              </w:rPr>
            </w:pPr>
          </w:p>
          <w:p w14:paraId="6BD96529" w14:textId="12AC95F8" w:rsidR="00600AFA" w:rsidRDefault="00C75B37" w:rsidP="00F2451C">
            <w:pPr>
              <w:rPr>
                <w:rFonts w:ascii="Arial Narrow" w:hAnsi="Arial Narrow" w:cs="Calibri"/>
                <w:b/>
                <w:bCs/>
              </w:rPr>
            </w:pPr>
            <w:r>
              <w:rPr>
                <w:rFonts w:ascii="Arial Narrow" w:hAnsi="Arial Narrow" w:cs="Calibri"/>
              </w:rPr>
              <w:t xml:space="preserve">In </w:t>
            </w:r>
            <w:r w:rsidR="00667923" w:rsidRPr="003974C2">
              <w:rPr>
                <w:rFonts w:ascii="Arial Narrow" w:hAnsi="Arial Narrow" w:cs="Calibri"/>
              </w:rPr>
              <w:t>evaluati</w:t>
            </w:r>
            <w:r w:rsidR="006004E9">
              <w:rPr>
                <w:rFonts w:ascii="Arial Narrow" w:hAnsi="Arial Narrow" w:cs="Calibri"/>
              </w:rPr>
              <w:t>ng</w:t>
            </w:r>
            <w:r w:rsidR="00667923" w:rsidRPr="003974C2">
              <w:rPr>
                <w:rFonts w:ascii="Arial Narrow" w:hAnsi="Arial Narrow" w:cs="Calibri"/>
              </w:rPr>
              <w:t xml:space="preserve"> </w:t>
            </w:r>
            <w:r w:rsidR="00F97F7C" w:rsidRPr="003974C2">
              <w:rPr>
                <w:rFonts w:ascii="Arial Narrow" w:hAnsi="Arial Narrow" w:cs="Calibri"/>
              </w:rPr>
              <w:t>on the</w:t>
            </w:r>
            <w:r w:rsidR="00567BBC" w:rsidRPr="003974C2">
              <w:rPr>
                <w:rFonts w:ascii="Arial Narrow" w:hAnsi="Arial Narrow" w:cs="Calibri"/>
              </w:rPr>
              <w:t xml:space="preserve"> Departme</w:t>
            </w:r>
            <w:r w:rsidR="004008C6" w:rsidRPr="003974C2">
              <w:rPr>
                <w:rFonts w:ascii="Arial Narrow" w:hAnsi="Arial Narrow" w:cs="Calibri"/>
              </w:rPr>
              <w:t>nt</w:t>
            </w:r>
            <w:r>
              <w:rPr>
                <w:rFonts w:ascii="Arial Narrow" w:hAnsi="Arial Narrow" w:cs="Calibri"/>
              </w:rPr>
              <w:t>’s</w:t>
            </w:r>
            <w:r w:rsidR="004008C6" w:rsidRPr="003974C2">
              <w:rPr>
                <w:rFonts w:ascii="Arial Narrow" w:hAnsi="Arial Narrow" w:cs="Calibri"/>
              </w:rPr>
              <w:t xml:space="preserve"> performance during the</w:t>
            </w:r>
            <w:r w:rsidR="00F97F7C" w:rsidRPr="003974C2">
              <w:rPr>
                <w:rFonts w:ascii="Arial Narrow" w:hAnsi="Arial Narrow" w:cs="Calibri"/>
              </w:rPr>
              <w:t xml:space="preserve"> quarter under review </w:t>
            </w:r>
            <w:r w:rsidR="004008C6" w:rsidRPr="003974C2">
              <w:rPr>
                <w:rFonts w:ascii="Arial Narrow" w:hAnsi="Arial Narrow" w:cs="Calibri"/>
              </w:rPr>
              <w:t>and the previous financial years,</w:t>
            </w:r>
            <w:r w:rsidR="004008C6">
              <w:rPr>
                <w:rFonts w:ascii="Arial Narrow" w:hAnsi="Arial Narrow" w:cs="Calibri"/>
                <w:b/>
                <w:bCs/>
              </w:rPr>
              <w:t xml:space="preserve"> </w:t>
            </w:r>
            <w:r w:rsidR="004008C6" w:rsidRPr="00C75B37">
              <w:rPr>
                <w:rFonts w:ascii="Arial Narrow" w:hAnsi="Arial Narrow" w:cs="Calibri"/>
              </w:rPr>
              <w:t>the</w:t>
            </w:r>
            <w:r w:rsidR="00567BBC">
              <w:rPr>
                <w:rFonts w:ascii="Arial Narrow" w:hAnsi="Arial Narrow" w:cs="Calibri"/>
                <w:b/>
                <w:bCs/>
              </w:rPr>
              <w:t xml:space="preserve"> </w:t>
            </w:r>
            <w:r w:rsidRPr="003163AA">
              <w:rPr>
                <w:rFonts w:ascii="Arial Narrow" w:hAnsi="Arial Narrow" w:cs="Calibri"/>
              </w:rPr>
              <w:t>Portfolio</w:t>
            </w:r>
            <w:r>
              <w:rPr>
                <w:rFonts w:ascii="Arial Narrow" w:hAnsi="Arial Narrow" w:cs="Calibri"/>
                <w:b/>
                <w:bCs/>
              </w:rPr>
              <w:t xml:space="preserve"> </w:t>
            </w:r>
            <w:r w:rsidR="00D07F5E" w:rsidRPr="00D07F5E">
              <w:rPr>
                <w:rFonts w:ascii="Arial Narrow" w:hAnsi="Arial Narrow" w:cs="Calibri"/>
              </w:rPr>
              <w:t xml:space="preserve">Committee </w:t>
            </w:r>
            <w:r w:rsidR="003163AA">
              <w:rPr>
                <w:rFonts w:ascii="Arial Narrow" w:hAnsi="Arial Narrow" w:cs="Calibri"/>
              </w:rPr>
              <w:t xml:space="preserve">remains </w:t>
            </w:r>
            <w:r w:rsidR="00D07F5E" w:rsidRPr="00D07F5E">
              <w:rPr>
                <w:rFonts w:ascii="Arial Narrow" w:hAnsi="Arial Narrow" w:cs="Calibri"/>
              </w:rPr>
              <w:t xml:space="preserve"> concern  </w:t>
            </w:r>
            <w:r w:rsidR="003163AA">
              <w:rPr>
                <w:rFonts w:ascii="Arial Narrow" w:hAnsi="Arial Narrow" w:cs="Calibri"/>
              </w:rPr>
              <w:t xml:space="preserve">with </w:t>
            </w:r>
            <w:r w:rsidR="004008C6">
              <w:rPr>
                <w:rFonts w:ascii="Arial Narrow" w:hAnsi="Arial Narrow" w:cs="Calibri"/>
              </w:rPr>
              <w:t>a</w:t>
            </w:r>
            <w:r w:rsidR="00D07F5E" w:rsidRPr="00D07F5E">
              <w:rPr>
                <w:rFonts w:ascii="Arial Narrow" w:hAnsi="Arial Narrow" w:cs="Calibri"/>
              </w:rPr>
              <w:t xml:space="preserve"> trend of underspending in all programmes. The Portfolio Committee views underspending with contempt as it </w:t>
            </w:r>
            <w:r w:rsidR="00AA35A7">
              <w:rPr>
                <w:rFonts w:ascii="Arial Narrow" w:hAnsi="Arial Narrow" w:cs="Calibri"/>
              </w:rPr>
              <w:t>has a negative effect on service delivery.</w:t>
            </w:r>
          </w:p>
          <w:p w14:paraId="775CA692" w14:textId="3CD8FFC8" w:rsidR="00D07F5E" w:rsidRPr="00F2451C" w:rsidRDefault="00D07F5E" w:rsidP="00F2451C">
            <w:pPr>
              <w:rPr>
                <w:rFonts w:ascii="Arial Narrow" w:hAnsi="Arial Narrow" w:cs="Arial"/>
                <w:bCs/>
                <w:iCs/>
              </w:rPr>
            </w:pPr>
          </w:p>
        </w:tc>
      </w:tr>
      <w:tr w:rsidR="00600AFA" w:rsidRPr="001619AC" w14:paraId="7A6EC9F8" w14:textId="77777777" w:rsidTr="00035362">
        <w:tc>
          <w:tcPr>
            <w:tcW w:w="5000" w:type="pct"/>
            <w:shd w:val="clear" w:color="auto" w:fill="F2DBDB" w:themeFill="accent2" w:themeFillTint="33"/>
          </w:tcPr>
          <w:p w14:paraId="590B890D" w14:textId="6EBA34B2" w:rsidR="006149D2" w:rsidRPr="001619AC" w:rsidRDefault="00D74068" w:rsidP="000F7DFB">
            <w:pPr>
              <w:rPr>
                <w:rFonts w:ascii="Arial Narrow" w:hAnsi="Arial Narrow"/>
                <w:b/>
                <w:i/>
                <w:iCs/>
              </w:rPr>
            </w:pPr>
            <w:r w:rsidRPr="001619AC">
              <w:rPr>
                <w:rFonts w:ascii="Arial Narrow" w:hAnsi="Arial Narrow"/>
                <w:b/>
                <w:i/>
                <w:iCs/>
              </w:rPr>
              <w:t>Department / Entity</w:t>
            </w:r>
            <w:r w:rsidR="006149D2" w:rsidRPr="001619AC">
              <w:rPr>
                <w:rFonts w:ascii="Arial Narrow" w:hAnsi="Arial Narrow"/>
                <w:b/>
                <w:i/>
                <w:iCs/>
              </w:rPr>
              <w:t xml:space="preserve"> APP Achievement</w:t>
            </w:r>
          </w:p>
          <w:p w14:paraId="6320BFE6" w14:textId="753B0AD1" w:rsidR="00600AFA" w:rsidRPr="001619AC" w:rsidRDefault="00600AFA" w:rsidP="000F7DFB">
            <w:pPr>
              <w:rPr>
                <w:rFonts w:ascii="Arial Narrow" w:hAnsi="Arial Narrow"/>
                <w:bCs/>
                <w:i/>
                <w:iCs/>
              </w:rPr>
            </w:pPr>
            <w:r w:rsidRPr="001619AC">
              <w:rPr>
                <w:rFonts w:ascii="Arial Narrow" w:hAnsi="Arial Narrow"/>
                <w:bCs/>
                <w:i/>
                <w:iCs/>
              </w:rPr>
              <w:t xml:space="preserve">An overall Summary of whether the Committee thinks the </w:t>
            </w:r>
            <w:r w:rsidR="00D74068" w:rsidRPr="001619AC">
              <w:rPr>
                <w:rFonts w:ascii="Arial Narrow" w:hAnsi="Arial Narrow"/>
                <w:bCs/>
                <w:i/>
                <w:iCs/>
              </w:rPr>
              <w:t xml:space="preserve">Department  </w:t>
            </w:r>
            <w:r w:rsidRPr="001619AC">
              <w:rPr>
                <w:rFonts w:ascii="Arial Narrow" w:hAnsi="Arial Narrow"/>
                <w:bCs/>
                <w:i/>
                <w:iCs/>
              </w:rPr>
              <w:t>Non-Financial Performance is sound and prudent</w:t>
            </w:r>
          </w:p>
        </w:tc>
      </w:tr>
      <w:tr w:rsidR="00600AFA" w:rsidRPr="001619AC" w14:paraId="27E95635" w14:textId="77777777" w:rsidTr="00035362">
        <w:tc>
          <w:tcPr>
            <w:tcW w:w="5000" w:type="pct"/>
            <w:shd w:val="clear" w:color="auto" w:fill="FFFFFF" w:themeFill="background1"/>
          </w:tcPr>
          <w:p w14:paraId="0B5D8053" w14:textId="62D691F0" w:rsidR="00F335D3"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 xml:space="preserve">The Committee noted  the </w:t>
            </w:r>
            <w:r w:rsidR="00F335D3">
              <w:rPr>
                <w:rFonts w:ascii="Arial Narrow" w:hAnsi="Arial Narrow" w:cs="Arial"/>
                <w:bCs/>
                <w:iCs/>
                <w:lang w:val="en-US"/>
              </w:rPr>
              <w:t xml:space="preserve">following performance per </w:t>
            </w:r>
            <w:r w:rsidRPr="00B47CD0">
              <w:rPr>
                <w:rFonts w:ascii="Arial Narrow" w:hAnsi="Arial Narrow" w:cs="Arial"/>
                <w:bCs/>
                <w:iCs/>
                <w:lang w:val="en-US"/>
              </w:rPr>
              <w:t>programme</w:t>
            </w:r>
            <w:r w:rsidR="0089297F">
              <w:rPr>
                <w:rFonts w:ascii="Arial Narrow" w:hAnsi="Arial Narrow" w:cs="Arial"/>
                <w:bCs/>
                <w:iCs/>
                <w:lang w:val="en-US"/>
              </w:rPr>
              <w:t>:</w:t>
            </w:r>
          </w:p>
          <w:p w14:paraId="67FF871F" w14:textId="0A2B9973" w:rsidR="00B47CD0"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w:t>
            </w:r>
            <w:r w:rsidRPr="00B47CD0">
              <w:rPr>
                <w:rFonts w:ascii="Arial Narrow" w:hAnsi="Arial Narrow" w:cs="Arial"/>
                <w:bCs/>
                <w:iCs/>
                <w:lang w:val="en-US"/>
              </w:rPr>
              <w:tab/>
              <w:t xml:space="preserve">Programme 1: Administration: </w:t>
            </w:r>
            <w:r w:rsidR="00EA1536">
              <w:rPr>
                <w:rFonts w:ascii="Arial Narrow" w:hAnsi="Arial Narrow" w:cs="Arial"/>
                <w:bCs/>
                <w:iCs/>
                <w:lang w:val="en-US"/>
              </w:rPr>
              <w:t>P</w:t>
            </w:r>
            <w:r w:rsidR="007127F2">
              <w:rPr>
                <w:rFonts w:ascii="Arial Narrow" w:hAnsi="Arial Narrow" w:cs="Arial"/>
                <w:bCs/>
                <w:iCs/>
                <w:lang w:val="en-US"/>
              </w:rPr>
              <w:t>lan</w:t>
            </w:r>
            <w:r w:rsidR="00EA1536">
              <w:rPr>
                <w:rFonts w:ascii="Arial Narrow" w:hAnsi="Arial Narrow" w:cs="Arial"/>
                <w:bCs/>
                <w:iCs/>
                <w:lang w:val="en-US"/>
              </w:rPr>
              <w:t>ned to</w:t>
            </w:r>
            <w:r w:rsidR="007127F2">
              <w:rPr>
                <w:rFonts w:ascii="Arial Narrow" w:hAnsi="Arial Narrow" w:cs="Arial"/>
                <w:bCs/>
                <w:iCs/>
                <w:lang w:val="en-US"/>
              </w:rPr>
              <w:t xml:space="preserve"> 2 targets and </w:t>
            </w:r>
            <w:r w:rsidR="004213DA">
              <w:rPr>
                <w:rFonts w:ascii="Arial Narrow" w:hAnsi="Arial Narrow" w:cs="Arial"/>
                <w:bCs/>
                <w:iCs/>
                <w:lang w:val="en-US"/>
              </w:rPr>
              <w:t>1</w:t>
            </w:r>
            <w:r w:rsidRPr="00B47CD0">
              <w:rPr>
                <w:rFonts w:ascii="Arial Narrow" w:hAnsi="Arial Narrow" w:cs="Arial"/>
                <w:bCs/>
                <w:iCs/>
                <w:lang w:val="en-US"/>
              </w:rPr>
              <w:t>00% of the targets were partially achieved</w:t>
            </w:r>
          </w:p>
          <w:p w14:paraId="50EFAEAA" w14:textId="160FA349" w:rsidR="00B47CD0"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w:t>
            </w:r>
            <w:r w:rsidRPr="00B47CD0">
              <w:rPr>
                <w:rFonts w:ascii="Arial Narrow" w:hAnsi="Arial Narrow" w:cs="Arial"/>
                <w:bCs/>
                <w:iCs/>
                <w:lang w:val="en-US"/>
              </w:rPr>
              <w:tab/>
              <w:t>Programme 2: Local Governance</w:t>
            </w:r>
            <w:r w:rsidR="00EA1536">
              <w:rPr>
                <w:rFonts w:ascii="Arial Narrow" w:hAnsi="Arial Narrow" w:cs="Arial"/>
                <w:bCs/>
                <w:iCs/>
                <w:lang w:val="en-US"/>
              </w:rPr>
              <w:t>:</w:t>
            </w:r>
            <w:r w:rsidRPr="00B47CD0">
              <w:rPr>
                <w:rFonts w:ascii="Arial Narrow" w:hAnsi="Arial Narrow" w:cs="Arial"/>
                <w:bCs/>
                <w:iCs/>
                <w:lang w:val="en-US"/>
              </w:rPr>
              <w:t xml:space="preserve"> </w:t>
            </w:r>
            <w:r w:rsidR="00EA1536">
              <w:rPr>
                <w:rFonts w:ascii="Arial Narrow" w:hAnsi="Arial Narrow" w:cs="Arial"/>
                <w:bCs/>
                <w:iCs/>
                <w:lang w:val="en-US"/>
              </w:rPr>
              <w:t>Planned</w:t>
            </w:r>
            <w:r w:rsidR="004213DA">
              <w:rPr>
                <w:rFonts w:ascii="Arial Narrow" w:hAnsi="Arial Narrow" w:cs="Arial"/>
                <w:bCs/>
                <w:iCs/>
                <w:lang w:val="en-US"/>
              </w:rPr>
              <w:t xml:space="preserve"> to achieve </w:t>
            </w:r>
            <w:r w:rsidR="004213DA" w:rsidRPr="004213DA">
              <w:rPr>
                <w:rFonts w:ascii="Arial Narrow" w:hAnsi="Arial Narrow" w:cs="Arial"/>
                <w:bCs/>
                <w:iCs/>
                <w:lang w:val="en-US"/>
              </w:rPr>
              <w:t xml:space="preserve">17 targets </w:t>
            </w:r>
            <w:r w:rsidRPr="00B47CD0">
              <w:rPr>
                <w:rFonts w:ascii="Arial Narrow" w:hAnsi="Arial Narrow" w:cs="Arial"/>
                <w:bCs/>
                <w:iCs/>
                <w:lang w:val="en-US"/>
              </w:rPr>
              <w:t xml:space="preserve">Support 35% of the targets were achieved, 53 % were partially achieved and 12% were not achieved. </w:t>
            </w:r>
          </w:p>
          <w:p w14:paraId="160C9A02" w14:textId="61C02215" w:rsidR="00B47CD0"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lastRenderedPageBreak/>
              <w:t>•</w:t>
            </w:r>
            <w:r w:rsidRPr="00B47CD0">
              <w:rPr>
                <w:rFonts w:ascii="Arial Narrow" w:hAnsi="Arial Narrow" w:cs="Arial"/>
                <w:bCs/>
                <w:iCs/>
                <w:lang w:val="en-US"/>
              </w:rPr>
              <w:tab/>
              <w:t xml:space="preserve">Programme 3: Urban Planning: </w:t>
            </w:r>
            <w:r w:rsidR="007E10C1">
              <w:rPr>
                <w:rFonts w:ascii="Arial Narrow" w:hAnsi="Arial Narrow" w:cs="Arial"/>
                <w:bCs/>
                <w:iCs/>
                <w:lang w:val="en-US"/>
              </w:rPr>
              <w:t xml:space="preserve">Planned to achieve </w:t>
            </w:r>
            <w:r w:rsidR="007E10C1" w:rsidRPr="007E10C1">
              <w:rPr>
                <w:rFonts w:ascii="Arial Narrow" w:hAnsi="Arial Narrow" w:cs="Arial"/>
                <w:bCs/>
                <w:iCs/>
                <w:lang w:val="en-US"/>
              </w:rPr>
              <w:t xml:space="preserve">4 targets </w:t>
            </w:r>
            <w:r w:rsidR="007E10C1">
              <w:rPr>
                <w:rFonts w:ascii="Arial Narrow" w:hAnsi="Arial Narrow" w:cs="Arial"/>
                <w:bCs/>
                <w:iCs/>
                <w:lang w:val="en-US"/>
              </w:rPr>
              <w:t>,</w:t>
            </w:r>
            <w:r w:rsidRPr="00B47CD0">
              <w:rPr>
                <w:rFonts w:ascii="Arial Narrow" w:hAnsi="Arial Narrow" w:cs="Arial"/>
                <w:bCs/>
                <w:iCs/>
                <w:lang w:val="en-US"/>
              </w:rPr>
              <w:t xml:space="preserve">64% of the targets were achieved, 22% partially achieved and 14% were not achieved </w:t>
            </w:r>
          </w:p>
          <w:p w14:paraId="7C7D07EE" w14:textId="0337DE85" w:rsidR="00B47CD0"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w:t>
            </w:r>
            <w:r w:rsidRPr="00B47CD0">
              <w:rPr>
                <w:rFonts w:ascii="Arial Narrow" w:hAnsi="Arial Narrow" w:cs="Arial"/>
                <w:bCs/>
                <w:iCs/>
                <w:lang w:val="en-US"/>
              </w:rPr>
              <w:tab/>
              <w:t xml:space="preserve">Programme 4: Development and Planning: </w:t>
            </w:r>
            <w:r w:rsidR="007E10C1">
              <w:rPr>
                <w:rFonts w:ascii="Arial Narrow" w:hAnsi="Arial Narrow" w:cs="Arial"/>
                <w:bCs/>
                <w:iCs/>
                <w:lang w:val="en-US"/>
              </w:rPr>
              <w:t xml:space="preserve">Planned to achieve </w:t>
            </w:r>
            <w:r w:rsidR="007E10C1" w:rsidRPr="007E10C1">
              <w:rPr>
                <w:rFonts w:ascii="Arial Narrow" w:hAnsi="Arial Narrow" w:cs="Arial"/>
                <w:bCs/>
                <w:iCs/>
                <w:lang w:val="en-US"/>
              </w:rPr>
              <w:t xml:space="preserve">6 targets </w:t>
            </w:r>
            <w:r w:rsidR="00BF2375">
              <w:rPr>
                <w:rFonts w:ascii="Arial Narrow" w:hAnsi="Arial Narrow" w:cs="Arial"/>
                <w:bCs/>
                <w:iCs/>
                <w:lang w:val="en-US"/>
              </w:rPr>
              <w:t>,</w:t>
            </w:r>
            <w:r w:rsidRPr="00B47CD0">
              <w:rPr>
                <w:rFonts w:ascii="Arial Narrow" w:hAnsi="Arial Narrow" w:cs="Arial"/>
                <w:bCs/>
                <w:iCs/>
                <w:lang w:val="en-US"/>
              </w:rPr>
              <w:t xml:space="preserve">83% of the targets were achieved and 17% was not achieved. </w:t>
            </w:r>
          </w:p>
          <w:p w14:paraId="5864A3B6" w14:textId="2AD163B9" w:rsidR="006547D2" w:rsidRPr="001619AC" w:rsidRDefault="00B47CD0" w:rsidP="00B47CD0">
            <w:pPr>
              <w:spacing w:line="276" w:lineRule="auto"/>
              <w:rPr>
                <w:rFonts w:ascii="Arial" w:hAnsi="Arial" w:cs="Arial"/>
                <w:bCs/>
                <w:iCs/>
              </w:rPr>
            </w:pPr>
            <w:r w:rsidRPr="00B47CD0">
              <w:rPr>
                <w:rFonts w:ascii="Arial Narrow" w:hAnsi="Arial Narrow" w:cs="Arial"/>
                <w:bCs/>
                <w:iCs/>
                <w:lang w:val="en-US"/>
              </w:rPr>
              <w:t>•</w:t>
            </w:r>
            <w:r w:rsidRPr="00B47CD0">
              <w:rPr>
                <w:rFonts w:ascii="Arial Narrow" w:hAnsi="Arial Narrow" w:cs="Arial"/>
                <w:bCs/>
                <w:iCs/>
                <w:lang w:val="en-US"/>
              </w:rPr>
              <w:tab/>
              <w:t xml:space="preserve">Programme 5: Traditional Leadership: </w:t>
            </w:r>
            <w:r w:rsidR="00BF2375">
              <w:rPr>
                <w:rFonts w:ascii="Arial Narrow" w:hAnsi="Arial Narrow" w:cs="Arial"/>
                <w:bCs/>
                <w:iCs/>
                <w:lang w:val="en-US"/>
              </w:rPr>
              <w:t xml:space="preserve">Planned to achieve 2 targets, </w:t>
            </w:r>
            <w:r w:rsidRPr="00B47CD0">
              <w:rPr>
                <w:rFonts w:ascii="Arial Narrow" w:hAnsi="Arial Narrow" w:cs="Arial"/>
                <w:bCs/>
                <w:iCs/>
                <w:lang w:val="en-US"/>
              </w:rPr>
              <w:t xml:space="preserve">100% of the targets were achieved </w:t>
            </w:r>
          </w:p>
        </w:tc>
      </w:tr>
      <w:tr w:rsidR="00600AFA" w:rsidRPr="001619AC" w14:paraId="4C479154" w14:textId="77777777" w:rsidTr="00035362">
        <w:tc>
          <w:tcPr>
            <w:tcW w:w="5000" w:type="pct"/>
            <w:shd w:val="clear" w:color="auto" w:fill="F2DBDB" w:themeFill="accent2" w:themeFillTint="33"/>
          </w:tcPr>
          <w:p w14:paraId="3D9D07F8" w14:textId="5221FFA4" w:rsidR="00600AFA" w:rsidRPr="001619AC" w:rsidRDefault="00600AFA" w:rsidP="000F7DFB">
            <w:pPr>
              <w:rPr>
                <w:rFonts w:ascii="Arial Narrow" w:hAnsi="Arial Narrow" w:cs="Arial Narrow"/>
                <w:bCs/>
                <w:i/>
                <w:iCs/>
              </w:rPr>
            </w:pPr>
            <w:r w:rsidRPr="001619AC">
              <w:rPr>
                <w:rFonts w:ascii="Arial Narrow" w:hAnsi="Arial Narrow" w:cs="Arial Narrow"/>
                <w:bCs/>
                <w:i/>
                <w:iCs/>
              </w:rPr>
              <w:t xml:space="preserve">An analysis on whether (and if so, the extent to which) the </w:t>
            </w:r>
            <w:r w:rsidR="00D74068" w:rsidRPr="001619AC">
              <w:rPr>
                <w:rFonts w:ascii="Arial Narrow" w:hAnsi="Arial Narrow" w:cs="Arial Narrow"/>
                <w:bCs/>
                <w:i/>
                <w:iCs/>
              </w:rPr>
              <w:t xml:space="preserve">Department / Entity </w:t>
            </w:r>
            <w:r w:rsidRPr="001619AC">
              <w:rPr>
                <w:rFonts w:ascii="Arial Narrow" w:hAnsi="Arial Narrow" w:cs="Arial Narrow"/>
                <w:bCs/>
                <w:i/>
                <w:iCs/>
              </w:rPr>
              <w:t>Programmes / Projects are indeed achieving its Strategic Objectives / Service Delivery Outcomes for the period under review.</w:t>
            </w:r>
          </w:p>
        </w:tc>
      </w:tr>
      <w:tr w:rsidR="00600AFA" w:rsidRPr="001619AC" w14:paraId="42BFF47F" w14:textId="77777777" w:rsidTr="00035362">
        <w:tc>
          <w:tcPr>
            <w:tcW w:w="5000" w:type="pct"/>
          </w:tcPr>
          <w:p w14:paraId="27C4C4D5" w14:textId="3CDD6FD8" w:rsidR="006547D2" w:rsidRPr="001619AC" w:rsidRDefault="00935CC6" w:rsidP="00256C51">
            <w:pPr>
              <w:spacing w:line="276" w:lineRule="auto"/>
              <w:rPr>
                <w:rFonts w:ascii="Arial Narrow" w:hAnsi="Arial Narrow" w:cs="Arial"/>
                <w:bCs/>
              </w:rPr>
            </w:pPr>
            <w:r w:rsidRPr="001619AC">
              <w:rPr>
                <w:rFonts w:ascii="Arial Narrow" w:hAnsi="Arial Narrow" w:cs="Arial"/>
                <w:noProof/>
              </w:rPr>
              <w:t>The Committee note</w:t>
            </w:r>
            <w:r w:rsidR="006815FF">
              <w:rPr>
                <w:rFonts w:ascii="Arial Narrow" w:hAnsi="Arial Narrow" w:cs="Arial"/>
                <w:noProof/>
              </w:rPr>
              <w:t>d</w:t>
            </w:r>
            <w:r w:rsidRPr="001619AC">
              <w:rPr>
                <w:rFonts w:ascii="Arial Narrow" w:hAnsi="Arial Narrow" w:cs="Arial"/>
                <w:noProof/>
              </w:rPr>
              <w:t xml:space="preserve"> with concern </w:t>
            </w:r>
            <w:r w:rsidR="00F82770" w:rsidRPr="001619AC">
              <w:rPr>
                <w:rFonts w:ascii="Arial Narrow" w:hAnsi="Arial Narrow" w:cs="Arial"/>
                <w:noProof/>
              </w:rPr>
              <w:t xml:space="preserve"> </w:t>
            </w:r>
            <w:r w:rsidRPr="001619AC">
              <w:rPr>
                <w:rFonts w:ascii="Arial Narrow" w:hAnsi="Arial Narrow" w:cs="Arial"/>
                <w:noProof/>
              </w:rPr>
              <w:t xml:space="preserve">the </w:t>
            </w:r>
            <w:r w:rsidR="00256C51">
              <w:rPr>
                <w:rFonts w:ascii="Arial Narrow" w:hAnsi="Arial Narrow" w:cs="Arial"/>
                <w:noProof/>
              </w:rPr>
              <w:t>trend of underspending in all programmes during the quarter under review and the previo</w:t>
            </w:r>
            <w:r w:rsidR="006815FF">
              <w:rPr>
                <w:rFonts w:ascii="Arial Narrow" w:hAnsi="Arial Narrow" w:cs="Arial"/>
                <w:noProof/>
              </w:rPr>
              <w:t>u</w:t>
            </w:r>
            <w:r w:rsidR="00256C51">
              <w:rPr>
                <w:rFonts w:ascii="Arial Narrow" w:hAnsi="Arial Narrow" w:cs="Arial"/>
                <w:noProof/>
              </w:rPr>
              <w:t>s fianancial years.</w:t>
            </w:r>
            <w:r w:rsidR="00860F65">
              <w:rPr>
                <w:rFonts w:ascii="Arial Narrow" w:hAnsi="Arial Narrow" w:cs="Arial"/>
                <w:noProof/>
              </w:rPr>
              <w:t xml:space="preserve"> The Portfolio Committee views underspending with contempt as it hampers services that are suppose to be provided to the Communities.</w:t>
            </w:r>
          </w:p>
        </w:tc>
      </w:tr>
      <w:tr w:rsidR="00600AFA" w:rsidRPr="001619AC" w14:paraId="5FE31961" w14:textId="77777777" w:rsidTr="00035362">
        <w:tc>
          <w:tcPr>
            <w:tcW w:w="5000" w:type="pct"/>
            <w:shd w:val="clear" w:color="auto" w:fill="F2DBDB" w:themeFill="accent2" w:themeFillTint="33"/>
          </w:tcPr>
          <w:p w14:paraId="52A29A71" w14:textId="5D78A34D" w:rsidR="006149D2" w:rsidRPr="001619AC" w:rsidRDefault="00D74068" w:rsidP="000F7DFB">
            <w:pPr>
              <w:rPr>
                <w:rFonts w:ascii="Arial Narrow" w:hAnsi="Arial Narrow"/>
                <w:b/>
                <w:i/>
                <w:iCs/>
              </w:rPr>
            </w:pPr>
            <w:r w:rsidRPr="001619AC">
              <w:rPr>
                <w:rFonts w:ascii="Arial Narrow" w:hAnsi="Arial Narrow"/>
                <w:b/>
                <w:i/>
                <w:iCs/>
              </w:rPr>
              <w:t>Department / Entity</w:t>
            </w:r>
            <w:r w:rsidR="006149D2" w:rsidRPr="001619AC">
              <w:rPr>
                <w:rFonts w:ascii="Arial Narrow" w:hAnsi="Arial Narrow"/>
                <w:b/>
                <w:i/>
                <w:iCs/>
              </w:rPr>
              <w:t xml:space="preserve"> Project Management</w:t>
            </w:r>
          </w:p>
          <w:p w14:paraId="3791652C" w14:textId="22A670CA" w:rsidR="00600AFA" w:rsidRPr="001619AC" w:rsidRDefault="00600AFA" w:rsidP="000F7DFB">
            <w:pPr>
              <w:rPr>
                <w:rFonts w:ascii="Arial Narrow" w:hAnsi="Arial Narrow"/>
                <w:bCs/>
                <w:i/>
                <w:iCs/>
              </w:rPr>
            </w:pPr>
            <w:r w:rsidRPr="001619AC">
              <w:rPr>
                <w:rFonts w:ascii="Arial Narrow" w:hAnsi="Arial Narrow"/>
                <w:bCs/>
                <w:i/>
                <w:iCs/>
              </w:rPr>
              <w:t xml:space="preserve">Overall Summary on management and delivery of </w:t>
            </w:r>
            <w:r w:rsidR="00D74068" w:rsidRPr="001619AC">
              <w:rPr>
                <w:rFonts w:ascii="Arial Narrow" w:hAnsi="Arial Narrow"/>
                <w:bCs/>
                <w:i/>
                <w:iCs/>
              </w:rPr>
              <w:t>Department / Entity</w:t>
            </w:r>
            <w:r w:rsidRPr="001619AC">
              <w:rPr>
                <w:rFonts w:ascii="Arial Narrow" w:hAnsi="Arial Narrow"/>
                <w:bCs/>
                <w:i/>
                <w:iCs/>
              </w:rPr>
              <w:t xml:space="preserve"> Projects</w:t>
            </w:r>
          </w:p>
        </w:tc>
      </w:tr>
      <w:tr w:rsidR="00600AFA" w:rsidRPr="001619AC" w14:paraId="147CA178" w14:textId="77777777" w:rsidTr="00035362">
        <w:tc>
          <w:tcPr>
            <w:tcW w:w="5000" w:type="pct"/>
            <w:shd w:val="clear" w:color="auto" w:fill="FFFFFF" w:themeFill="background1"/>
          </w:tcPr>
          <w:p w14:paraId="2A7B3871" w14:textId="6FB2FAB8" w:rsidR="00600AFA" w:rsidRPr="001619AC" w:rsidRDefault="00DC44B1" w:rsidP="00F81DCB">
            <w:pPr>
              <w:spacing w:line="276" w:lineRule="auto"/>
              <w:rPr>
                <w:rFonts w:ascii="Arial Narrow" w:hAnsi="Arial Narrow"/>
                <w:bCs/>
              </w:rPr>
            </w:pPr>
            <w:r w:rsidRPr="001619AC">
              <w:rPr>
                <w:rFonts w:ascii="Arial Narrow" w:hAnsi="Arial Narrow" w:cs="Arial"/>
                <w:bCs/>
              </w:rPr>
              <w:t xml:space="preserve">The </w:t>
            </w:r>
            <w:r w:rsidR="0090350B">
              <w:rPr>
                <w:rFonts w:ascii="Arial Narrow" w:hAnsi="Arial Narrow" w:cs="Arial"/>
                <w:bCs/>
              </w:rPr>
              <w:t>D</w:t>
            </w:r>
            <w:r w:rsidR="00290B79" w:rsidRPr="001619AC">
              <w:rPr>
                <w:rFonts w:ascii="Arial Narrow" w:hAnsi="Arial Narrow" w:cs="Arial"/>
                <w:bCs/>
              </w:rPr>
              <w:t>epartment did not report on project management</w:t>
            </w:r>
            <w:r w:rsidRPr="001619AC">
              <w:rPr>
                <w:rFonts w:ascii="Arial Narrow" w:hAnsi="Arial Narrow"/>
                <w:bCs/>
              </w:rPr>
              <w:t xml:space="preserve">.  </w:t>
            </w:r>
          </w:p>
          <w:p w14:paraId="212B482D" w14:textId="79C58B3A" w:rsidR="00F81DCB" w:rsidRPr="001619AC" w:rsidRDefault="00F81DCB" w:rsidP="00F81DCB">
            <w:pPr>
              <w:spacing w:line="276" w:lineRule="auto"/>
              <w:rPr>
                <w:rFonts w:ascii="Arial Narrow" w:hAnsi="Arial Narrow"/>
                <w:bCs/>
              </w:rPr>
            </w:pPr>
          </w:p>
        </w:tc>
      </w:tr>
      <w:tr w:rsidR="00600AFA" w:rsidRPr="001619AC" w14:paraId="7FD1D36E" w14:textId="77777777" w:rsidTr="00035362">
        <w:tc>
          <w:tcPr>
            <w:tcW w:w="5000" w:type="pct"/>
            <w:shd w:val="clear" w:color="auto" w:fill="F2DBDB" w:themeFill="accent2" w:themeFillTint="33"/>
          </w:tcPr>
          <w:p w14:paraId="0C37299C" w14:textId="77777777" w:rsidR="006149D2" w:rsidRPr="001619AC" w:rsidRDefault="006149D2" w:rsidP="000F7DFB">
            <w:pPr>
              <w:rPr>
                <w:rFonts w:ascii="Arial Narrow" w:hAnsi="Arial Narrow"/>
                <w:b/>
                <w:i/>
                <w:iCs/>
              </w:rPr>
            </w:pPr>
            <w:r w:rsidRPr="001619AC">
              <w:rPr>
                <w:rFonts w:ascii="Arial Narrow" w:hAnsi="Arial Narrow"/>
                <w:b/>
                <w:i/>
                <w:iCs/>
              </w:rPr>
              <w:t>Financial Performance</w:t>
            </w:r>
          </w:p>
          <w:p w14:paraId="4E53CC4F" w14:textId="0195BEFA" w:rsidR="00600AFA" w:rsidRPr="001619AC" w:rsidRDefault="00600AFA" w:rsidP="000F7DFB">
            <w:pPr>
              <w:rPr>
                <w:rFonts w:ascii="Arial Narrow" w:hAnsi="Arial Narrow"/>
                <w:bCs/>
                <w:i/>
                <w:iCs/>
              </w:rPr>
            </w:pPr>
            <w:r w:rsidRPr="001619AC">
              <w:rPr>
                <w:rFonts w:ascii="Arial Narrow" w:hAnsi="Arial Narrow"/>
                <w:bCs/>
                <w:i/>
                <w:iCs/>
              </w:rPr>
              <w:t xml:space="preserve">An overall Summary of whether the Committee thinks the </w:t>
            </w:r>
            <w:r w:rsidR="00D74068" w:rsidRPr="001619AC">
              <w:rPr>
                <w:rFonts w:ascii="Arial Narrow" w:hAnsi="Arial Narrow"/>
                <w:bCs/>
                <w:i/>
                <w:iCs/>
              </w:rPr>
              <w:t xml:space="preserve">Department / Entity </w:t>
            </w:r>
            <w:r w:rsidRPr="001619AC">
              <w:rPr>
                <w:rFonts w:ascii="Arial Narrow" w:hAnsi="Arial Narrow"/>
                <w:bCs/>
                <w:i/>
                <w:iCs/>
              </w:rPr>
              <w:t>Financial Performance is sound and prudent</w:t>
            </w:r>
          </w:p>
        </w:tc>
      </w:tr>
      <w:tr w:rsidR="00600AFA" w:rsidRPr="001619AC" w14:paraId="68820B17" w14:textId="77777777" w:rsidTr="00035362">
        <w:tc>
          <w:tcPr>
            <w:tcW w:w="5000" w:type="pct"/>
            <w:shd w:val="clear" w:color="auto" w:fill="FFFFFF" w:themeFill="background1"/>
          </w:tcPr>
          <w:p w14:paraId="3E6FCBD7" w14:textId="43786948" w:rsidR="00230B0A" w:rsidRPr="00230B0A" w:rsidRDefault="00230B0A" w:rsidP="00230B0A">
            <w:pPr>
              <w:spacing w:line="276" w:lineRule="auto"/>
              <w:rPr>
                <w:rFonts w:ascii="Arial Narrow" w:hAnsi="Arial Narrow" w:cs="Arial"/>
                <w:bCs/>
              </w:rPr>
            </w:pPr>
            <w:r w:rsidRPr="00230B0A">
              <w:rPr>
                <w:rFonts w:ascii="Arial Narrow" w:hAnsi="Arial Narrow" w:cs="Arial"/>
                <w:bCs/>
              </w:rPr>
              <w:t xml:space="preserve">The Department’s  total expenditure </w:t>
            </w:r>
            <w:r w:rsidR="00CB2B11">
              <w:rPr>
                <w:rFonts w:ascii="Arial Narrow" w:hAnsi="Arial Narrow" w:cs="Arial"/>
                <w:bCs/>
              </w:rPr>
              <w:t>on the 4</w:t>
            </w:r>
            <w:r w:rsidR="00CB2B11" w:rsidRPr="00CB2B11">
              <w:rPr>
                <w:rFonts w:ascii="Arial Narrow" w:hAnsi="Arial Narrow" w:cs="Arial"/>
                <w:bCs/>
                <w:vertAlign w:val="superscript"/>
              </w:rPr>
              <w:t>th</w:t>
            </w:r>
            <w:r w:rsidR="00CB2B11">
              <w:rPr>
                <w:rFonts w:ascii="Arial Narrow" w:hAnsi="Arial Narrow" w:cs="Arial"/>
                <w:bCs/>
              </w:rPr>
              <w:t xml:space="preserve"> quarter </w:t>
            </w:r>
            <w:r w:rsidRPr="00230B0A">
              <w:rPr>
                <w:rFonts w:ascii="Arial Narrow" w:hAnsi="Arial Narrow" w:cs="Arial"/>
                <w:bCs/>
              </w:rPr>
              <w:t xml:space="preserve">was at </w:t>
            </w:r>
            <w:r w:rsidR="00CC7FB7">
              <w:rPr>
                <w:rFonts w:ascii="Arial Narrow" w:hAnsi="Arial Narrow" w:cs="Arial"/>
                <w:bCs/>
              </w:rPr>
              <w:t>88</w:t>
            </w:r>
            <w:r w:rsidR="00141B32" w:rsidRPr="00230B0A">
              <w:rPr>
                <w:rFonts w:ascii="Arial Narrow" w:hAnsi="Arial Narrow" w:cs="Arial"/>
                <w:bCs/>
              </w:rPr>
              <w:t>%.</w:t>
            </w:r>
          </w:p>
          <w:p w14:paraId="61EBD7E9" w14:textId="7813129C"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Administration was at </w:t>
            </w:r>
            <w:r w:rsidR="00B561E4">
              <w:rPr>
                <w:rFonts w:ascii="Arial Narrow" w:hAnsi="Arial Narrow" w:cs="Arial"/>
                <w:bCs/>
                <w:lang w:val="en-US"/>
              </w:rPr>
              <w:t>9</w:t>
            </w:r>
            <w:r w:rsidR="00442242">
              <w:rPr>
                <w:rFonts w:ascii="Arial Narrow" w:hAnsi="Arial Narrow" w:cs="Arial"/>
                <w:bCs/>
                <w:lang w:val="en-US"/>
              </w:rPr>
              <w:t>0</w:t>
            </w:r>
            <w:r w:rsidRPr="00230B0A">
              <w:rPr>
                <w:rFonts w:ascii="Arial Narrow" w:hAnsi="Arial Narrow" w:cs="Arial"/>
                <w:bCs/>
                <w:lang w:val="en-US"/>
              </w:rPr>
              <w:t xml:space="preserve">% during the quarter under </w:t>
            </w:r>
            <w:r w:rsidR="00141B32" w:rsidRPr="00230B0A">
              <w:rPr>
                <w:rFonts w:ascii="Arial Narrow" w:hAnsi="Arial Narrow" w:cs="Arial"/>
                <w:bCs/>
                <w:lang w:val="en-US"/>
              </w:rPr>
              <w:t>review.</w:t>
            </w:r>
          </w:p>
          <w:p w14:paraId="2FC6F98F" w14:textId="6CC175EB"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Local Governance was at </w:t>
            </w:r>
            <w:r w:rsidR="00442242">
              <w:rPr>
                <w:rFonts w:ascii="Arial Narrow" w:hAnsi="Arial Narrow" w:cs="Arial"/>
                <w:bCs/>
                <w:lang w:val="en-US"/>
              </w:rPr>
              <w:t>84</w:t>
            </w:r>
            <w:r w:rsidR="00141B32" w:rsidRPr="00230B0A">
              <w:rPr>
                <w:rFonts w:ascii="Arial Narrow" w:hAnsi="Arial Narrow" w:cs="Arial"/>
                <w:bCs/>
                <w:lang w:val="en-US"/>
              </w:rPr>
              <w:t>%.</w:t>
            </w:r>
            <w:r w:rsidRPr="00230B0A">
              <w:rPr>
                <w:rFonts w:ascii="Arial Narrow" w:hAnsi="Arial Narrow" w:cs="Arial"/>
                <w:bCs/>
                <w:lang w:val="en-US"/>
              </w:rPr>
              <w:t xml:space="preserve"> </w:t>
            </w:r>
          </w:p>
          <w:p w14:paraId="7F60BCB6" w14:textId="0D8D2C9F"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Development </w:t>
            </w:r>
            <w:r w:rsidR="00141B32" w:rsidRPr="00230B0A">
              <w:rPr>
                <w:rFonts w:ascii="Arial Narrow" w:hAnsi="Arial Narrow" w:cs="Arial"/>
                <w:bCs/>
                <w:lang w:val="en-US"/>
              </w:rPr>
              <w:t>Planning was</w:t>
            </w:r>
            <w:r w:rsidRPr="00230B0A">
              <w:rPr>
                <w:rFonts w:ascii="Arial Narrow" w:hAnsi="Arial Narrow" w:cs="Arial"/>
                <w:bCs/>
                <w:lang w:val="en-US"/>
              </w:rPr>
              <w:t xml:space="preserve"> at </w:t>
            </w:r>
            <w:r w:rsidR="00CD661D">
              <w:rPr>
                <w:rFonts w:ascii="Arial Narrow" w:hAnsi="Arial Narrow" w:cs="Arial"/>
                <w:bCs/>
                <w:lang w:val="en-US"/>
              </w:rPr>
              <w:t>100</w:t>
            </w:r>
            <w:r w:rsidR="00141B32" w:rsidRPr="00230B0A">
              <w:rPr>
                <w:rFonts w:ascii="Arial Narrow" w:hAnsi="Arial Narrow" w:cs="Arial"/>
                <w:bCs/>
                <w:lang w:val="en-US"/>
              </w:rPr>
              <w:t>%.</w:t>
            </w:r>
            <w:r w:rsidRPr="00230B0A">
              <w:rPr>
                <w:rFonts w:ascii="Arial Narrow" w:hAnsi="Arial Narrow" w:cs="Arial"/>
                <w:bCs/>
                <w:lang w:val="en-US"/>
              </w:rPr>
              <w:t xml:space="preserve"> </w:t>
            </w:r>
          </w:p>
          <w:p w14:paraId="3D34832F" w14:textId="2909C3B1"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Traditional Institutional Management was at </w:t>
            </w:r>
            <w:r w:rsidR="007C095D">
              <w:rPr>
                <w:rFonts w:ascii="Arial Narrow" w:hAnsi="Arial Narrow" w:cs="Arial"/>
                <w:bCs/>
                <w:lang w:val="en-US"/>
              </w:rPr>
              <w:t>59</w:t>
            </w:r>
            <w:r w:rsidRPr="00230B0A">
              <w:rPr>
                <w:rFonts w:ascii="Arial Narrow" w:hAnsi="Arial Narrow" w:cs="Arial"/>
                <w:bCs/>
                <w:lang w:val="en-US"/>
              </w:rPr>
              <w:t xml:space="preserve">%. </w:t>
            </w:r>
          </w:p>
          <w:p w14:paraId="22997FA9" w14:textId="423DB77B"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compensation of employees was at </w:t>
            </w:r>
            <w:r w:rsidR="007C095D">
              <w:rPr>
                <w:rFonts w:ascii="Arial Narrow" w:hAnsi="Arial Narrow" w:cs="Arial"/>
                <w:bCs/>
                <w:lang w:val="en-US"/>
              </w:rPr>
              <w:t>8</w:t>
            </w:r>
            <w:r w:rsidR="00B81564">
              <w:rPr>
                <w:rFonts w:ascii="Arial Narrow" w:hAnsi="Arial Narrow" w:cs="Arial"/>
                <w:bCs/>
                <w:lang w:val="en-US"/>
              </w:rPr>
              <w:t>5</w:t>
            </w:r>
            <w:r w:rsidR="00141B32" w:rsidRPr="00230B0A">
              <w:rPr>
                <w:rFonts w:ascii="Arial Narrow" w:hAnsi="Arial Narrow" w:cs="Arial"/>
                <w:bCs/>
                <w:lang w:val="en-US"/>
              </w:rPr>
              <w:t>%.</w:t>
            </w:r>
          </w:p>
          <w:p w14:paraId="75C34B36" w14:textId="4442D52F"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goods and services was at </w:t>
            </w:r>
            <w:r w:rsidR="00B81564">
              <w:rPr>
                <w:rFonts w:ascii="Arial Narrow" w:hAnsi="Arial Narrow" w:cs="Arial"/>
                <w:bCs/>
                <w:lang w:val="en-US"/>
              </w:rPr>
              <w:t>99</w:t>
            </w:r>
            <w:r w:rsidRPr="00230B0A">
              <w:rPr>
                <w:rFonts w:ascii="Arial Narrow" w:hAnsi="Arial Narrow" w:cs="Arial"/>
                <w:bCs/>
                <w:lang w:val="en-US"/>
              </w:rPr>
              <w:t>%; and</w:t>
            </w:r>
          </w:p>
          <w:p w14:paraId="60294822" w14:textId="246025BB"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households was at </w:t>
            </w:r>
            <w:r w:rsidR="002A4189">
              <w:rPr>
                <w:rFonts w:ascii="Arial Narrow" w:hAnsi="Arial Narrow" w:cs="Arial"/>
                <w:bCs/>
                <w:lang w:val="en-US"/>
              </w:rPr>
              <w:t>98</w:t>
            </w:r>
            <w:r w:rsidRPr="00230B0A">
              <w:rPr>
                <w:rFonts w:ascii="Arial Narrow" w:hAnsi="Arial Narrow" w:cs="Arial"/>
                <w:bCs/>
                <w:lang w:val="en-US"/>
              </w:rPr>
              <w:t xml:space="preserve">% and machinery and equipment </w:t>
            </w:r>
            <w:r w:rsidR="00141B32" w:rsidRPr="00230B0A">
              <w:rPr>
                <w:rFonts w:ascii="Arial Narrow" w:hAnsi="Arial Narrow" w:cs="Arial"/>
                <w:bCs/>
                <w:lang w:val="en-US"/>
              </w:rPr>
              <w:t>w</w:t>
            </w:r>
            <w:r w:rsidR="00141B32">
              <w:rPr>
                <w:rFonts w:ascii="Arial Narrow" w:hAnsi="Arial Narrow" w:cs="Arial"/>
                <w:bCs/>
                <w:lang w:val="en-US"/>
              </w:rPr>
              <w:t xml:space="preserve">as </w:t>
            </w:r>
            <w:r w:rsidRPr="00230B0A">
              <w:rPr>
                <w:rFonts w:ascii="Arial Narrow" w:hAnsi="Arial Narrow" w:cs="Arial"/>
                <w:bCs/>
                <w:lang w:val="en-US"/>
              </w:rPr>
              <w:t xml:space="preserve">at </w:t>
            </w:r>
            <w:r w:rsidR="00085A9A">
              <w:rPr>
                <w:rFonts w:ascii="Arial Narrow" w:hAnsi="Arial Narrow" w:cs="Arial"/>
                <w:bCs/>
                <w:lang w:val="en-US"/>
              </w:rPr>
              <w:t>9</w:t>
            </w:r>
            <w:r w:rsidR="002A4189">
              <w:rPr>
                <w:rFonts w:ascii="Arial Narrow" w:hAnsi="Arial Narrow" w:cs="Arial"/>
                <w:bCs/>
                <w:lang w:val="en-US"/>
              </w:rPr>
              <w:t>9</w:t>
            </w:r>
            <w:r w:rsidRPr="00230B0A">
              <w:rPr>
                <w:rFonts w:ascii="Arial Narrow" w:hAnsi="Arial Narrow" w:cs="Arial"/>
                <w:bCs/>
                <w:lang w:val="en-US"/>
              </w:rPr>
              <w:t>%.</w:t>
            </w:r>
          </w:p>
          <w:p w14:paraId="7A429CB0" w14:textId="2AC12163" w:rsidR="00600AFA" w:rsidRPr="001619AC" w:rsidRDefault="00600AFA" w:rsidP="00F81DCB">
            <w:pPr>
              <w:spacing w:line="276" w:lineRule="auto"/>
              <w:rPr>
                <w:rFonts w:ascii="Arial Narrow" w:hAnsi="Arial Narrow"/>
                <w:bCs/>
              </w:rPr>
            </w:pPr>
          </w:p>
        </w:tc>
      </w:tr>
      <w:tr w:rsidR="00600AFA" w:rsidRPr="001619AC" w14:paraId="05946C28" w14:textId="77777777" w:rsidTr="00035362">
        <w:tc>
          <w:tcPr>
            <w:tcW w:w="5000" w:type="pct"/>
            <w:shd w:val="clear" w:color="auto" w:fill="F2DBDB" w:themeFill="accent2" w:themeFillTint="33"/>
          </w:tcPr>
          <w:p w14:paraId="0866AEDD" w14:textId="77777777" w:rsidR="006149D2" w:rsidRPr="001619AC" w:rsidRDefault="006149D2" w:rsidP="000F7DFB">
            <w:pPr>
              <w:rPr>
                <w:rFonts w:ascii="Arial Narrow" w:hAnsi="Arial Narrow"/>
                <w:b/>
                <w:i/>
                <w:iCs/>
              </w:rPr>
            </w:pPr>
            <w:r w:rsidRPr="001619AC">
              <w:rPr>
                <w:rFonts w:ascii="Arial Narrow" w:hAnsi="Arial Narrow"/>
                <w:b/>
                <w:i/>
                <w:iCs/>
              </w:rPr>
              <w:t>Resolutions Management</w:t>
            </w:r>
          </w:p>
          <w:p w14:paraId="7B83AD18" w14:textId="79A28518" w:rsidR="00600AFA" w:rsidRPr="001619AC" w:rsidRDefault="00600AFA" w:rsidP="000F7DFB">
            <w:pPr>
              <w:rPr>
                <w:rFonts w:ascii="Arial Narrow" w:hAnsi="Arial Narrow"/>
                <w:bCs/>
                <w:i/>
                <w:iCs/>
              </w:rPr>
            </w:pPr>
            <w:r w:rsidRPr="001619AC">
              <w:rPr>
                <w:rFonts w:ascii="Arial Narrow" w:hAnsi="Arial Narrow"/>
                <w:bCs/>
                <w:i/>
                <w:iCs/>
              </w:rPr>
              <w:t xml:space="preserve">An overall Summary of the Committee’s assessment of </w:t>
            </w:r>
            <w:r w:rsidR="00D74068" w:rsidRPr="001619AC">
              <w:rPr>
                <w:rFonts w:ascii="Arial Narrow" w:hAnsi="Arial Narrow"/>
                <w:bCs/>
                <w:i/>
                <w:iCs/>
              </w:rPr>
              <w:t>Department / Entity</w:t>
            </w:r>
            <w:r w:rsidRPr="001619AC">
              <w:rPr>
                <w:rFonts w:ascii="Arial Narrow" w:hAnsi="Arial Narrow"/>
                <w:bCs/>
                <w:i/>
                <w:iCs/>
              </w:rPr>
              <w:t xml:space="preserve"> Resolutions Management</w:t>
            </w:r>
          </w:p>
        </w:tc>
      </w:tr>
      <w:tr w:rsidR="00600AFA" w:rsidRPr="001619AC" w14:paraId="44131D5D" w14:textId="77777777" w:rsidTr="00035362">
        <w:tc>
          <w:tcPr>
            <w:tcW w:w="5000" w:type="pct"/>
            <w:shd w:val="clear" w:color="auto" w:fill="FFFFFF" w:themeFill="background1"/>
          </w:tcPr>
          <w:p w14:paraId="3F308961" w14:textId="016491C6" w:rsidR="00600AFA" w:rsidRPr="001619AC" w:rsidRDefault="00376F29" w:rsidP="001D5197">
            <w:pPr>
              <w:rPr>
                <w:rFonts w:ascii="Arial Narrow" w:hAnsi="Arial Narrow" w:cs="Arial"/>
                <w:bCs/>
              </w:rPr>
            </w:pPr>
            <w:r w:rsidRPr="001619AC">
              <w:rPr>
                <w:rFonts w:ascii="Arial Narrow" w:hAnsi="Arial Narrow" w:cs="Arial"/>
                <w:bCs/>
              </w:rPr>
              <w:t xml:space="preserve">The Portfolio Committee received </w:t>
            </w:r>
            <w:r w:rsidR="005F57E2" w:rsidRPr="001619AC">
              <w:rPr>
                <w:rFonts w:ascii="Arial Narrow" w:hAnsi="Arial Narrow" w:cs="Arial"/>
                <w:bCs/>
              </w:rPr>
              <w:t>Resolutions</w:t>
            </w:r>
            <w:r w:rsidR="00BE454E" w:rsidRPr="001619AC">
              <w:rPr>
                <w:rFonts w:ascii="Arial Narrow" w:hAnsi="Arial Narrow" w:cs="Arial"/>
                <w:bCs/>
              </w:rPr>
              <w:t xml:space="preserve"> from</w:t>
            </w:r>
            <w:r w:rsidRPr="001619AC">
              <w:rPr>
                <w:rFonts w:ascii="Arial Narrow" w:hAnsi="Arial Narrow" w:cs="Arial"/>
                <w:bCs/>
              </w:rPr>
              <w:t xml:space="preserve"> the Department</w:t>
            </w:r>
            <w:r w:rsidR="005F57E2" w:rsidRPr="001619AC">
              <w:rPr>
                <w:rFonts w:ascii="Arial Narrow" w:hAnsi="Arial Narrow" w:cs="Arial"/>
                <w:bCs/>
              </w:rPr>
              <w:t xml:space="preserve"> </w:t>
            </w:r>
            <w:r w:rsidRPr="001619AC">
              <w:rPr>
                <w:rFonts w:ascii="Arial Narrow" w:hAnsi="Arial Narrow" w:cs="Arial"/>
                <w:bCs/>
              </w:rPr>
              <w:t xml:space="preserve">and </w:t>
            </w:r>
            <w:r w:rsidR="009C0989">
              <w:rPr>
                <w:rFonts w:ascii="Arial Narrow" w:hAnsi="Arial Narrow" w:cs="Arial"/>
                <w:bCs/>
              </w:rPr>
              <w:t xml:space="preserve">will </w:t>
            </w:r>
            <w:r w:rsidRPr="001619AC">
              <w:rPr>
                <w:rFonts w:ascii="Arial Narrow" w:hAnsi="Arial Narrow" w:cs="Arial"/>
                <w:bCs/>
              </w:rPr>
              <w:t xml:space="preserve"> be analysed by the Committee Researcher</w:t>
            </w:r>
            <w:r w:rsidR="005F57E2" w:rsidRPr="001619AC">
              <w:rPr>
                <w:rFonts w:ascii="Arial Narrow" w:hAnsi="Arial Narrow" w:cs="Arial"/>
                <w:bCs/>
              </w:rPr>
              <w:t xml:space="preserve">. </w:t>
            </w:r>
          </w:p>
        </w:tc>
      </w:tr>
      <w:tr w:rsidR="00600AFA" w:rsidRPr="001619AC" w14:paraId="07815282" w14:textId="77777777" w:rsidTr="00035362">
        <w:tc>
          <w:tcPr>
            <w:tcW w:w="5000" w:type="pct"/>
            <w:shd w:val="clear" w:color="auto" w:fill="F2DBDB" w:themeFill="accent2" w:themeFillTint="33"/>
          </w:tcPr>
          <w:p w14:paraId="030625DE" w14:textId="77777777" w:rsidR="006149D2" w:rsidRPr="001619AC" w:rsidRDefault="006149D2" w:rsidP="000F7DFB">
            <w:pPr>
              <w:rPr>
                <w:rFonts w:ascii="Arial Narrow" w:hAnsi="Arial Narrow"/>
                <w:b/>
                <w:i/>
                <w:iCs/>
              </w:rPr>
            </w:pPr>
            <w:r w:rsidRPr="001619AC">
              <w:rPr>
                <w:rFonts w:ascii="Arial Narrow" w:hAnsi="Arial Narrow"/>
                <w:b/>
                <w:i/>
                <w:iCs/>
              </w:rPr>
              <w:t>Petitions Management</w:t>
            </w:r>
          </w:p>
          <w:p w14:paraId="2BE83D38" w14:textId="1CEC476B" w:rsidR="00600AFA" w:rsidRPr="001619AC" w:rsidRDefault="00600AFA" w:rsidP="000F7DFB">
            <w:pPr>
              <w:rPr>
                <w:rFonts w:ascii="Arial Narrow" w:hAnsi="Arial Narrow"/>
                <w:bCs/>
                <w:i/>
                <w:iCs/>
              </w:rPr>
            </w:pPr>
            <w:r w:rsidRPr="001619AC">
              <w:rPr>
                <w:rFonts w:ascii="Arial Narrow" w:hAnsi="Arial Narrow"/>
                <w:bCs/>
                <w:i/>
                <w:iCs/>
              </w:rPr>
              <w:t xml:space="preserve">An overall Summary of the Committee’s assessment of </w:t>
            </w:r>
            <w:r w:rsidR="00D74068" w:rsidRPr="001619AC">
              <w:rPr>
                <w:rFonts w:ascii="Arial Narrow" w:hAnsi="Arial Narrow"/>
                <w:bCs/>
                <w:i/>
                <w:iCs/>
              </w:rPr>
              <w:t xml:space="preserve">Department / Entity </w:t>
            </w:r>
            <w:r w:rsidRPr="001619AC">
              <w:rPr>
                <w:rFonts w:ascii="Arial Narrow" w:hAnsi="Arial Narrow"/>
                <w:bCs/>
                <w:i/>
                <w:iCs/>
              </w:rPr>
              <w:t>Petitions Management</w:t>
            </w:r>
          </w:p>
        </w:tc>
      </w:tr>
      <w:tr w:rsidR="00600AFA" w:rsidRPr="001619AC" w14:paraId="1175433B" w14:textId="77777777" w:rsidTr="00035362">
        <w:tc>
          <w:tcPr>
            <w:tcW w:w="5000" w:type="pct"/>
            <w:shd w:val="clear" w:color="auto" w:fill="FFFFFF" w:themeFill="background1"/>
          </w:tcPr>
          <w:p w14:paraId="45C77F8E" w14:textId="35C5D7D1" w:rsidR="00600AFA" w:rsidRPr="001619AC" w:rsidRDefault="001D3C22" w:rsidP="00935CC6">
            <w:pPr>
              <w:rPr>
                <w:rFonts w:ascii="Arial Narrow" w:hAnsi="Arial Narrow" w:cs="Arial"/>
                <w:bCs/>
              </w:rPr>
            </w:pPr>
            <w:r>
              <w:rPr>
                <w:rFonts w:ascii="Arial Narrow" w:hAnsi="Arial Narrow" w:cs="Arial"/>
                <w:bCs/>
              </w:rPr>
              <w:lastRenderedPageBreak/>
              <w:t>The Department did not report on the Petitions Management</w:t>
            </w:r>
          </w:p>
        </w:tc>
      </w:tr>
      <w:tr w:rsidR="00600AFA" w:rsidRPr="001619AC" w14:paraId="21F843EC" w14:textId="77777777" w:rsidTr="00035362">
        <w:tc>
          <w:tcPr>
            <w:tcW w:w="5000" w:type="pct"/>
            <w:shd w:val="clear" w:color="auto" w:fill="F2DBDB" w:themeFill="accent2" w:themeFillTint="33"/>
          </w:tcPr>
          <w:p w14:paraId="28D2DC58" w14:textId="77777777" w:rsidR="006149D2" w:rsidRPr="001619AC" w:rsidRDefault="006149D2" w:rsidP="000F7DFB">
            <w:pPr>
              <w:rPr>
                <w:rFonts w:ascii="Arial Narrow" w:hAnsi="Arial Narrow"/>
                <w:b/>
                <w:i/>
                <w:iCs/>
              </w:rPr>
            </w:pPr>
            <w:r w:rsidRPr="001619AC">
              <w:rPr>
                <w:rFonts w:ascii="Arial Narrow" w:hAnsi="Arial Narrow"/>
                <w:b/>
                <w:i/>
                <w:iCs/>
              </w:rPr>
              <w:t>Public Engagements</w:t>
            </w:r>
          </w:p>
          <w:p w14:paraId="043FE31B" w14:textId="5BDEFF46" w:rsidR="00600AFA" w:rsidRPr="001619AC" w:rsidRDefault="00600AFA" w:rsidP="000F7DFB">
            <w:pPr>
              <w:rPr>
                <w:rFonts w:ascii="Arial Narrow" w:hAnsi="Arial Narrow"/>
                <w:bCs/>
                <w:i/>
                <w:iCs/>
              </w:rPr>
            </w:pPr>
            <w:r w:rsidRPr="001619AC">
              <w:rPr>
                <w:rFonts w:ascii="Arial Narrow" w:hAnsi="Arial Narrow"/>
                <w:bCs/>
                <w:i/>
                <w:iCs/>
              </w:rPr>
              <w:t xml:space="preserve">An overall Summary of the Committee’s assessment of </w:t>
            </w:r>
            <w:r w:rsidR="00D74068" w:rsidRPr="001619AC">
              <w:rPr>
                <w:rFonts w:ascii="Arial Narrow" w:hAnsi="Arial Narrow"/>
                <w:bCs/>
                <w:i/>
                <w:iCs/>
              </w:rPr>
              <w:t xml:space="preserve">Department / Entity </w:t>
            </w:r>
            <w:r w:rsidRPr="001619AC">
              <w:rPr>
                <w:rFonts w:ascii="Arial Narrow" w:hAnsi="Arial Narrow"/>
                <w:bCs/>
                <w:i/>
                <w:iCs/>
              </w:rPr>
              <w:t>Public Engagements</w:t>
            </w:r>
          </w:p>
        </w:tc>
      </w:tr>
      <w:tr w:rsidR="00600AFA" w:rsidRPr="001619AC" w14:paraId="35C91C74" w14:textId="77777777" w:rsidTr="00035362">
        <w:tc>
          <w:tcPr>
            <w:tcW w:w="5000" w:type="pct"/>
            <w:shd w:val="clear" w:color="auto" w:fill="FFFFFF" w:themeFill="background1"/>
          </w:tcPr>
          <w:p w14:paraId="6CDB57ED" w14:textId="27DD3A8C" w:rsidR="00600AFA" w:rsidRPr="00976D3E" w:rsidRDefault="000365A5" w:rsidP="00976D3E">
            <w:pPr>
              <w:numPr>
                <w:ilvl w:val="0"/>
                <w:numId w:val="6"/>
              </w:numPr>
              <w:rPr>
                <w:rFonts w:ascii="Arial Narrow" w:hAnsi="Arial Narrow" w:cs="Arial"/>
                <w:bCs/>
              </w:rPr>
            </w:pPr>
            <w:r>
              <w:rPr>
                <w:rFonts w:ascii="Arial Narrow" w:hAnsi="Arial Narrow" w:cs="Arial"/>
                <w:bCs/>
              </w:rPr>
              <w:t xml:space="preserve">The Department did not report on the Public </w:t>
            </w:r>
            <w:r w:rsidR="00976D3E">
              <w:rPr>
                <w:rFonts w:ascii="Arial Narrow" w:hAnsi="Arial Narrow" w:cs="Arial"/>
                <w:bCs/>
              </w:rPr>
              <w:t>Engagements.</w:t>
            </w:r>
          </w:p>
        </w:tc>
      </w:tr>
      <w:tr w:rsidR="00600AFA" w:rsidRPr="001619AC" w14:paraId="38E9C65E" w14:textId="77777777" w:rsidTr="00035362">
        <w:trPr>
          <w:tblHeader/>
        </w:trPr>
        <w:tc>
          <w:tcPr>
            <w:tcW w:w="5000" w:type="pct"/>
            <w:shd w:val="clear" w:color="auto" w:fill="F2DBDB" w:themeFill="accent2" w:themeFillTint="33"/>
          </w:tcPr>
          <w:p w14:paraId="28F2D893" w14:textId="77777777" w:rsidR="006149D2" w:rsidRPr="001619AC" w:rsidRDefault="006149D2" w:rsidP="000F7DFB">
            <w:pPr>
              <w:rPr>
                <w:rFonts w:ascii="Arial Narrow" w:hAnsi="Arial Narrow" w:cs="Arial"/>
                <w:b/>
                <w:bCs/>
                <w:i/>
                <w:iCs/>
                <w:lang w:val="en-US"/>
              </w:rPr>
            </w:pPr>
            <w:r w:rsidRPr="001619AC">
              <w:rPr>
                <w:rFonts w:ascii="Arial Narrow" w:hAnsi="Arial Narrow" w:cs="Arial"/>
                <w:b/>
                <w:bCs/>
                <w:i/>
                <w:iCs/>
                <w:lang w:val="en-US"/>
              </w:rPr>
              <w:t>International Agreements</w:t>
            </w:r>
          </w:p>
          <w:p w14:paraId="5C97717E" w14:textId="0984D558" w:rsidR="00600AFA" w:rsidRPr="001619AC" w:rsidRDefault="00600AFA" w:rsidP="000F7DFB">
            <w:pPr>
              <w:rPr>
                <w:rFonts w:ascii="Arial Narrow" w:hAnsi="Arial Narrow" w:cs="Arial"/>
                <w:i/>
                <w:iCs/>
                <w:lang w:val="en-US"/>
              </w:rPr>
            </w:pPr>
            <w:r w:rsidRPr="001619AC">
              <w:rPr>
                <w:rFonts w:ascii="Arial Narrow" w:hAnsi="Arial Narrow" w:cs="Arial"/>
                <w:i/>
                <w:iCs/>
                <w:lang w:val="en-US"/>
              </w:rPr>
              <w:t xml:space="preserve">Overall Summary on </w:t>
            </w:r>
            <w:r w:rsidR="00D74068" w:rsidRPr="001619AC">
              <w:rPr>
                <w:rFonts w:ascii="Arial Narrow" w:hAnsi="Arial Narrow" w:cs="Arial"/>
                <w:i/>
                <w:iCs/>
                <w:lang w:val="en-US"/>
              </w:rPr>
              <w:t>Department / Entity</w:t>
            </w:r>
            <w:r w:rsidRPr="001619AC">
              <w:rPr>
                <w:rFonts w:ascii="Arial Narrow" w:hAnsi="Arial Narrow" w:cs="Arial"/>
                <w:i/>
                <w:iCs/>
                <w:lang w:val="en-US"/>
              </w:rPr>
              <w:t xml:space="preserve"> implementation of relevant Internal Agreements / Treaties [Only if applicable] [</w:t>
            </w:r>
            <w:r w:rsidRPr="00604232">
              <w:rPr>
                <w:rFonts w:ascii="Arial Narrow" w:hAnsi="Arial Narrow" w:cs="Arial"/>
                <w:i/>
                <w:iCs/>
                <w:lang w:val="en-US"/>
              </w:rPr>
              <w:t xml:space="preserve">Applicable only to OCPOL / </w:t>
            </w:r>
            <w:proofErr w:type="spellStart"/>
            <w:r w:rsidRPr="00604232">
              <w:rPr>
                <w:rFonts w:ascii="Arial Narrow" w:hAnsi="Arial Narrow" w:cs="Arial"/>
                <w:i/>
                <w:iCs/>
                <w:lang w:val="en-US"/>
              </w:rPr>
              <w:t>OoP</w:t>
            </w:r>
            <w:proofErr w:type="spellEnd"/>
            <w:r w:rsidRPr="00604232">
              <w:rPr>
                <w:rFonts w:ascii="Arial Narrow" w:hAnsi="Arial Narrow" w:cs="Arial"/>
                <w:i/>
                <w:iCs/>
                <w:lang w:val="en-US"/>
              </w:rPr>
              <w:t>]</w:t>
            </w:r>
          </w:p>
        </w:tc>
      </w:tr>
      <w:tr w:rsidR="001619AC" w:rsidRPr="001619AC" w14:paraId="7A31E4BF" w14:textId="77777777" w:rsidTr="00035362">
        <w:tblPrEx>
          <w:jc w:val="center"/>
          <w:tblInd w:w="0" w:type="dxa"/>
        </w:tblPrEx>
        <w:trPr>
          <w:trHeight w:val="70"/>
          <w:jc w:val="center"/>
        </w:trPr>
        <w:tc>
          <w:tcPr>
            <w:tcW w:w="5000" w:type="pct"/>
            <w:shd w:val="clear" w:color="auto" w:fill="auto"/>
          </w:tcPr>
          <w:p w14:paraId="69EE68A8" w14:textId="48043E3F" w:rsidR="00600AFA" w:rsidRPr="001619AC" w:rsidRDefault="00600AFA" w:rsidP="006C757B">
            <w:pPr>
              <w:rPr>
                <w:rFonts w:ascii="Arial Narrow" w:hAnsi="Arial Narrow" w:cs="Arial"/>
              </w:rPr>
            </w:pPr>
            <w:r w:rsidRPr="001619AC">
              <w:rPr>
                <w:rFonts w:ascii="Arial Narrow" w:hAnsi="Arial Narrow" w:cs="Arial"/>
              </w:rPr>
              <w:t>[</w:t>
            </w:r>
            <w:r w:rsidR="006E3BC2" w:rsidRPr="001619AC">
              <w:rPr>
                <w:rFonts w:ascii="Arial Narrow" w:hAnsi="Arial Narrow" w:cs="Arial"/>
              </w:rPr>
              <w:t>The department did not report on the International agreements</w:t>
            </w:r>
            <w:r w:rsidRPr="001619AC">
              <w:rPr>
                <w:rFonts w:ascii="Arial Narrow" w:hAnsi="Arial Narrow" w:cs="Arial"/>
              </w:rPr>
              <w:t>]</w:t>
            </w:r>
          </w:p>
        </w:tc>
      </w:tr>
      <w:tr w:rsidR="00600AFA" w:rsidRPr="001619AC" w14:paraId="123B43AF" w14:textId="77777777" w:rsidTr="00035362">
        <w:tc>
          <w:tcPr>
            <w:tcW w:w="5000" w:type="pct"/>
            <w:shd w:val="clear" w:color="auto" w:fill="F2DBDB" w:themeFill="accent2" w:themeFillTint="33"/>
          </w:tcPr>
          <w:p w14:paraId="2A32504F" w14:textId="77777777" w:rsidR="006149D2" w:rsidRPr="001619AC" w:rsidRDefault="006149D2" w:rsidP="000F7DFB">
            <w:pPr>
              <w:rPr>
                <w:rFonts w:ascii="Arial Narrow" w:hAnsi="Arial Narrow"/>
                <w:b/>
                <w:i/>
                <w:iCs/>
              </w:rPr>
            </w:pPr>
            <w:r w:rsidRPr="001619AC">
              <w:rPr>
                <w:rFonts w:ascii="Arial Narrow" w:hAnsi="Arial Narrow"/>
                <w:b/>
                <w:i/>
                <w:iCs/>
              </w:rPr>
              <w:t>GEYODI Empowerment</w:t>
            </w:r>
          </w:p>
          <w:p w14:paraId="5A0879F3" w14:textId="438C7B03" w:rsidR="00600AFA" w:rsidRPr="001619AC" w:rsidRDefault="00600AFA" w:rsidP="000F7DFB">
            <w:pPr>
              <w:rPr>
                <w:rFonts w:ascii="Arial Narrow" w:hAnsi="Arial Narrow"/>
                <w:bCs/>
                <w:i/>
                <w:iCs/>
              </w:rPr>
            </w:pPr>
            <w:r w:rsidRPr="001619AC">
              <w:rPr>
                <w:rFonts w:ascii="Arial Narrow" w:hAnsi="Arial Narrow"/>
                <w:bCs/>
                <w:i/>
                <w:iCs/>
              </w:rPr>
              <w:t xml:space="preserve">Overall Summary on </w:t>
            </w:r>
            <w:r w:rsidR="00D74068" w:rsidRPr="001619AC">
              <w:rPr>
                <w:rFonts w:ascii="Arial Narrow" w:hAnsi="Arial Narrow"/>
                <w:bCs/>
                <w:i/>
                <w:iCs/>
              </w:rPr>
              <w:t>Department / Entity</w:t>
            </w:r>
            <w:r w:rsidRPr="001619AC">
              <w:rPr>
                <w:rFonts w:ascii="Arial Narrow" w:hAnsi="Arial Narrow"/>
                <w:bCs/>
                <w:i/>
                <w:iCs/>
              </w:rPr>
              <w:t xml:space="preserve"> achievement on actual GEYODI empowerment in communities</w:t>
            </w:r>
          </w:p>
        </w:tc>
      </w:tr>
      <w:tr w:rsidR="005C530E" w:rsidRPr="001619AC" w14:paraId="7FFFA137" w14:textId="77777777" w:rsidTr="00F81DCB">
        <w:trPr>
          <w:trHeight w:val="1486"/>
        </w:trPr>
        <w:tc>
          <w:tcPr>
            <w:tcW w:w="5000" w:type="pct"/>
            <w:shd w:val="clear" w:color="auto" w:fill="FFFFFF" w:themeFill="background1"/>
          </w:tcPr>
          <w:p w14:paraId="0356778F" w14:textId="77777777" w:rsidR="00EA202D" w:rsidRPr="00EA202D" w:rsidRDefault="00EA202D" w:rsidP="00EA202D">
            <w:pPr>
              <w:spacing w:after="200" w:line="276" w:lineRule="auto"/>
              <w:rPr>
                <w:rFonts w:ascii="Arial Narrow" w:eastAsiaTheme="minorEastAsia" w:hAnsi="Arial Narrow" w:cs="Arial"/>
                <w:bCs/>
                <w:iCs/>
                <w:lang w:eastAsia="en-ZA"/>
              </w:rPr>
            </w:pPr>
            <w:r w:rsidRPr="00EA202D">
              <w:rPr>
                <w:rFonts w:ascii="Arial Narrow" w:eastAsiaTheme="minorEastAsia" w:hAnsi="Arial Narrow" w:cs="Arial"/>
                <w:bCs/>
                <w:iCs/>
                <w:lang w:eastAsia="en-ZA"/>
              </w:rPr>
              <w:t>The Department reported the following with regards, to GEYODI empowerment:</w:t>
            </w:r>
          </w:p>
          <w:p w14:paraId="27356DE3" w14:textId="251FECDE" w:rsidR="00EA202D" w:rsidRPr="00EA202D" w:rsidRDefault="00E456BB" w:rsidP="00C93E82">
            <w:pPr>
              <w:numPr>
                <w:ilvl w:val="0"/>
                <w:numId w:val="11"/>
              </w:numPr>
              <w:spacing w:after="200" w:line="276" w:lineRule="auto"/>
              <w:rPr>
                <w:rFonts w:ascii="Arial Narrow" w:eastAsiaTheme="minorEastAsia" w:hAnsi="Arial Narrow" w:cs="Arial"/>
                <w:bCs/>
                <w:iCs/>
                <w:lang w:val="en-US" w:eastAsia="en-ZA"/>
              </w:rPr>
            </w:pPr>
            <w:r w:rsidRPr="00E456BB">
              <w:rPr>
                <w:rFonts w:ascii="Arial Narrow" w:eastAsiaTheme="minorEastAsia" w:hAnsi="Arial Narrow" w:cs="Arial"/>
                <w:bCs/>
                <w:iCs/>
                <w:lang w:val="en-US" w:eastAsia="en-ZA"/>
              </w:rPr>
              <w:t xml:space="preserve">18 457 </w:t>
            </w:r>
            <w:r w:rsidR="00EA202D" w:rsidRPr="00EA202D">
              <w:rPr>
                <w:rFonts w:ascii="Arial Narrow" w:eastAsiaTheme="minorEastAsia" w:hAnsi="Arial Narrow" w:cs="Arial"/>
                <w:b/>
                <w:iCs/>
                <w:lang w:val="en-US" w:eastAsia="en-ZA"/>
              </w:rPr>
              <w:t>Women</w:t>
            </w:r>
            <w:r w:rsidR="00EA202D" w:rsidRPr="00EA202D">
              <w:rPr>
                <w:rFonts w:ascii="Arial Narrow" w:eastAsiaTheme="minorEastAsia" w:hAnsi="Arial Narrow" w:cs="Arial"/>
                <w:bCs/>
                <w:iCs/>
                <w:lang w:val="en-US" w:eastAsia="en-ZA"/>
              </w:rPr>
              <w:t xml:space="preserve"> empowered through CWP and EPWP Programmes</w:t>
            </w:r>
          </w:p>
          <w:p w14:paraId="49D41775" w14:textId="16201AC0" w:rsidR="00EA202D" w:rsidRDefault="00850ED4" w:rsidP="00C93E82">
            <w:pPr>
              <w:numPr>
                <w:ilvl w:val="0"/>
                <w:numId w:val="11"/>
              </w:numPr>
              <w:spacing w:after="200" w:line="276" w:lineRule="auto"/>
              <w:rPr>
                <w:rFonts w:ascii="Arial Narrow" w:eastAsiaTheme="minorEastAsia" w:hAnsi="Arial Narrow" w:cs="Arial"/>
                <w:bCs/>
                <w:iCs/>
                <w:lang w:val="en-US" w:eastAsia="en-ZA"/>
              </w:rPr>
            </w:pPr>
            <w:r w:rsidRPr="00850ED4">
              <w:rPr>
                <w:rFonts w:ascii="Arial Narrow" w:eastAsiaTheme="minorEastAsia" w:hAnsi="Arial Narrow" w:cs="Arial"/>
                <w:bCs/>
                <w:iCs/>
                <w:lang w:val="en-US" w:eastAsia="en-ZA"/>
              </w:rPr>
              <w:t xml:space="preserve">5 680 </w:t>
            </w:r>
            <w:r w:rsidR="00EA202D" w:rsidRPr="00EA202D">
              <w:rPr>
                <w:rFonts w:ascii="Arial Narrow" w:eastAsiaTheme="minorEastAsia" w:hAnsi="Arial Narrow" w:cs="Arial"/>
                <w:bCs/>
                <w:iCs/>
                <w:lang w:val="en-US" w:eastAsia="en-ZA"/>
              </w:rPr>
              <w:t xml:space="preserve"> </w:t>
            </w:r>
            <w:r w:rsidR="00EA202D" w:rsidRPr="00EA202D">
              <w:rPr>
                <w:rFonts w:ascii="Arial Narrow" w:eastAsiaTheme="minorEastAsia" w:hAnsi="Arial Narrow" w:cs="Arial"/>
                <w:b/>
                <w:iCs/>
                <w:lang w:val="en-US" w:eastAsia="en-ZA"/>
              </w:rPr>
              <w:t xml:space="preserve">Youth </w:t>
            </w:r>
            <w:r w:rsidR="00EA202D" w:rsidRPr="00EA202D">
              <w:rPr>
                <w:rFonts w:ascii="Arial Narrow" w:eastAsiaTheme="minorEastAsia" w:hAnsi="Arial Narrow" w:cs="Arial"/>
                <w:bCs/>
                <w:iCs/>
                <w:lang w:val="en-US" w:eastAsia="en-ZA"/>
              </w:rPr>
              <w:t>empowered through CWP and EPWP Programmes</w:t>
            </w:r>
          </w:p>
          <w:p w14:paraId="42B6F5C7" w14:textId="1C43220F" w:rsidR="00205F5F" w:rsidRPr="00EA202D" w:rsidRDefault="00EA202D" w:rsidP="00C93E82">
            <w:pPr>
              <w:numPr>
                <w:ilvl w:val="0"/>
                <w:numId w:val="11"/>
              </w:numPr>
              <w:spacing w:after="200" w:line="276" w:lineRule="auto"/>
              <w:rPr>
                <w:rFonts w:ascii="Arial Narrow" w:eastAsiaTheme="minorEastAsia" w:hAnsi="Arial Narrow" w:cs="Arial"/>
                <w:bCs/>
                <w:iCs/>
                <w:lang w:val="en-US" w:eastAsia="en-ZA"/>
              </w:rPr>
            </w:pPr>
            <w:r w:rsidRPr="00EA202D">
              <w:rPr>
                <w:rFonts w:ascii="Arial Narrow" w:eastAsiaTheme="minorEastAsia" w:hAnsi="Arial Narrow" w:cs="Arial"/>
                <w:bCs/>
                <w:iCs/>
                <w:lang w:eastAsia="en-ZA"/>
              </w:rPr>
              <w:t>50</w:t>
            </w:r>
            <w:r w:rsidR="00850ED4">
              <w:rPr>
                <w:rFonts w:ascii="Arial Narrow" w:eastAsiaTheme="minorEastAsia" w:hAnsi="Arial Narrow" w:cs="Arial"/>
                <w:bCs/>
                <w:iCs/>
                <w:lang w:eastAsia="en-ZA"/>
              </w:rPr>
              <w:t>4</w:t>
            </w:r>
            <w:r w:rsidRPr="00EA202D">
              <w:rPr>
                <w:rFonts w:ascii="Arial Narrow" w:eastAsiaTheme="minorEastAsia" w:hAnsi="Arial Narrow" w:cs="Arial"/>
                <w:bCs/>
                <w:iCs/>
                <w:lang w:eastAsia="en-ZA"/>
              </w:rPr>
              <w:t xml:space="preserve"> </w:t>
            </w:r>
            <w:r w:rsidRPr="00EA202D">
              <w:rPr>
                <w:rFonts w:ascii="Arial Narrow" w:eastAsiaTheme="minorEastAsia" w:hAnsi="Arial Narrow" w:cs="Arial"/>
                <w:b/>
                <w:iCs/>
                <w:lang w:eastAsia="en-ZA"/>
              </w:rPr>
              <w:t>Persons with Disabilities</w:t>
            </w:r>
            <w:r w:rsidRPr="00EA202D">
              <w:rPr>
                <w:rFonts w:ascii="Arial Narrow" w:eastAsiaTheme="minorEastAsia" w:hAnsi="Arial Narrow" w:cs="Arial"/>
                <w:bCs/>
                <w:iCs/>
                <w:lang w:eastAsia="en-ZA"/>
              </w:rPr>
              <w:t xml:space="preserve"> empowered through CWP Programme</w:t>
            </w:r>
          </w:p>
        </w:tc>
      </w:tr>
      <w:tr w:rsidR="00600AFA" w:rsidRPr="001619AC" w14:paraId="4618922A" w14:textId="77777777" w:rsidTr="00035362">
        <w:tc>
          <w:tcPr>
            <w:tcW w:w="5000" w:type="pct"/>
            <w:shd w:val="clear" w:color="auto" w:fill="F2DBDB" w:themeFill="accent2" w:themeFillTint="33"/>
          </w:tcPr>
          <w:p w14:paraId="34F34DAA" w14:textId="60EBDF1E" w:rsidR="006149D2" w:rsidRPr="001619AC" w:rsidRDefault="006149D2" w:rsidP="000901F9">
            <w:pPr>
              <w:rPr>
                <w:rFonts w:ascii="Arial Narrow" w:hAnsi="Arial Narrow"/>
                <w:b/>
                <w:i/>
                <w:iCs/>
              </w:rPr>
            </w:pPr>
            <w:r w:rsidRPr="001619AC">
              <w:rPr>
                <w:rFonts w:ascii="Arial Narrow" w:hAnsi="Arial Narrow"/>
                <w:b/>
                <w:i/>
                <w:iCs/>
              </w:rPr>
              <w:t>Fiduciary Compliance</w:t>
            </w:r>
          </w:p>
          <w:p w14:paraId="7C75966B" w14:textId="6F68541C" w:rsidR="00600AFA" w:rsidRPr="001619AC" w:rsidRDefault="00600AFA" w:rsidP="000901F9">
            <w:pPr>
              <w:rPr>
                <w:rFonts w:ascii="Arial Narrow" w:hAnsi="Arial Narrow"/>
                <w:bCs/>
                <w:i/>
                <w:iCs/>
              </w:rPr>
            </w:pPr>
            <w:r w:rsidRPr="001619AC">
              <w:rPr>
                <w:rFonts w:ascii="Arial Narrow" w:hAnsi="Arial Narrow"/>
                <w:bCs/>
                <w:i/>
                <w:iCs/>
              </w:rPr>
              <w:t xml:space="preserve">Overall Summary on </w:t>
            </w:r>
            <w:r w:rsidR="00D74068" w:rsidRPr="001619AC">
              <w:rPr>
                <w:rFonts w:ascii="Arial Narrow" w:hAnsi="Arial Narrow"/>
                <w:bCs/>
                <w:i/>
                <w:iCs/>
              </w:rPr>
              <w:t>Department / Entity</w:t>
            </w:r>
            <w:r w:rsidRPr="001619AC">
              <w:rPr>
                <w:rFonts w:ascii="Arial Narrow" w:hAnsi="Arial Narrow"/>
                <w:bCs/>
                <w:i/>
                <w:iCs/>
              </w:rPr>
              <w:t xml:space="preserve"> Compliance </w:t>
            </w:r>
            <w:r w:rsidR="009B42A0" w:rsidRPr="001619AC">
              <w:rPr>
                <w:rFonts w:ascii="Arial Narrow" w:hAnsi="Arial Narrow"/>
                <w:bCs/>
                <w:i/>
                <w:iCs/>
              </w:rPr>
              <w:t>with fiduciary requirements</w:t>
            </w:r>
          </w:p>
        </w:tc>
      </w:tr>
      <w:tr w:rsidR="00600AFA" w:rsidRPr="001619AC" w14:paraId="44DC0D06" w14:textId="77777777" w:rsidTr="00035362">
        <w:tc>
          <w:tcPr>
            <w:tcW w:w="5000" w:type="pct"/>
            <w:shd w:val="clear" w:color="auto" w:fill="FFFFFF" w:themeFill="background1"/>
          </w:tcPr>
          <w:p w14:paraId="6D3C7EDE" w14:textId="102603D8" w:rsidR="00387F73" w:rsidRPr="001619AC" w:rsidRDefault="005C530E" w:rsidP="00F81DCB">
            <w:pPr>
              <w:spacing w:line="276" w:lineRule="auto"/>
              <w:rPr>
                <w:rFonts w:ascii="Arial" w:hAnsi="Arial" w:cs="Arial"/>
                <w:bCs/>
              </w:rPr>
            </w:pPr>
            <w:r w:rsidRPr="001619AC">
              <w:rPr>
                <w:rFonts w:ascii="Arial Narrow" w:hAnsi="Arial Narrow" w:cs="Arial"/>
                <w:bCs/>
              </w:rPr>
              <w:t>The</w:t>
            </w:r>
            <w:r w:rsidR="00944C25" w:rsidRPr="001619AC">
              <w:rPr>
                <w:rFonts w:ascii="Arial Narrow" w:hAnsi="Arial Narrow" w:cs="Arial"/>
                <w:bCs/>
              </w:rPr>
              <w:t xml:space="preserve"> Department did not report any on this line item</w:t>
            </w:r>
            <w:r w:rsidRPr="001619AC">
              <w:rPr>
                <w:rFonts w:ascii="Arial Narrow" w:hAnsi="Arial Narrow" w:cs="Arial"/>
                <w:bCs/>
              </w:rPr>
              <w:t>.</w:t>
            </w:r>
            <w:r w:rsidR="00935CC6" w:rsidRPr="001619AC">
              <w:rPr>
                <w:rFonts w:ascii="Arial Narrow" w:hAnsi="Arial Narrow" w:cs="Arial"/>
                <w:bCs/>
              </w:rPr>
              <w:t xml:space="preserve"> </w:t>
            </w:r>
          </w:p>
        </w:tc>
      </w:tr>
      <w:tr w:rsidR="009B42A0" w:rsidRPr="001619AC" w14:paraId="61E5EF46" w14:textId="77777777" w:rsidTr="00035362">
        <w:tc>
          <w:tcPr>
            <w:tcW w:w="5000" w:type="pct"/>
            <w:shd w:val="clear" w:color="auto" w:fill="F2DBDB" w:themeFill="accent2" w:themeFillTint="33"/>
          </w:tcPr>
          <w:p w14:paraId="62B6762C" w14:textId="27F0DB6B" w:rsidR="004830BF" w:rsidRPr="001619AC" w:rsidRDefault="004830BF" w:rsidP="000F7DFB">
            <w:pPr>
              <w:rPr>
                <w:rFonts w:ascii="Arial Narrow" w:hAnsi="Arial Narrow"/>
                <w:b/>
                <w:i/>
                <w:iCs/>
              </w:rPr>
            </w:pPr>
            <w:r w:rsidRPr="001619AC">
              <w:rPr>
                <w:rFonts w:ascii="Arial Narrow" w:hAnsi="Arial Narrow"/>
                <w:b/>
                <w:i/>
                <w:iCs/>
              </w:rPr>
              <w:t xml:space="preserve">Capacitated </w:t>
            </w:r>
            <w:r w:rsidR="00D74068" w:rsidRPr="001619AC">
              <w:rPr>
                <w:rFonts w:ascii="Arial Narrow" w:hAnsi="Arial Narrow"/>
                <w:b/>
                <w:i/>
                <w:iCs/>
              </w:rPr>
              <w:t>Department / Entity</w:t>
            </w:r>
          </w:p>
          <w:p w14:paraId="6EF5AC75" w14:textId="4DF7E794" w:rsidR="009B42A0" w:rsidRPr="001619AC" w:rsidRDefault="009B42A0" w:rsidP="000F7DFB">
            <w:pPr>
              <w:rPr>
                <w:rFonts w:ascii="Arial Narrow" w:hAnsi="Arial Narrow"/>
                <w:bCs/>
                <w:i/>
                <w:iCs/>
              </w:rPr>
            </w:pPr>
            <w:r w:rsidRPr="001619AC">
              <w:rPr>
                <w:rFonts w:ascii="Arial Narrow" w:hAnsi="Arial Narrow"/>
                <w:bCs/>
                <w:i/>
                <w:iCs/>
              </w:rPr>
              <w:t xml:space="preserve">An overall Summary of whether the Committee thinks the </w:t>
            </w:r>
            <w:r w:rsidR="00D74068" w:rsidRPr="001619AC">
              <w:rPr>
                <w:rFonts w:ascii="Arial Narrow" w:hAnsi="Arial Narrow"/>
                <w:bCs/>
                <w:i/>
                <w:iCs/>
              </w:rPr>
              <w:t>Department / Entity</w:t>
            </w:r>
            <w:r w:rsidRPr="001619AC">
              <w:rPr>
                <w:rFonts w:ascii="Arial Narrow" w:hAnsi="Arial Narrow"/>
                <w:bCs/>
                <w:i/>
                <w:iCs/>
              </w:rPr>
              <w:t xml:space="preserve"> is adequately capacitated and resourced to carry out its functions and discharge its mandates</w:t>
            </w:r>
          </w:p>
        </w:tc>
      </w:tr>
      <w:tr w:rsidR="009B42A0" w:rsidRPr="001619AC" w14:paraId="1DBEAE24" w14:textId="77777777" w:rsidTr="00035362">
        <w:tc>
          <w:tcPr>
            <w:tcW w:w="5000" w:type="pct"/>
            <w:shd w:val="clear" w:color="auto" w:fill="FFFFFF" w:themeFill="background1"/>
          </w:tcPr>
          <w:p w14:paraId="77DB0726" w14:textId="77777777" w:rsidR="00A57926" w:rsidRPr="001619AC" w:rsidRDefault="00A57926" w:rsidP="00A57926">
            <w:pPr>
              <w:rPr>
                <w:rFonts w:ascii="Arial Narrow" w:hAnsi="Arial Narrow" w:cs="Arial"/>
                <w:bCs/>
              </w:rPr>
            </w:pPr>
            <w:r w:rsidRPr="001619AC">
              <w:rPr>
                <w:rFonts w:ascii="Arial Narrow" w:hAnsi="Arial Narrow" w:cs="Arial"/>
                <w:bCs/>
              </w:rPr>
              <w:t xml:space="preserve">The Committee has always been of the view that all Departmental critical vacant positions should be filled in order to ensure that service delivery imperatives are attained. </w:t>
            </w:r>
          </w:p>
          <w:p w14:paraId="0F8C8B0A" w14:textId="60E5E3F4" w:rsidR="00FA1F7C" w:rsidRPr="001619AC" w:rsidRDefault="00944C25" w:rsidP="00A57926">
            <w:pPr>
              <w:rPr>
                <w:rFonts w:ascii="Arial Narrow" w:hAnsi="Arial Narrow" w:cs="Arial"/>
                <w:bCs/>
              </w:rPr>
            </w:pPr>
            <w:r w:rsidRPr="001619AC">
              <w:rPr>
                <w:rFonts w:ascii="Arial Narrow" w:hAnsi="Arial Narrow" w:cs="Arial"/>
                <w:bCs/>
              </w:rPr>
              <w:t xml:space="preserve"> </w:t>
            </w:r>
          </w:p>
        </w:tc>
      </w:tr>
      <w:tr w:rsidR="009B42A0" w:rsidRPr="001619AC" w14:paraId="4AC09FE1" w14:textId="77777777" w:rsidTr="00035362">
        <w:tc>
          <w:tcPr>
            <w:tcW w:w="5000" w:type="pct"/>
            <w:shd w:val="clear" w:color="auto" w:fill="F2DBDB" w:themeFill="accent2" w:themeFillTint="33"/>
          </w:tcPr>
          <w:p w14:paraId="4FD09162" w14:textId="77777777" w:rsidR="004830BF" w:rsidRPr="001619AC" w:rsidRDefault="004830BF" w:rsidP="000F7DFB">
            <w:pPr>
              <w:rPr>
                <w:rFonts w:ascii="Arial Narrow" w:hAnsi="Arial Narrow"/>
                <w:b/>
                <w:i/>
                <w:iCs/>
              </w:rPr>
            </w:pPr>
            <w:r w:rsidRPr="001619AC">
              <w:rPr>
                <w:rFonts w:ascii="Arial Narrow" w:hAnsi="Arial Narrow"/>
                <w:b/>
                <w:i/>
                <w:iCs/>
              </w:rPr>
              <w:t>Any other Committee Focus Area (if relevant / applicable and Requirement)</w:t>
            </w:r>
          </w:p>
          <w:p w14:paraId="7060C05D" w14:textId="3F6D5D9C" w:rsidR="009B42A0" w:rsidRPr="001619AC" w:rsidRDefault="009B42A0" w:rsidP="000F7DFB">
            <w:pPr>
              <w:tabs>
                <w:tab w:val="left" w:pos="12328"/>
              </w:tabs>
              <w:rPr>
                <w:rFonts w:ascii="Arial Narrow" w:hAnsi="Arial Narrow"/>
                <w:bCs/>
                <w:i/>
                <w:iCs/>
              </w:rPr>
            </w:pPr>
            <w:r w:rsidRPr="001619AC">
              <w:rPr>
                <w:rFonts w:ascii="Arial Narrow" w:hAnsi="Arial Narrow"/>
                <w:bCs/>
                <w:i/>
                <w:iCs/>
              </w:rPr>
              <w:lastRenderedPageBreak/>
              <w:t xml:space="preserve">High level summary of any other area of </w:t>
            </w:r>
            <w:r w:rsidR="00D74068" w:rsidRPr="001619AC">
              <w:rPr>
                <w:rFonts w:ascii="Arial Narrow" w:hAnsi="Arial Narrow"/>
                <w:bCs/>
                <w:i/>
                <w:iCs/>
              </w:rPr>
              <w:t>Department / Entity</w:t>
            </w:r>
            <w:r w:rsidRPr="001619AC">
              <w:rPr>
                <w:rFonts w:ascii="Arial Narrow" w:hAnsi="Arial Narrow"/>
                <w:bCs/>
                <w:i/>
                <w:iCs/>
              </w:rPr>
              <w:t xml:space="preserve"> performance with respect to its Quarter Report that the Committee wishes to report on, which is not already included in any of the above Focus Areas.</w:t>
            </w:r>
          </w:p>
        </w:tc>
      </w:tr>
      <w:tr w:rsidR="009B42A0" w:rsidRPr="001619AC" w14:paraId="537DE6EA" w14:textId="77777777" w:rsidTr="00035362">
        <w:tc>
          <w:tcPr>
            <w:tcW w:w="5000" w:type="pct"/>
          </w:tcPr>
          <w:p w14:paraId="79DDF7F2" w14:textId="7237B5BD" w:rsidR="009B42A0" w:rsidRPr="001619AC" w:rsidRDefault="007323C0" w:rsidP="006C757B">
            <w:pPr>
              <w:rPr>
                <w:rFonts w:ascii="Arial Narrow" w:hAnsi="Arial Narrow"/>
              </w:rPr>
            </w:pPr>
            <w:r w:rsidRPr="001619AC">
              <w:rPr>
                <w:rFonts w:ascii="Arial Narrow" w:hAnsi="Arial Narrow"/>
              </w:rPr>
              <w:t xml:space="preserve">The Department did not report </w:t>
            </w:r>
            <w:r w:rsidR="001C3033">
              <w:rPr>
                <w:rFonts w:ascii="Arial Narrow" w:hAnsi="Arial Narrow"/>
              </w:rPr>
              <w:t xml:space="preserve">any </w:t>
            </w:r>
            <w:r w:rsidRPr="001619AC">
              <w:rPr>
                <w:rFonts w:ascii="Arial Narrow" w:hAnsi="Arial Narrow"/>
              </w:rPr>
              <w:t xml:space="preserve">other </w:t>
            </w:r>
            <w:r w:rsidR="009E4A1C">
              <w:rPr>
                <w:rFonts w:ascii="Arial Narrow" w:hAnsi="Arial Narrow"/>
              </w:rPr>
              <w:t>F</w:t>
            </w:r>
            <w:r w:rsidRPr="001619AC">
              <w:rPr>
                <w:rFonts w:ascii="Arial Narrow" w:hAnsi="Arial Narrow"/>
              </w:rPr>
              <w:t xml:space="preserve">ocus </w:t>
            </w:r>
            <w:r w:rsidR="009E4A1C">
              <w:rPr>
                <w:rFonts w:ascii="Arial Narrow" w:hAnsi="Arial Narrow"/>
              </w:rPr>
              <w:t>A</w:t>
            </w:r>
            <w:r w:rsidRPr="001619AC">
              <w:rPr>
                <w:rFonts w:ascii="Arial Narrow" w:hAnsi="Arial Narrow"/>
              </w:rPr>
              <w:t>reas</w:t>
            </w:r>
          </w:p>
        </w:tc>
      </w:tr>
      <w:tr w:rsidR="009B42A0" w:rsidRPr="001619AC" w14:paraId="47BB7D0F" w14:textId="77777777" w:rsidTr="00035362">
        <w:tc>
          <w:tcPr>
            <w:tcW w:w="5000" w:type="pct"/>
            <w:shd w:val="clear" w:color="auto" w:fill="F2DBDB" w:themeFill="accent2" w:themeFillTint="33"/>
          </w:tcPr>
          <w:p w14:paraId="088B9856" w14:textId="77777777" w:rsidR="004830BF" w:rsidRPr="001619AC" w:rsidRDefault="004830BF" w:rsidP="000F7DFB">
            <w:pPr>
              <w:rPr>
                <w:rFonts w:ascii="Arial Narrow" w:hAnsi="Arial Narrow"/>
                <w:b/>
                <w:i/>
                <w:iCs/>
              </w:rPr>
            </w:pPr>
            <w:r w:rsidRPr="001619AC">
              <w:rPr>
                <w:rFonts w:ascii="Arial Narrow" w:hAnsi="Arial Narrow"/>
                <w:b/>
                <w:i/>
                <w:iCs/>
              </w:rPr>
              <w:t>Summary of Committee Findings</w:t>
            </w:r>
          </w:p>
          <w:p w14:paraId="1B05C74C" w14:textId="7F5F5D4F" w:rsidR="009B42A0" w:rsidRPr="001619AC" w:rsidRDefault="009B42A0" w:rsidP="000F7DFB">
            <w:pPr>
              <w:rPr>
                <w:rFonts w:ascii="Arial Narrow" w:hAnsi="Arial Narrow"/>
                <w:bCs/>
                <w:i/>
                <w:iCs/>
              </w:rPr>
            </w:pPr>
            <w:r w:rsidRPr="001619AC">
              <w:rPr>
                <w:rFonts w:ascii="Arial Narrow" w:hAnsi="Arial Narrow"/>
                <w:bCs/>
                <w:i/>
                <w:iCs/>
              </w:rPr>
              <w:t>High level summary of Committee findings. Broadly, which aspects do they relate to</w:t>
            </w:r>
          </w:p>
        </w:tc>
      </w:tr>
      <w:tr w:rsidR="009B42A0" w:rsidRPr="001619AC" w14:paraId="44B7F95E" w14:textId="77777777" w:rsidTr="00035362">
        <w:tc>
          <w:tcPr>
            <w:tcW w:w="5000" w:type="pct"/>
          </w:tcPr>
          <w:p w14:paraId="56071A66" w14:textId="6B926CAB" w:rsidR="009225D0" w:rsidRPr="001619AC" w:rsidRDefault="009225D0" w:rsidP="00F81DCB">
            <w:pPr>
              <w:spacing w:line="276" w:lineRule="auto"/>
              <w:rPr>
                <w:rFonts w:ascii="Arial Narrow" w:hAnsi="Arial Narrow" w:cs="Arial"/>
                <w:bCs/>
              </w:rPr>
            </w:pPr>
            <w:r w:rsidRPr="001619AC">
              <w:rPr>
                <w:rFonts w:ascii="Arial Narrow" w:hAnsi="Arial Narrow" w:cs="Arial"/>
                <w:bCs/>
              </w:rPr>
              <w:t xml:space="preserve">The Committee continuously observes that the Department fails to spend </w:t>
            </w:r>
            <w:r w:rsidR="00953955">
              <w:rPr>
                <w:rFonts w:ascii="Arial Narrow" w:hAnsi="Arial Narrow" w:cs="Arial"/>
                <w:bCs/>
              </w:rPr>
              <w:t xml:space="preserve">100% of </w:t>
            </w:r>
            <w:r w:rsidRPr="001619AC">
              <w:rPr>
                <w:rFonts w:ascii="Arial Narrow" w:hAnsi="Arial Narrow" w:cs="Arial"/>
                <w:bCs/>
              </w:rPr>
              <w:t xml:space="preserve">its annual budget and never meets </w:t>
            </w:r>
            <w:r w:rsidR="00003195">
              <w:rPr>
                <w:rFonts w:ascii="Arial Narrow" w:hAnsi="Arial Narrow" w:cs="Arial"/>
                <w:bCs/>
              </w:rPr>
              <w:t xml:space="preserve">all </w:t>
            </w:r>
            <w:r w:rsidRPr="001619AC">
              <w:rPr>
                <w:rFonts w:ascii="Arial Narrow" w:hAnsi="Arial Narrow" w:cs="Arial"/>
                <w:bCs/>
              </w:rPr>
              <w:t xml:space="preserve">its planned targets. Moreover, </w:t>
            </w:r>
            <w:r w:rsidR="00123DC0" w:rsidRPr="001619AC">
              <w:rPr>
                <w:rFonts w:ascii="Arial Narrow" w:hAnsi="Arial Narrow" w:cs="Arial"/>
                <w:bCs/>
              </w:rPr>
              <w:t>there</w:t>
            </w:r>
            <w:r w:rsidR="00C91AAE" w:rsidRPr="001619AC">
              <w:rPr>
                <w:rFonts w:ascii="Arial Narrow" w:hAnsi="Arial Narrow" w:cs="Arial"/>
                <w:bCs/>
              </w:rPr>
              <w:t xml:space="preserve"> is</w:t>
            </w:r>
            <w:r w:rsidR="00003195">
              <w:rPr>
                <w:rFonts w:ascii="Arial Narrow" w:hAnsi="Arial Narrow" w:cs="Arial"/>
                <w:bCs/>
              </w:rPr>
              <w:t>:</w:t>
            </w:r>
          </w:p>
          <w:p w14:paraId="6495357F" w14:textId="77777777" w:rsidR="000901F9" w:rsidRPr="001619AC" w:rsidRDefault="000901F9" w:rsidP="00F81DCB">
            <w:pPr>
              <w:spacing w:line="276" w:lineRule="auto"/>
              <w:rPr>
                <w:rFonts w:ascii="Arial Narrow" w:hAnsi="Arial Narrow" w:cs="Arial"/>
                <w:bCs/>
              </w:rPr>
            </w:pPr>
          </w:p>
          <w:p w14:paraId="5E1C4403" w14:textId="176050F8" w:rsidR="003C5AF1" w:rsidRPr="003C5AF1" w:rsidRDefault="003C5AF1" w:rsidP="00C93E82">
            <w:pPr>
              <w:pStyle w:val="ListParagraph"/>
              <w:numPr>
                <w:ilvl w:val="0"/>
                <w:numId w:val="18"/>
              </w:numPr>
              <w:rPr>
                <w:rFonts w:ascii="Arial Narrow" w:hAnsi="Arial Narrow" w:cs="Arial"/>
                <w:bCs/>
              </w:rPr>
            </w:pPr>
            <w:r w:rsidRPr="003C5AF1">
              <w:rPr>
                <w:rFonts w:ascii="Arial Narrow" w:hAnsi="Arial Narrow" w:cs="Arial"/>
                <w:bCs/>
              </w:rPr>
              <w:t>In terms of oversight on budget expenditure, the Department reported that the expenditure is R</w:t>
            </w:r>
            <w:r w:rsidR="00933F76" w:rsidRPr="00933F76">
              <w:rPr>
                <w:rFonts w:ascii="Arial Narrow" w:hAnsi="Arial Narrow" w:cs="Arial"/>
                <w:bCs/>
              </w:rPr>
              <w:t>111</w:t>
            </w:r>
            <w:r w:rsidR="005F34D9">
              <w:rPr>
                <w:rFonts w:ascii="Arial Narrow" w:hAnsi="Arial Narrow" w:cs="Arial"/>
                <w:bCs/>
              </w:rPr>
              <w:t xml:space="preserve"> </w:t>
            </w:r>
            <w:r w:rsidR="00933F76" w:rsidRPr="00933F76">
              <w:rPr>
                <w:rFonts w:ascii="Arial Narrow" w:hAnsi="Arial Narrow" w:cs="Arial"/>
                <w:bCs/>
              </w:rPr>
              <w:t>999</w:t>
            </w:r>
            <w:r w:rsidR="005F34D9">
              <w:rPr>
                <w:rFonts w:ascii="Arial Narrow" w:hAnsi="Arial Narrow" w:cs="Arial"/>
                <w:bCs/>
              </w:rPr>
              <w:t xml:space="preserve"> </w:t>
            </w:r>
            <w:r w:rsidRPr="003C5AF1">
              <w:rPr>
                <w:rFonts w:ascii="Arial Narrow" w:hAnsi="Arial Narrow" w:cs="Arial"/>
                <w:bCs/>
              </w:rPr>
              <w:t>000. 00 (</w:t>
            </w:r>
            <w:r w:rsidR="00CC7FB7">
              <w:rPr>
                <w:rFonts w:ascii="Arial Narrow" w:hAnsi="Arial Narrow" w:cs="Arial"/>
                <w:bCs/>
              </w:rPr>
              <w:t>88</w:t>
            </w:r>
            <w:r w:rsidRPr="003C5AF1">
              <w:rPr>
                <w:rFonts w:ascii="Arial Narrow" w:hAnsi="Arial Narrow" w:cs="Arial"/>
                <w:bCs/>
              </w:rPr>
              <w:t>%) against the allocation of R</w:t>
            </w:r>
            <w:r w:rsidR="005F34D9" w:rsidRPr="005F34D9">
              <w:rPr>
                <w:rFonts w:ascii="Arial Narrow" w:hAnsi="Arial Narrow" w:cs="Arial"/>
                <w:bCs/>
              </w:rPr>
              <w:t>127</w:t>
            </w:r>
            <w:r w:rsidR="008F39B8">
              <w:rPr>
                <w:rFonts w:ascii="Arial Narrow" w:hAnsi="Arial Narrow" w:cs="Arial"/>
                <w:bCs/>
              </w:rPr>
              <w:t xml:space="preserve"> </w:t>
            </w:r>
            <w:r w:rsidR="005F34D9" w:rsidRPr="005F34D9">
              <w:rPr>
                <w:rFonts w:ascii="Arial Narrow" w:hAnsi="Arial Narrow" w:cs="Arial"/>
                <w:bCs/>
              </w:rPr>
              <w:t>823</w:t>
            </w:r>
            <w:r w:rsidR="008F39B8">
              <w:rPr>
                <w:rFonts w:ascii="Arial Narrow" w:hAnsi="Arial Narrow" w:cs="Arial"/>
                <w:bCs/>
              </w:rPr>
              <w:t xml:space="preserve"> </w:t>
            </w:r>
            <w:r w:rsidRPr="003C5AF1">
              <w:rPr>
                <w:rFonts w:ascii="Arial Narrow" w:hAnsi="Arial Narrow" w:cs="Arial"/>
                <w:bCs/>
              </w:rPr>
              <w:t>000. 00 during the 4th quarter of 202</w:t>
            </w:r>
            <w:r w:rsidR="00426E08">
              <w:rPr>
                <w:rFonts w:ascii="Arial Narrow" w:hAnsi="Arial Narrow" w:cs="Arial"/>
                <w:bCs/>
              </w:rPr>
              <w:t>1</w:t>
            </w:r>
            <w:r w:rsidRPr="003C5AF1">
              <w:rPr>
                <w:rFonts w:ascii="Arial Narrow" w:hAnsi="Arial Narrow" w:cs="Arial"/>
                <w:bCs/>
              </w:rPr>
              <w:t>/2</w:t>
            </w:r>
            <w:r w:rsidR="00426E08">
              <w:rPr>
                <w:rFonts w:ascii="Arial Narrow" w:hAnsi="Arial Narrow" w:cs="Arial"/>
                <w:bCs/>
              </w:rPr>
              <w:t>2</w:t>
            </w:r>
            <w:r w:rsidRPr="003C5AF1">
              <w:rPr>
                <w:rFonts w:ascii="Arial Narrow" w:hAnsi="Arial Narrow" w:cs="Arial"/>
                <w:bCs/>
              </w:rPr>
              <w:t xml:space="preserve"> FY. Therefore, the Department has underspend under the quarter under review.</w:t>
            </w:r>
          </w:p>
          <w:p w14:paraId="7D6A21F8" w14:textId="23B047A3" w:rsidR="003C5AF1" w:rsidRPr="003C5AF1" w:rsidRDefault="00244D17" w:rsidP="00C93E82">
            <w:pPr>
              <w:pStyle w:val="ListParagraph"/>
              <w:numPr>
                <w:ilvl w:val="0"/>
                <w:numId w:val="18"/>
              </w:numPr>
              <w:rPr>
                <w:rFonts w:ascii="Arial Narrow" w:hAnsi="Arial Narrow" w:cs="Arial"/>
                <w:bCs/>
              </w:rPr>
            </w:pPr>
            <w:r>
              <w:rPr>
                <w:rFonts w:ascii="Arial Narrow" w:hAnsi="Arial Narrow" w:cs="Arial"/>
                <w:bCs/>
              </w:rPr>
              <w:t>Budget is not fully aligned with th</w:t>
            </w:r>
            <w:r w:rsidR="003B6385">
              <w:rPr>
                <w:rFonts w:ascii="Arial Narrow" w:hAnsi="Arial Narrow" w:cs="Arial"/>
                <w:bCs/>
              </w:rPr>
              <w:t>e performance activities.</w:t>
            </w:r>
          </w:p>
          <w:p w14:paraId="6BA62319" w14:textId="7D22518E" w:rsidR="003C5AF1" w:rsidRPr="003C5AF1" w:rsidRDefault="003B6385" w:rsidP="00C93E82">
            <w:pPr>
              <w:pStyle w:val="ListParagraph"/>
              <w:numPr>
                <w:ilvl w:val="0"/>
                <w:numId w:val="18"/>
              </w:numPr>
              <w:rPr>
                <w:rFonts w:ascii="Arial Narrow" w:hAnsi="Arial Narrow" w:cs="Arial"/>
                <w:bCs/>
              </w:rPr>
            </w:pPr>
            <w:r>
              <w:rPr>
                <w:rFonts w:ascii="Arial Narrow" w:hAnsi="Arial Narrow" w:cs="Arial"/>
                <w:bCs/>
              </w:rPr>
              <w:t xml:space="preserve">Senior Management </w:t>
            </w:r>
            <w:r w:rsidR="006E7E5F">
              <w:rPr>
                <w:rFonts w:ascii="Arial Narrow" w:hAnsi="Arial Narrow" w:cs="Arial"/>
                <w:bCs/>
              </w:rPr>
              <w:t xml:space="preserve">positions </w:t>
            </w:r>
            <w:r w:rsidR="00022C38">
              <w:rPr>
                <w:rFonts w:ascii="Arial Narrow" w:hAnsi="Arial Narrow" w:cs="Arial"/>
                <w:bCs/>
              </w:rPr>
              <w:t>not fully filled.</w:t>
            </w:r>
          </w:p>
          <w:p w14:paraId="5F9D6799" w14:textId="0FDDB608" w:rsidR="003C5AF1" w:rsidRPr="003C5AF1" w:rsidRDefault="00332504" w:rsidP="00C93E82">
            <w:pPr>
              <w:pStyle w:val="ListParagraph"/>
              <w:numPr>
                <w:ilvl w:val="0"/>
                <w:numId w:val="18"/>
              </w:numPr>
              <w:rPr>
                <w:rFonts w:ascii="Arial Narrow" w:hAnsi="Arial Narrow" w:cs="Arial"/>
                <w:bCs/>
              </w:rPr>
            </w:pPr>
            <w:r>
              <w:rPr>
                <w:rFonts w:ascii="Arial Narrow" w:hAnsi="Arial Narrow" w:cs="Arial"/>
                <w:bCs/>
              </w:rPr>
              <w:t xml:space="preserve">Bursaries for learners with disability could not be </w:t>
            </w:r>
            <w:r w:rsidR="006A319C">
              <w:rPr>
                <w:rFonts w:ascii="Arial Narrow" w:hAnsi="Arial Narrow" w:cs="Arial"/>
                <w:bCs/>
              </w:rPr>
              <w:t>provided due to lack of funds</w:t>
            </w:r>
          </w:p>
          <w:p w14:paraId="24EA1F1A" w14:textId="57C893D1" w:rsidR="009B42A0" w:rsidRPr="00DA50D9" w:rsidRDefault="00EC6682" w:rsidP="00DA50D9">
            <w:pPr>
              <w:pStyle w:val="ListParagraph"/>
              <w:numPr>
                <w:ilvl w:val="0"/>
                <w:numId w:val="18"/>
              </w:numPr>
              <w:rPr>
                <w:rFonts w:ascii="Arial Narrow" w:hAnsi="Arial Narrow" w:cs="Arial"/>
                <w:bCs/>
              </w:rPr>
            </w:pPr>
            <w:r>
              <w:rPr>
                <w:rFonts w:ascii="Arial Narrow" w:hAnsi="Arial Narrow" w:cs="Arial"/>
                <w:bCs/>
              </w:rPr>
              <w:t xml:space="preserve">Due to </w:t>
            </w:r>
            <w:r w:rsidR="009A57B0">
              <w:rPr>
                <w:rFonts w:ascii="Arial Narrow" w:hAnsi="Arial Narrow" w:cs="Arial"/>
                <w:bCs/>
              </w:rPr>
              <w:t xml:space="preserve">budget limitations Researcher </w:t>
            </w:r>
            <w:r w:rsidR="00757596">
              <w:rPr>
                <w:rFonts w:ascii="Arial Narrow" w:hAnsi="Arial Narrow" w:cs="Arial"/>
                <w:bCs/>
              </w:rPr>
              <w:t>study on key local government policy could not be achieved</w:t>
            </w:r>
            <w:r w:rsidR="003C5AF1" w:rsidRPr="003C5AF1">
              <w:rPr>
                <w:rFonts w:ascii="Arial Narrow" w:hAnsi="Arial Narrow" w:cs="Arial"/>
                <w:bCs/>
              </w:rPr>
              <w:t xml:space="preserve">.  </w:t>
            </w:r>
          </w:p>
        </w:tc>
      </w:tr>
      <w:tr w:rsidR="009B42A0" w:rsidRPr="001619AC" w14:paraId="2E26E02D" w14:textId="77777777" w:rsidTr="00035362">
        <w:tc>
          <w:tcPr>
            <w:tcW w:w="5000" w:type="pct"/>
            <w:shd w:val="clear" w:color="auto" w:fill="F2DBDB" w:themeFill="accent2" w:themeFillTint="33"/>
          </w:tcPr>
          <w:p w14:paraId="7D53ADB0" w14:textId="77777777" w:rsidR="004830BF" w:rsidRPr="00DA50D9" w:rsidRDefault="004830BF" w:rsidP="000F7DFB">
            <w:pPr>
              <w:rPr>
                <w:rFonts w:ascii="Arial Narrow" w:hAnsi="Arial Narrow"/>
                <w:b/>
                <w:i/>
                <w:iCs/>
              </w:rPr>
            </w:pPr>
            <w:r w:rsidRPr="00DA50D9">
              <w:rPr>
                <w:rFonts w:ascii="Arial Narrow" w:hAnsi="Arial Narrow"/>
                <w:b/>
                <w:i/>
                <w:iCs/>
              </w:rPr>
              <w:t>Summary of Committee Recommendations</w:t>
            </w:r>
          </w:p>
          <w:p w14:paraId="6E5AD83F" w14:textId="4FA80EFC" w:rsidR="009B42A0" w:rsidRPr="001619AC" w:rsidRDefault="009B42A0" w:rsidP="000F7DFB">
            <w:pPr>
              <w:rPr>
                <w:rFonts w:ascii="Arial Narrow" w:hAnsi="Arial Narrow"/>
                <w:bCs/>
                <w:i/>
                <w:iCs/>
              </w:rPr>
            </w:pPr>
            <w:r w:rsidRPr="00DA50D9">
              <w:rPr>
                <w:rFonts w:ascii="Arial Narrow" w:hAnsi="Arial Narrow"/>
                <w:bCs/>
                <w:i/>
                <w:iCs/>
              </w:rPr>
              <w:t>High level summary of Committee Recommendations.</w:t>
            </w:r>
            <w:r w:rsidRPr="001619AC">
              <w:rPr>
                <w:rFonts w:ascii="Arial Narrow" w:hAnsi="Arial Narrow"/>
                <w:bCs/>
                <w:i/>
                <w:iCs/>
              </w:rPr>
              <w:t xml:space="preserve"> Broadly, which aspects do they relate to</w:t>
            </w:r>
          </w:p>
        </w:tc>
      </w:tr>
      <w:tr w:rsidR="009B42A0" w:rsidRPr="001619AC" w14:paraId="377CBE91" w14:textId="77777777" w:rsidTr="00035362">
        <w:tc>
          <w:tcPr>
            <w:tcW w:w="5000" w:type="pct"/>
          </w:tcPr>
          <w:p w14:paraId="3B1931CE" w14:textId="427767E0" w:rsidR="00111A57" w:rsidRPr="001619AC" w:rsidRDefault="00111A57" w:rsidP="00F81DCB">
            <w:pPr>
              <w:shd w:val="clear" w:color="auto" w:fill="FFFFFF" w:themeFill="background1"/>
              <w:spacing w:line="276" w:lineRule="auto"/>
              <w:rPr>
                <w:rFonts w:ascii="Arial Narrow" w:hAnsi="Arial Narrow" w:cs="Arial"/>
                <w:lang w:val="en-US"/>
              </w:rPr>
            </w:pPr>
            <w:r w:rsidRPr="001619AC">
              <w:rPr>
                <w:rFonts w:ascii="Arial Narrow" w:hAnsi="Arial Narrow" w:cs="Arial"/>
                <w:lang w:val="en-US"/>
              </w:rPr>
              <w:t>The Committee recommends that</w:t>
            </w:r>
            <w:r w:rsidR="00DA50D9">
              <w:rPr>
                <w:rFonts w:ascii="Arial Narrow" w:hAnsi="Arial Narrow" w:cs="Arial"/>
                <w:lang w:val="en-US"/>
              </w:rPr>
              <w:t>:</w:t>
            </w:r>
          </w:p>
          <w:p w14:paraId="4FF245BB" w14:textId="77777777" w:rsidR="00DA50D9" w:rsidRPr="00DA50D9" w:rsidRDefault="00DA50D9" w:rsidP="00DA50D9">
            <w:pPr>
              <w:pStyle w:val="ListParagraph"/>
              <w:numPr>
                <w:ilvl w:val="1"/>
                <w:numId w:val="19"/>
              </w:numPr>
              <w:shd w:val="clear" w:color="auto" w:fill="FFFFFF" w:themeFill="background1"/>
              <w:rPr>
                <w:rFonts w:ascii="Arial Narrow" w:hAnsi="Arial Narrow" w:cs="Arial"/>
              </w:rPr>
            </w:pPr>
            <w:r w:rsidRPr="00DA50D9">
              <w:rPr>
                <w:rFonts w:ascii="Arial Narrow" w:hAnsi="Arial Narrow" w:cs="Arial"/>
              </w:rPr>
              <w:t xml:space="preserve">The Portfolio Committee views the expenditure of R111 999 000. 00 (88%) against the allocation of R127 823 000. 00 during the 4th  quarter of 2021/22 FY with contempt and once more encourages the Department to spend prudently. The Portfolio Committee views the expenditure of R111 999 000. 00 (88%) against the allocation of R127 823 000. 00 during the 4th  quarter of 2021/22 FY with contempt and once more encourages the Department to spend prudently. </w:t>
            </w:r>
          </w:p>
          <w:p w14:paraId="1C6A06BB" w14:textId="099ADCCD" w:rsidR="00DA50D9" w:rsidRPr="00DA50D9" w:rsidRDefault="00DA50D9" w:rsidP="00DA50D9">
            <w:pPr>
              <w:pStyle w:val="ListParagraph"/>
              <w:numPr>
                <w:ilvl w:val="1"/>
                <w:numId w:val="19"/>
              </w:numPr>
              <w:shd w:val="clear" w:color="auto" w:fill="FFFFFF" w:themeFill="background1"/>
              <w:rPr>
                <w:rFonts w:ascii="Arial Narrow" w:hAnsi="Arial Narrow" w:cs="Arial"/>
              </w:rPr>
            </w:pPr>
            <w:r w:rsidRPr="00DA50D9">
              <w:rPr>
                <w:rFonts w:ascii="Arial Narrow" w:hAnsi="Arial Narrow" w:cs="Arial"/>
              </w:rPr>
              <w:t>The Department should ensure that the budget is properly aligned to the performance targets. The Departments spending during the quarter under review was at 88% whereas the performance targets was 76%.</w:t>
            </w:r>
          </w:p>
          <w:p w14:paraId="4DAA35BE" w14:textId="15156823" w:rsidR="00355766" w:rsidRDefault="00DA50D9" w:rsidP="00DA50D9">
            <w:pPr>
              <w:pStyle w:val="ListParagraph"/>
              <w:numPr>
                <w:ilvl w:val="1"/>
                <w:numId w:val="19"/>
              </w:numPr>
              <w:shd w:val="clear" w:color="auto" w:fill="FFFFFF" w:themeFill="background1"/>
              <w:rPr>
                <w:rFonts w:ascii="Arial Narrow" w:hAnsi="Arial Narrow" w:cs="Arial"/>
              </w:rPr>
            </w:pPr>
            <w:r w:rsidRPr="00DA50D9">
              <w:rPr>
                <w:rFonts w:ascii="Arial Narrow" w:hAnsi="Arial Narrow" w:cs="Arial"/>
              </w:rPr>
              <w:t>Furthermore, the Portfolio Committee has observed that once more underspending has become a trend in the Department, as this was the case in the 4th Quarter of 2020/21 FY. The Portfolio Committee once more urges the Department to put proper systems in place to spend cautiously.</w:t>
            </w:r>
          </w:p>
          <w:p w14:paraId="7148BB03" w14:textId="2BFE2ACB" w:rsidR="00DA50D9" w:rsidRDefault="00DA50D9" w:rsidP="00DA50D9">
            <w:pPr>
              <w:pStyle w:val="ListParagraph"/>
              <w:numPr>
                <w:ilvl w:val="1"/>
                <w:numId w:val="19"/>
              </w:numPr>
              <w:shd w:val="clear" w:color="auto" w:fill="FFFFFF" w:themeFill="background1"/>
              <w:rPr>
                <w:rFonts w:ascii="Arial Narrow" w:hAnsi="Arial Narrow" w:cs="Arial"/>
              </w:rPr>
            </w:pPr>
            <w:r w:rsidRPr="00DA50D9">
              <w:rPr>
                <w:rFonts w:ascii="Arial Narrow" w:hAnsi="Arial Narrow" w:cs="Arial"/>
              </w:rPr>
              <w:t>The Department should budget adequately for all the targets and not disadvantage learners with disabilities by not  awarding them with bursaries as committed.</w:t>
            </w:r>
            <w:r>
              <w:rPr>
                <w:rFonts w:ascii="Arial Narrow" w:hAnsi="Arial Narrow" w:cs="Arial"/>
              </w:rPr>
              <w:t xml:space="preserve"> </w:t>
            </w:r>
            <w:r w:rsidRPr="00DA50D9">
              <w:rPr>
                <w:rFonts w:ascii="Arial Narrow" w:hAnsi="Arial Narrow" w:cs="Arial"/>
              </w:rPr>
              <w:t>Since the Department recorded an underspending of R15 824 000.00 in the quarter under review, the amount should have been redirected to fund the bursaries for the learners with disabilities.</w:t>
            </w:r>
          </w:p>
          <w:p w14:paraId="50BC6E1C" w14:textId="19881346" w:rsidR="00DA50D9" w:rsidRPr="00F03565" w:rsidRDefault="00DA50D9" w:rsidP="00DA50D9">
            <w:pPr>
              <w:pStyle w:val="ListParagraph"/>
              <w:numPr>
                <w:ilvl w:val="1"/>
                <w:numId w:val="19"/>
              </w:numPr>
              <w:shd w:val="clear" w:color="auto" w:fill="FFFFFF" w:themeFill="background1"/>
              <w:rPr>
                <w:rFonts w:ascii="Arial Narrow" w:hAnsi="Arial Narrow" w:cs="Arial"/>
              </w:rPr>
            </w:pPr>
            <w:r w:rsidRPr="00DA50D9">
              <w:rPr>
                <w:rFonts w:ascii="Arial Narrow" w:hAnsi="Arial Narrow" w:cs="Arial"/>
              </w:rPr>
              <w:lastRenderedPageBreak/>
              <w:t xml:space="preserve">The Department should consider undertaking one study per financial year on key local government policy, as there is a significant need of exploring local government dynamics and its complexity.  </w:t>
            </w:r>
          </w:p>
          <w:p w14:paraId="4C8578EB" w14:textId="619D2AC9" w:rsidR="009B42A0" w:rsidRPr="001619AC" w:rsidRDefault="009B42A0" w:rsidP="00DA50D9">
            <w:pPr>
              <w:shd w:val="clear" w:color="auto" w:fill="FFFFFF" w:themeFill="background1"/>
              <w:rPr>
                <w:rFonts w:ascii="Arial Narrow" w:hAnsi="Arial Narrow"/>
              </w:rPr>
            </w:pPr>
          </w:p>
        </w:tc>
      </w:tr>
    </w:tbl>
    <w:p w14:paraId="4C47F6AA" w14:textId="77777777" w:rsidR="005E44FA" w:rsidRPr="001619AC" w:rsidRDefault="009A46D6"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3" w:name="_Toc50576909"/>
      <w:r w:rsidRPr="001619AC">
        <w:rPr>
          <w:rFonts w:ascii="Arial Narrow" w:hAnsi="Arial Narrow"/>
          <w:color w:val="auto"/>
          <w:sz w:val="22"/>
          <w:szCs w:val="22"/>
        </w:rPr>
        <w:t>INTRODUCTION</w:t>
      </w:r>
      <w:bookmarkEnd w:id="3"/>
    </w:p>
    <w:p w14:paraId="7FCEB0EB" w14:textId="4BE2D7B0" w:rsidR="0026550E" w:rsidRDefault="0026550E" w:rsidP="00CC1419">
      <w:pPr>
        <w:spacing w:line="240" w:lineRule="auto"/>
        <w:rPr>
          <w:rFonts w:ascii="Arial Narrow" w:hAnsi="Arial Narrow"/>
        </w:rPr>
      </w:pPr>
    </w:p>
    <w:p w14:paraId="567EF8D5" w14:textId="77777777" w:rsidR="00884288" w:rsidRPr="00884288" w:rsidRDefault="00884288" w:rsidP="00884288">
      <w:pPr>
        <w:spacing w:line="240" w:lineRule="auto"/>
        <w:rPr>
          <w:rFonts w:ascii="Arial Narrow" w:hAnsi="Arial Narrow"/>
          <w:lang w:val="en-US"/>
        </w:rPr>
      </w:pPr>
      <w:r w:rsidRPr="00884288">
        <w:rPr>
          <w:rFonts w:ascii="Arial Narrow" w:hAnsi="Arial Narrow"/>
          <w:lang w:val="en-US"/>
        </w:rPr>
        <w:t xml:space="preserve">The Gauteng Department of Cooperative Governance and Traditional Affairs (COGTA) is mandated to support local government by ensuring good governance, financial accountability, capacity building and institutional stability. This sphere of government is governed by the Constitution of the Republic of South Africa, Act No. 108 of 1996 and legislation meaning therefrom. </w:t>
      </w:r>
      <w:r w:rsidRPr="00884288">
        <w:rPr>
          <w:rFonts w:ascii="Arial Narrow" w:hAnsi="Arial Narrow"/>
          <w:vertAlign w:val="superscript"/>
          <w:lang w:val="en-US"/>
        </w:rPr>
        <w:footnoteReference w:id="1"/>
      </w:r>
      <w:r w:rsidRPr="00884288">
        <w:rPr>
          <w:rFonts w:ascii="Arial Narrow" w:hAnsi="Arial Narrow"/>
          <w:lang w:val="en-US"/>
        </w:rPr>
        <w:t>In sum,</w:t>
      </w:r>
      <w:r w:rsidRPr="00884288">
        <w:rPr>
          <w:rFonts w:ascii="Arial Narrow" w:hAnsi="Arial Narrow"/>
          <w:b/>
          <w:bCs/>
          <w:lang w:val="en-US"/>
        </w:rPr>
        <w:t xml:space="preserve"> the fourth</w:t>
      </w:r>
      <w:r w:rsidRPr="00884288">
        <w:rPr>
          <w:rFonts w:ascii="Arial Narrow" w:hAnsi="Arial Narrow"/>
          <w:lang w:val="en-US"/>
        </w:rPr>
        <w:t xml:space="preserve"> </w:t>
      </w:r>
      <w:r w:rsidRPr="00884288">
        <w:rPr>
          <w:rFonts w:ascii="Arial Narrow" w:hAnsi="Arial Narrow"/>
          <w:b/>
          <w:bCs/>
          <w:lang w:val="en-US"/>
        </w:rPr>
        <w:t xml:space="preserve">quarterly performance report analysis of 2021/22 FY </w:t>
      </w:r>
      <w:r w:rsidRPr="00884288">
        <w:rPr>
          <w:rFonts w:ascii="Arial Narrow" w:hAnsi="Arial Narrow"/>
          <w:lang w:val="en-US"/>
        </w:rPr>
        <w:t xml:space="preserve">forms part of implementing one of the aspects of the Portfolio Committee Mandate of Oversight and Scrutiny wherein it examines “micro-progress” by the Gauteng Department of COGTA. This analysis would focus on the five (5) Programmes, namely; programme one: administration; programme two: local governance; programme three: urban planning; programme four: development and planning as well as programme five: traditional institutional development.    </w:t>
      </w:r>
    </w:p>
    <w:p w14:paraId="75EFDC40" w14:textId="77777777" w:rsidR="009D206E" w:rsidRPr="009D206E" w:rsidRDefault="009D206E" w:rsidP="009D206E">
      <w:pPr>
        <w:spacing w:line="240" w:lineRule="auto"/>
        <w:rPr>
          <w:rFonts w:ascii="Arial Narrow" w:hAnsi="Arial Narrow"/>
        </w:rPr>
      </w:pPr>
    </w:p>
    <w:p w14:paraId="0DE18182" w14:textId="77777777" w:rsidR="009D206E" w:rsidRPr="009D206E" w:rsidRDefault="009D206E" w:rsidP="009D206E">
      <w:pPr>
        <w:spacing w:line="240" w:lineRule="auto"/>
        <w:rPr>
          <w:rFonts w:ascii="Arial Narrow" w:hAnsi="Arial Narrow"/>
        </w:rPr>
      </w:pPr>
      <w:r w:rsidRPr="009D206E">
        <w:rPr>
          <w:rFonts w:ascii="Arial Narrow" w:hAnsi="Arial Narrow"/>
        </w:rPr>
        <w:t>This section highlights some of the observations made by the Portfolio Committee on the 4</w:t>
      </w:r>
      <w:r w:rsidRPr="009D206E">
        <w:rPr>
          <w:rFonts w:ascii="Arial Narrow" w:hAnsi="Arial Narrow"/>
          <w:vertAlign w:val="superscript"/>
        </w:rPr>
        <w:t>th</w:t>
      </w:r>
      <w:r w:rsidRPr="009D206E">
        <w:rPr>
          <w:rFonts w:ascii="Arial Narrow" w:hAnsi="Arial Narrow"/>
        </w:rPr>
        <w:t xml:space="preserve"> quarterly performance report of COGTA for 2020/21 FY:</w:t>
      </w:r>
    </w:p>
    <w:p w14:paraId="1F320E41" w14:textId="77777777" w:rsidR="009D206E" w:rsidRPr="009D206E" w:rsidRDefault="009D206E" w:rsidP="009D206E">
      <w:pPr>
        <w:spacing w:line="240" w:lineRule="auto"/>
        <w:rPr>
          <w:rFonts w:ascii="Arial Narrow" w:hAnsi="Arial Narrow"/>
        </w:rPr>
      </w:pPr>
      <w:r w:rsidRPr="009D206E">
        <w:rPr>
          <w:rFonts w:ascii="Arial Narrow" w:hAnsi="Arial Narrow"/>
        </w:rPr>
        <w:t xml:space="preserve"> </w:t>
      </w:r>
    </w:p>
    <w:p w14:paraId="5E5985AA" w14:textId="77777777" w:rsidR="009D206E" w:rsidRPr="00A542A9" w:rsidRDefault="009D206E" w:rsidP="00A542A9">
      <w:pPr>
        <w:pStyle w:val="ListParagraph"/>
        <w:numPr>
          <w:ilvl w:val="0"/>
          <w:numId w:val="24"/>
        </w:numPr>
        <w:spacing w:line="240" w:lineRule="auto"/>
        <w:rPr>
          <w:rFonts w:ascii="Arial Narrow" w:hAnsi="Arial Narrow"/>
        </w:rPr>
      </w:pPr>
      <w:r w:rsidRPr="00A542A9">
        <w:rPr>
          <w:rFonts w:ascii="Arial Narrow" w:hAnsi="Arial Narrow"/>
          <w:b/>
          <w:bCs/>
        </w:rPr>
        <w:t>On compliance with applicable legislation &amp; policies:</w:t>
      </w:r>
    </w:p>
    <w:p w14:paraId="10CABD03" w14:textId="1C0424C9" w:rsidR="009D206E" w:rsidRDefault="008034A1" w:rsidP="00A542A9">
      <w:pPr>
        <w:spacing w:line="240" w:lineRule="auto"/>
        <w:ind w:left="720"/>
        <w:rPr>
          <w:rFonts w:ascii="Arial Narrow" w:hAnsi="Arial Narrow"/>
          <w:bCs/>
        </w:rPr>
      </w:pPr>
      <w:r w:rsidRPr="008034A1">
        <w:rPr>
          <w:rFonts w:ascii="Arial Narrow" w:hAnsi="Arial Narrow"/>
          <w:bCs/>
        </w:rPr>
        <w:t>The Public Finance Management Act (PFMA) stipulates that the quarterlies should be submitted 30 days after the end of the quarter. The report is dated 28th April 2022 and was referred to the Gauteng Provincial Legislature (GPL) on the 3rd of May 2022. This implies that the Department has complied with the statutory requirement.</w:t>
      </w:r>
    </w:p>
    <w:p w14:paraId="66040656" w14:textId="77777777" w:rsidR="00A542A9" w:rsidRPr="009D206E" w:rsidRDefault="00A542A9" w:rsidP="009D206E">
      <w:pPr>
        <w:spacing w:line="240" w:lineRule="auto"/>
        <w:rPr>
          <w:rFonts w:ascii="Arial Narrow" w:hAnsi="Arial Narrow"/>
          <w:b/>
        </w:rPr>
      </w:pPr>
    </w:p>
    <w:p w14:paraId="4CC1E332" w14:textId="77777777" w:rsidR="009D206E" w:rsidRPr="009D206E" w:rsidRDefault="009D206E" w:rsidP="00C93E82">
      <w:pPr>
        <w:numPr>
          <w:ilvl w:val="0"/>
          <w:numId w:val="17"/>
        </w:numPr>
        <w:spacing w:line="240" w:lineRule="auto"/>
        <w:rPr>
          <w:rFonts w:ascii="Arial Narrow" w:hAnsi="Arial Narrow"/>
        </w:rPr>
      </w:pPr>
      <w:r w:rsidRPr="009D206E">
        <w:rPr>
          <w:rFonts w:ascii="Arial Narrow" w:hAnsi="Arial Narrow"/>
          <w:b/>
        </w:rPr>
        <w:t xml:space="preserve">On the application of the SOM TOOLKIT: </w:t>
      </w:r>
    </w:p>
    <w:p w14:paraId="3E7DF213" w14:textId="2899DB8E" w:rsidR="009D206E" w:rsidRPr="00A542A9" w:rsidRDefault="00931512" w:rsidP="00A542A9">
      <w:pPr>
        <w:spacing w:line="240" w:lineRule="auto"/>
        <w:ind w:left="720"/>
        <w:rPr>
          <w:rFonts w:ascii="Arial Narrow" w:hAnsi="Arial Narrow"/>
        </w:rPr>
      </w:pPr>
      <w:r w:rsidRPr="00A542A9">
        <w:rPr>
          <w:rFonts w:ascii="Arial Narrow" w:hAnsi="Arial Narrow"/>
        </w:rPr>
        <w:t xml:space="preserve">The budget variance study tool revealed that the </w:t>
      </w:r>
      <w:r w:rsidRPr="00A542A9">
        <w:rPr>
          <w:rFonts w:ascii="Arial Narrow" w:hAnsi="Arial Narrow"/>
          <w:b/>
          <w:bCs/>
        </w:rPr>
        <w:t>Department spent R111 999 000. 00 (88%)</w:t>
      </w:r>
      <w:r w:rsidRPr="00A542A9">
        <w:rPr>
          <w:rFonts w:ascii="Arial Narrow" w:hAnsi="Arial Narrow"/>
        </w:rPr>
        <w:t xml:space="preserve"> by the end of the fourth quarter of 2021/22 FY and this falls outside the permissible 5% variance by both the PFMA and the Treasury regulations. However, the total budget and expenditure for the 2021/22 FY has painted a different picture, which has portrayed an annual spending of 97% to date. This is indicative of a misalignment between the budget and the key performance indicators.   </w:t>
      </w:r>
    </w:p>
    <w:p w14:paraId="3188A363" w14:textId="77777777" w:rsidR="00931512" w:rsidRPr="009D206E" w:rsidRDefault="00931512" w:rsidP="009D206E">
      <w:pPr>
        <w:spacing w:line="240" w:lineRule="auto"/>
        <w:rPr>
          <w:rFonts w:ascii="Arial Narrow" w:hAnsi="Arial Narrow"/>
        </w:rPr>
      </w:pPr>
    </w:p>
    <w:p w14:paraId="00BCA690" w14:textId="5EDBCBAF" w:rsidR="009D206E" w:rsidRDefault="009D206E" w:rsidP="009D206E">
      <w:pPr>
        <w:spacing w:line="240" w:lineRule="auto"/>
        <w:rPr>
          <w:rFonts w:ascii="Arial Narrow" w:hAnsi="Arial Narrow"/>
          <w:bCs/>
        </w:rPr>
      </w:pPr>
      <w:r w:rsidRPr="009D206E">
        <w:rPr>
          <w:rFonts w:ascii="Arial Narrow" w:hAnsi="Arial Narrow"/>
          <w:bCs/>
        </w:rPr>
        <w:t>The Gauteng Department of Cooperative Governance and Traditional Affairs (COGTA) is mandated to support local government by ensuring good governance, financial accountability, capacity building and institutional stability. This sphere of government is governed by the Constitution of the Republic of South Africa, Act No. 108 of 1996 and legislation meaning therefrom.  The Oversight report  on the 4</w:t>
      </w:r>
      <w:r w:rsidR="00DC29FB" w:rsidRPr="00DC29FB">
        <w:rPr>
          <w:rFonts w:ascii="Arial Narrow" w:hAnsi="Arial Narrow"/>
          <w:bCs/>
          <w:vertAlign w:val="superscript"/>
        </w:rPr>
        <w:t>th</w:t>
      </w:r>
      <w:r w:rsidR="00DC29FB">
        <w:rPr>
          <w:rFonts w:ascii="Arial Narrow" w:hAnsi="Arial Narrow"/>
          <w:bCs/>
        </w:rPr>
        <w:t xml:space="preserve"> </w:t>
      </w:r>
      <w:r w:rsidRPr="009D206E">
        <w:rPr>
          <w:rFonts w:ascii="Arial Narrow" w:hAnsi="Arial Narrow"/>
          <w:bCs/>
        </w:rPr>
        <w:t xml:space="preserve"> Quarter Performance Report forms part of implementing one of the aspects of the Portfolio Committee Mandate of Oversight and Scrutiny wherein it examines “micro-progress” by the Gauteng Department of COGTA. This report would focus on the four (4) Programmes, namely: </w:t>
      </w:r>
    </w:p>
    <w:p w14:paraId="7CA62067" w14:textId="77777777" w:rsidR="00DC29FB" w:rsidRPr="009D206E" w:rsidRDefault="00DC29FB" w:rsidP="009D206E">
      <w:pPr>
        <w:spacing w:line="240" w:lineRule="auto"/>
        <w:rPr>
          <w:rFonts w:ascii="Arial Narrow" w:hAnsi="Arial Narrow"/>
          <w:bCs/>
        </w:rPr>
      </w:pPr>
    </w:p>
    <w:p w14:paraId="604E85C0" w14:textId="77777777" w:rsidR="009D206E" w:rsidRPr="009D206E" w:rsidRDefault="009D206E" w:rsidP="009D206E">
      <w:pPr>
        <w:numPr>
          <w:ilvl w:val="1"/>
          <w:numId w:val="3"/>
        </w:numPr>
        <w:spacing w:line="240" w:lineRule="auto"/>
        <w:rPr>
          <w:rFonts w:ascii="Arial Narrow" w:hAnsi="Arial Narrow"/>
          <w:bCs/>
          <w:lang w:val="en-US"/>
        </w:rPr>
      </w:pPr>
      <w:r w:rsidRPr="009D206E">
        <w:rPr>
          <w:rFonts w:ascii="Arial Narrow" w:hAnsi="Arial Narrow"/>
          <w:bCs/>
          <w:lang w:val="en-US"/>
        </w:rPr>
        <w:lastRenderedPageBreak/>
        <w:t xml:space="preserve">Programme 1: Administration- that focuses on efficient and effective departmental governance support services, </w:t>
      </w:r>
    </w:p>
    <w:p w14:paraId="3F6E13BB" w14:textId="77777777" w:rsidR="009D206E" w:rsidRPr="009D206E" w:rsidRDefault="009D206E" w:rsidP="009D206E">
      <w:pPr>
        <w:numPr>
          <w:ilvl w:val="1"/>
          <w:numId w:val="3"/>
        </w:numPr>
        <w:spacing w:line="240" w:lineRule="auto"/>
        <w:rPr>
          <w:rFonts w:ascii="Arial Narrow" w:hAnsi="Arial Narrow"/>
          <w:bCs/>
          <w:lang w:val="en-US"/>
        </w:rPr>
      </w:pPr>
      <w:r w:rsidRPr="009D206E">
        <w:rPr>
          <w:rFonts w:ascii="Arial Narrow" w:hAnsi="Arial Narrow"/>
          <w:bCs/>
          <w:lang w:val="en-US"/>
        </w:rPr>
        <w:t xml:space="preserve">Programme 2: Local Governance-, which amongst others, is tasked to ensure participatory democracy, quality of management, financial governance and accountability within municipalities, </w:t>
      </w:r>
    </w:p>
    <w:p w14:paraId="7CF7D156" w14:textId="77777777" w:rsidR="009D206E" w:rsidRPr="009D206E" w:rsidRDefault="009D206E" w:rsidP="009D206E">
      <w:pPr>
        <w:numPr>
          <w:ilvl w:val="1"/>
          <w:numId w:val="3"/>
        </w:numPr>
        <w:spacing w:line="240" w:lineRule="auto"/>
        <w:rPr>
          <w:rFonts w:ascii="Arial Narrow" w:hAnsi="Arial Narrow"/>
          <w:bCs/>
          <w:lang w:val="en-US"/>
        </w:rPr>
      </w:pPr>
      <w:r w:rsidRPr="009D206E">
        <w:rPr>
          <w:rFonts w:ascii="Arial Narrow" w:hAnsi="Arial Narrow"/>
          <w:bCs/>
          <w:lang w:val="en-US"/>
        </w:rPr>
        <w:t xml:space="preserve">Programme 3: Development and Planning- based on supporting Human Settlement Mega Projects, infrastructure projects and the Integrated Development Plan (IDP) by 2020, and </w:t>
      </w:r>
    </w:p>
    <w:p w14:paraId="587962A3" w14:textId="1DF31508" w:rsidR="009D206E" w:rsidRPr="009D206E" w:rsidRDefault="009D206E" w:rsidP="00CC1419">
      <w:pPr>
        <w:numPr>
          <w:ilvl w:val="1"/>
          <w:numId w:val="3"/>
        </w:numPr>
        <w:spacing w:line="240" w:lineRule="auto"/>
        <w:rPr>
          <w:rFonts w:ascii="Arial Narrow" w:hAnsi="Arial Narrow"/>
          <w:bCs/>
          <w:lang w:val="en-US"/>
        </w:rPr>
      </w:pPr>
      <w:r w:rsidRPr="009D206E">
        <w:rPr>
          <w:rFonts w:ascii="Arial Narrow" w:hAnsi="Arial Narrow"/>
          <w:bCs/>
          <w:lang w:val="en-US"/>
        </w:rPr>
        <w:t xml:space="preserve">Programme 4: Traditional Institutional Development- that is assigned to enhance the quality of management and administrative practices in support of Traditional Leadership. </w:t>
      </w:r>
    </w:p>
    <w:p w14:paraId="2BC6B32E" w14:textId="7E48F4CD" w:rsidR="004B7663" w:rsidRPr="001619AC" w:rsidRDefault="004B7663"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4" w:name="_Toc50576910"/>
      <w:r w:rsidRPr="001619AC">
        <w:rPr>
          <w:rFonts w:ascii="Arial Narrow" w:hAnsi="Arial Narrow"/>
          <w:color w:val="auto"/>
          <w:sz w:val="22"/>
          <w:szCs w:val="22"/>
        </w:rPr>
        <w:t>PROCESS FOLLOWED</w:t>
      </w:r>
      <w:bookmarkEnd w:id="4"/>
    </w:p>
    <w:p w14:paraId="21D725C7" w14:textId="77777777" w:rsidR="006F261B" w:rsidRDefault="006F261B" w:rsidP="006F261B">
      <w:pPr>
        <w:jc w:val="left"/>
        <w:rPr>
          <w:rFonts w:ascii="Arial Narrow" w:hAnsi="Arial Narrow" w:cs="Arial Narrow"/>
          <w:bCs/>
        </w:rPr>
      </w:pPr>
    </w:p>
    <w:p w14:paraId="71201414" w14:textId="27FAE93A" w:rsidR="006F261B" w:rsidRPr="00D74068" w:rsidRDefault="006F261B" w:rsidP="006F261B">
      <w:pPr>
        <w:jc w:val="left"/>
        <w:rPr>
          <w:rFonts w:ascii="Arial Narrow" w:hAnsi="Arial Narrow" w:cs="Arial Narrow"/>
          <w:bCs/>
        </w:rPr>
      </w:pPr>
      <w:r>
        <w:rPr>
          <w:rFonts w:ascii="Arial Narrow" w:hAnsi="Arial Narrow" w:cs="Arial Narrow"/>
          <w:bCs/>
        </w:rPr>
        <w:t>The following is the process followed by the Portfolio Committee in considering the 4</w:t>
      </w:r>
      <w:r w:rsidRPr="00AC413E">
        <w:rPr>
          <w:rFonts w:ascii="Arial Narrow" w:hAnsi="Arial Narrow" w:cs="Arial Narrow"/>
          <w:bCs/>
          <w:vertAlign w:val="superscript"/>
        </w:rPr>
        <w:t>th</w:t>
      </w:r>
      <w:r>
        <w:rPr>
          <w:rFonts w:ascii="Arial Narrow" w:hAnsi="Arial Narrow" w:cs="Arial Narrow"/>
          <w:bCs/>
        </w:rPr>
        <w:t xml:space="preserve"> Quarterly performance report on the Department of CoGTA:</w:t>
      </w:r>
    </w:p>
    <w:p w14:paraId="76AF4616" w14:textId="4C20BFF8" w:rsidR="006F261B" w:rsidRPr="00AC413E" w:rsidRDefault="006F261B" w:rsidP="00C93E82">
      <w:pPr>
        <w:numPr>
          <w:ilvl w:val="0"/>
          <w:numId w:val="15"/>
        </w:numPr>
        <w:spacing w:after="200" w:line="276" w:lineRule="auto"/>
        <w:rPr>
          <w:rFonts w:ascii="Arial Narrow" w:hAnsi="Arial Narrow" w:cs="Arial Narrow"/>
          <w:b/>
          <w:bCs/>
        </w:rPr>
      </w:pPr>
      <w:r w:rsidRPr="00AC413E">
        <w:rPr>
          <w:rFonts w:ascii="Arial Narrow" w:hAnsi="Arial Narrow" w:cs="Arial Narrow"/>
          <w:bCs/>
        </w:rPr>
        <w:t xml:space="preserve">On the </w:t>
      </w:r>
      <w:r w:rsidR="00DF4F35">
        <w:rPr>
          <w:rFonts w:ascii="Arial Narrow" w:hAnsi="Arial Narrow" w:cs="Arial Narrow"/>
          <w:bCs/>
        </w:rPr>
        <w:t>05</w:t>
      </w:r>
      <w:r w:rsidR="00DF4F35" w:rsidRPr="00DF4F35">
        <w:rPr>
          <w:rFonts w:ascii="Arial Narrow" w:hAnsi="Arial Narrow" w:cs="Arial Narrow"/>
          <w:bCs/>
          <w:vertAlign w:val="superscript"/>
        </w:rPr>
        <w:t>th</w:t>
      </w:r>
      <w:r w:rsidR="00DF4F35">
        <w:rPr>
          <w:rFonts w:ascii="Arial Narrow" w:hAnsi="Arial Narrow" w:cs="Arial Narrow"/>
          <w:bCs/>
        </w:rPr>
        <w:t xml:space="preserve"> </w:t>
      </w:r>
      <w:r w:rsidRPr="00AC413E">
        <w:rPr>
          <w:rFonts w:ascii="Arial Narrow" w:hAnsi="Arial Narrow" w:cs="Arial Narrow"/>
          <w:bCs/>
        </w:rPr>
        <w:t xml:space="preserve"> of </w:t>
      </w:r>
      <w:r w:rsidR="00DF4F35">
        <w:rPr>
          <w:rFonts w:ascii="Arial Narrow" w:hAnsi="Arial Narrow" w:cs="Arial Narrow"/>
          <w:bCs/>
        </w:rPr>
        <w:t>May</w:t>
      </w:r>
      <w:r w:rsidRPr="00AC413E">
        <w:rPr>
          <w:rFonts w:ascii="Arial Narrow" w:hAnsi="Arial Narrow" w:cs="Arial Narrow"/>
          <w:bCs/>
        </w:rPr>
        <w:t xml:space="preserve"> 202</w:t>
      </w:r>
      <w:r w:rsidR="00DF4F35">
        <w:rPr>
          <w:rFonts w:ascii="Arial Narrow" w:hAnsi="Arial Narrow" w:cs="Arial Narrow"/>
          <w:bCs/>
        </w:rPr>
        <w:t>2</w:t>
      </w:r>
      <w:r w:rsidRPr="00AC413E">
        <w:rPr>
          <w:rFonts w:ascii="Arial Narrow" w:hAnsi="Arial Narrow" w:cs="Arial Narrow"/>
          <w:bCs/>
        </w:rPr>
        <w:t xml:space="preserve">, the Office of the Speaker referred the </w:t>
      </w:r>
      <w:r w:rsidRPr="00E00061">
        <w:rPr>
          <w:rFonts w:ascii="Arial Narrow" w:hAnsi="Arial Narrow" w:cs="Arial Narrow"/>
          <w:bCs/>
        </w:rPr>
        <w:t>4</w:t>
      </w:r>
      <w:r w:rsidRPr="00E00061">
        <w:rPr>
          <w:rFonts w:ascii="Arial Narrow" w:hAnsi="Arial Narrow" w:cs="Arial Narrow"/>
          <w:bCs/>
          <w:vertAlign w:val="superscript"/>
        </w:rPr>
        <w:t>th</w:t>
      </w:r>
      <w:r>
        <w:rPr>
          <w:rFonts w:ascii="Arial Narrow" w:hAnsi="Arial Narrow" w:cs="Arial Narrow"/>
          <w:bCs/>
        </w:rPr>
        <w:t xml:space="preserve"> </w:t>
      </w:r>
      <w:r w:rsidRPr="00E00061">
        <w:rPr>
          <w:rFonts w:ascii="Arial Narrow" w:hAnsi="Arial Narrow" w:cs="Arial Narrow"/>
          <w:bCs/>
        </w:rPr>
        <w:t xml:space="preserve"> Quarterly performance report on the Department of CoGTA </w:t>
      </w:r>
      <w:r w:rsidRPr="00AC413E">
        <w:rPr>
          <w:rFonts w:ascii="Arial Narrow" w:hAnsi="Arial Narrow" w:cs="Arial Narrow"/>
          <w:bCs/>
        </w:rPr>
        <w:t>for the 202</w:t>
      </w:r>
      <w:r w:rsidR="00DF4F35">
        <w:rPr>
          <w:rFonts w:ascii="Arial Narrow" w:hAnsi="Arial Narrow" w:cs="Arial Narrow"/>
          <w:bCs/>
        </w:rPr>
        <w:t>1</w:t>
      </w:r>
      <w:r w:rsidRPr="00AC413E">
        <w:rPr>
          <w:rFonts w:ascii="Arial Narrow" w:hAnsi="Arial Narrow" w:cs="Arial Narrow"/>
          <w:bCs/>
        </w:rPr>
        <w:t>/202</w:t>
      </w:r>
      <w:r w:rsidR="006420FF">
        <w:rPr>
          <w:rFonts w:ascii="Arial Narrow" w:hAnsi="Arial Narrow" w:cs="Arial Narrow"/>
          <w:bCs/>
        </w:rPr>
        <w:t>2</w:t>
      </w:r>
      <w:r w:rsidRPr="00AC413E">
        <w:rPr>
          <w:rFonts w:ascii="Arial Narrow" w:hAnsi="Arial Narrow" w:cs="Arial Narrow"/>
          <w:bCs/>
        </w:rPr>
        <w:t xml:space="preserve"> financial year in terms of Rule 153 of the Standing Rules, to the Portfolio Committee of CoGTA and Human Settlements for consideration and reporting. </w:t>
      </w:r>
    </w:p>
    <w:p w14:paraId="3D20BFE4" w14:textId="525F0FD1" w:rsidR="006F261B" w:rsidRPr="00AC413E" w:rsidRDefault="006F261B" w:rsidP="00C93E82">
      <w:pPr>
        <w:numPr>
          <w:ilvl w:val="0"/>
          <w:numId w:val="15"/>
        </w:numPr>
        <w:spacing w:after="200" w:line="276" w:lineRule="auto"/>
        <w:rPr>
          <w:rFonts w:ascii="Arial Narrow" w:hAnsi="Arial Narrow" w:cs="Arial Narrow"/>
          <w:bCs/>
        </w:rPr>
      </w:pPr>
      <w:r w:rsidRPr="00AC413E">
        <w:rPr>
          <w:rFonts w:ascii="Arial Narrow" w:hAnsi="Arial Narrow" w:cs="Arial Narrow"/>
          <w:bCs/>
        </w:rPr>
        <w:t xml:space="preserve">On the </w:t>
      </w:r>
      <w:r w:rsidR="006420FF">
        <w:rPr>
          <w:rFonts w:ascii="Arial Narrow" w:hAnsi="Arial Narrow" w:cs="Arial Narrow"/>
          <w:bCs/>
        </w:rPr>
        <w:t>03</w:t>
      </w:r>
      <w:r w:rsidR="006420FF" w:rsidRPr="006420FF">
        <w:rPr>
          <w:rFonts w:ascii="Arial Narrow" w:hAnsi="Arial Narrow" w:cs="Arial Narrow"/>
          <w:bCs/>
          <w:vertAlign w:val="superscript"/>
        </w:rPr>
        <w:t>rd</w:t>
      </w:r>
      <w:r w:rsidR="006420FF">
        <w:rPr>
          <w:rFonts w:ascii="Arial Narrow" w:hAnsi="Arial Narrow" w:cs="Arial Narrow"/>
          <w:bCs/>
        </w:rPr>
        <w:t xml:space="preserve"> </w:t>
      </w:r>
      <w:r w:rsidR="0039111B">
        <w:rPr>
          <w:rFonts w:ascii="Arial Narrow" w:hAnsi="Arial Narrow" w:cs="Arial Narrow"/>
          <w:bCs/>
        </w:rPr>
        <w:t>June</w:t>
      </w:r>
      <w:r w:rsidRPr="00AC413E">
        <w:rPr>
          <w:rFonts w:ascii="Arial Narrow" w:hAnsi="Arial Narrow" w:cs="Arial Narrow"/>
          <w:bCs/>
        </w:rPr>
        <w:t xml:space="preserve"> 202</w:t>
      </w:r>
      <w:r w:rsidR="0039111B">
        <w:rPr>
          <w:rFonts w:ascii="Arial Narrow" w:hAnsi="Arial Narrow" w:cs="Arial Narrow"/>
          <w:bCs/>
        </w:rPr>
        <w:t>2</w:t>
      </w:r>
      <w:r w:rsidRPr="00AC413E">
        <w:rPr>
          <w:rFonts w:ascii="Arial Narrow" w:hAnsi="Arial Narrow" w:cs="Arial Narrow"/>
          <w:bCs/>
        </w:rPr>
        <w:t xml:space="preserve">, the Committee Researcher presented an analysis on the Budget Vote 7 of the Department of GDCoGTA for 2021/22 financial year. Subsequently, the Committee sent written questions to the Department for response. </w:t>
      </w:r>
    </w:p>
    <w:p w14:paraId="2C6E5815" w14:textId="53F4EB7C" w:rsidR="006F261B" w:rsidRPr="00AC413E" w:rsidRDefault="006F261B" w:rsidP="00C93E82">
      <w:pPr>
        <w:numPr>
          <w:ilvl w:val="0"/>
          <w:numId w:val="15"/>
        </w:numPr>
        <w:spacing w:after="200" w:line="276" w:lineRule="auto"/>
        <w:rPr>
          <w:rFonts w:ascii="Arial Narrow" w:hAnsi="Arial Narrow" w:cs="Arial Narrow"/>
          <w:bCs/>
        </w:rPr>
      </w:pPr>
      <w:r w:rsidRPr="00AC413E">
        <w:rPr>
          <w:rFonts w:ascii="Arial Narrow" w:hAnsi="Arial Narrow" w:cs="Arial Narrow"/>
          <w:bCs/>
        </w:rPr>
        <w:t xml:space="preserve">On the </w:t>
      </w:r>
      <w:r>
        <w:rPr>
          <w:rFonts w:ascii="Arial Narrow" w:hAnsi="Arial Narrow" w:cs="Arial Narrow"/>
          <w:bCs/>
        </w:rPr>
        <w:t>04</w:t>
      </w:r>
      <w:r w:rsidRPr="00E00061">
        <w:rPr>
          <w:rFonts w:ascii="Arial Narrow" w:hAnsi="Arial Narrow" w:cs="Arial Narrow"/>
          <w:bCs/>
          <w:vertAlign w:val="superscript"/>
        </w:rPr>
        <w:t>th</w:t>
      </w:r>
      <w:r>
        <w:rPr>
          <w:rFonts w:ascii="Arial Narrow" w:hAnsi="Arial Narrow" w:cs="Arial Narrow"/>
          <w:bCs/>
        </w:rPr>
        <w:t xml:space="preserve"> June </w:t>
      </w:r>
      <w:r w:rsidRPr="00AC413E">
        <w:rPr>
          <w:rFonts w:ascii="Arial Narrow" w:hAnsi="Arial Narrow" w:cs="Arial Narrow"/>
          <w:bCs/>
        </w:rPr>
        <w:t xml:space="preserve"> 202</w:t>
      </w:r>
      <w:r w:rsidR="006D17AA">
        <w:rPr>
          <w:rFonts w:ascii="Arial Narrow" w:hAnsi="Arial Narrow" w:cs="Arial Narrow"/>
          <w:bCs/>
        </w:rPr>
        <w:t>2</w:t>
      </w:r>
      <w:r w:rsidRPr="00AC413E">
        <w:rPr>
          <w:rFonts w:ascii="Arial Narrow" w:hAnsi="Arial Narrow" w:cs="Arial Narrow"/>
          <w:bCs/>
        </w:rPr>
        <w:t xml:space="preserve">, the Department presented </w:t>
      </w:r>
      <w:r>
        <w:rPr>
          <w:rFonts w:ascii="Arial Narrow" w:hAnsi="Arial Narrow" w:cs="Arial Narrow"/>
          <w:bCs/>
        </w:rPr>
        <w:t xml:space="preserve">to </w:t>
      </w:r>
      <w:r w:rsidRPr="00AC413E">
        <w:rPr>
          <w:rFonts w:ascii="Arial Narrow" w:hAnsi="Arial Narrow" w:cs="Arial Narrow"/>
          <w:bCs/>
        </w:rPr>
        <w:t>the</w:t>
      </w:r>
      <w:r>
        <w:rPr>
          <w:rFonts w:ascii="Arial Narrow" w:hAnsi="Arial Narrow" w:cs="Arial Narrow"/>
          <w:bCs/>
        </w:rPr>
        <w:t xml:space="preserve"> Portfolio Committee the </w:t>
      </w:r>
      <w:bookmarkStart w:id="5" w:name="_Hlk74044277"/>
      <w:r w:rsidRPr="00E00061">
        <w:rPr>
          <w:rFonts w:ascii="Arial Narrow" w:hAnsi="Arial Narrow" w:cs="Arial Narrow"/>
          <w:bCs/>
        </w:rPr>
        <w:t>4th Quarterly performance report on the Department of CoGTA</w:t>
      </w:r>
      <w:r>
        <w:rPr>
          <w:rFonts w:ascii="Arial Narrow" w:hAnsi="Arial Narrow" w:cs="Arial Narrow"/>
          <w:bCs/>
        </w:rPr>
        <w:t xml:space="preserve"> for the 202</w:t>
      </w:r>
      <w:r w:rsidR="006D17AA">
        <w:rPr>
          <w:rFonts w:ascii="Arial Narrow" w:hAnsi="Arial Narrow" w:cs="Arial Narrow"/>
          <w:bCs/>
        </w:rPr>
        <w:t>1</w:t>
      </w:r>
      <w:r>
        <w:rPr>
          <w:rFonts w:ascii="Arial Narrow" w:hAnsi="Arial Narrow" w:cs="Arial Narrow"/>
          <w:bCs/>
        </w:rPr>
        <w:t>/2</w:t>
      </w:r>
      <w:r w:rsidR="006D17AA">
        <w:rPr>
          <w:rFonts w:ascii="Arial Narrow" w:hAnsi="Arial Narrow" w:cs="Arial Narrow"/>
          <w:bCs/>
        </w:rPr>
        <w:t>2</w:t>
      </w:r>
      <w:r>
        <w:rPr>
          <w:rFonts w:ascii="Arial Narrow" w:hAnsi="Arial Narrow" w:cs="Arial Narrow"/>
          <w:bCs/>
        </w:rPr>
        <w:t xml:space="preserve"> FY</w:t>
      </w:r>
      <w:r w:rsidRPr="00AC413E">
        <w:rPr>
          <w:rFonts w:ascii="Arial Narrow" w:hAnsi="Arial Narrow" w:cs="Arial Narrow"/>
          <w:bCs/>
        </w:rPr>
        <w:t>.</w:t>
      </w:r>
      <w:bookmarkEnd w:id="5"/>
    </w:p>
    <w:p w14:paraId="1CEC4D92" w14:textId="32307A9C" w:rsidR="00111A57" w:rsidRPr="006F261B" w:rsidRDefault="006F261B" w:rsidP="00C93E82">
      <w:pPr>
        <w:pStyle w:val="ListParagraph"/>
        <w:numPr>
          <w:ilvl w:val="0"/>
          <w:numId w:val="15"/>
        </w:numPr>
        <w:spacing w:line="240" w:lineRule="auto"/>
        <w:rPr>
          <w:rFonts w:ascii="Arial" w:hAnsi="Arial" w:cs="Arial"/>
          <w:bCs/>
        </w:rPr>
      </w:pPr>
      <w:r w:rsidRPr="006F261B">
        <w:rPr>
          <w:rFonts w:ascii="Arial Narrow" w:hAnsi="Arial Narrow" w:cs="Arial Narrow"/>
          <w:bCs/>
        </w:rPr>
        <w:t>On the 1</w:t>
      </w:r>
      <w:r w:rsidR="006D17AA">
        <w:rPr>
          <w:rFonts w:ascii="Arial Narrow" w:hAnsi="Arial Narrow" w:cs="Arial Narrow"/>
          <w:bCs/>
        </w:rPr>
        <w:t>4</w:t>
      </w:r>
      <w:r w:rsidR="00141B32" w:rsidRPr="006F261B">
        <w:rPr>
          <w:rFonts w:ascii="Arial Narrow" w:hAnsi="Arial Narrow" w:cs="Arial Narrow"/>
          <w:bCs/>
          <w:vertAlign w:val="superscript"/>
        </w:rPr>
        <w:t>th</w:t>
      </w:r>
      <w:r w:rsidR="00141B32" w:rsidRPr="006F261B">
        <w:rPr>
          <w:rFonts w:ascii="Arial Narrow" w:hAnsi="Arial Narrow" w:cs="Arial Narrow"/>
          <w:bCs/>
        </w:rPr>
        <w:t xml:space="preserve"> June</w:t>
      </w:r>
      <w:r w:rsidRPr="006F261B">
        <w:rPr>
          <w:rFonts w:ascii="Arial Narrow" w:hAnsi="Arial Narrow" w:cs="Arial Narrow"/>
          <w:bCs/>
        </w:rPr>
        <w:t xml:space="preserve"> 202</w:t>
      </w:r>
      <w:r w:rsidR="006D17AA">
        <w:rPr>
          <w:rFonts w:ascii="Arial Narrow" w:hAnsi="Arial Narrow" w:cs="Arial Narrow"/>
          <w:bCs/>
        </w:rPr>
        <w:t>2</w:t>
      </w:r>
      <w:r w:rsidRPr="006F261B">
        <w:rPr>
          <w:rFonts w:ascii="Arial Narrow" w:hAnsi="Arial Narrow" w:cs="Arial Narrow"/>
          <w:bCs/>
        </w:rPr>
        <w:t>, the Portfolio Committee deliberated and adopted the draft Committee Oversight Report on the 4th Quarterly performance report on the Department of CoGTA for the 202</w:t>
      </w:r>
      <w:r w:rsidR="008052BC">
        <w:rPr>
          <w:rFonts w:ascii="Arial Narrow" w:hAnsi="Arial Narrow" w:cs="Arial Narrow"/>
          <w:bCs/>
        </w:rPr>
        <w:t>1</w:t>
      </w:r>
      <w:r w:rsidRPr="006F261B">
        <w:rPr>
          <w:rFonts w:ascii="Arial Narrow" w:hAnsi="Arial Narrow" w:cs="Arial Narrow"/>
          <w:bCs/>
        </w:rPr>
        <w:t>/2</w:t>
      </w:r>
      <w:r w:rsidR="008052BC">
        <w:rPr>
          <w:rFonts w:ascii="Arial Narrow" w:hAnsi="Arial Narrow" w:cs="Arial Narrow"/>
          <w:bCs/>
        </w:rPr>
        <w:t>2</w:t>
      </w:r>
      <w:r w:rsidRPr="006F261B">
        <w:rPr>
          <w:rFonts w:ascii="Arial Narrow" w:hAnsi="Arial Narrow" w:cs="Arial Narrow"/>
          <w:bCs/>
        </w:rPr>
        <w:t xml:space="preserve"> FY.</w:t>
      </w:r>
    </w:p>
    <w:p w14:paraId="7261AED5" w14:textId="7E51290C" w:rsidR="004B7663" w:rsidRPr="001619AC" w:rsidRDefault="001D680E" w:rsidP="00E775B8">
      <w:pPr>
        <w:pStyle w:val="Heading1"/>
        <w:numPr>
          <w:ilvl w:val="3"/>
          <w:numId w:val="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6" w:name="_Toc50576911"/>
      <w:r w:rsidRPr="001619AC">
        <w:rPr>
          <w:rFonts w:ascii="Arial Narrow" w:hAnsi="Arial Narrow"/>
          <w:color w:val="auto"/>
          <w:sz w:val="22"/>
          <w:szCs w:val="22"/>
        </w:rPr>
        <w:t xml:space="preserve">OVERSIGHT ON </w:t>
      </w:r>
      <w:r w:rsidR="00D74068" w:rsidRPr="001619AC">
        <w:rPr>
          <w:rFonts w:ascii="Arial Narrow" w:hAnsi="Arial Narrow"/>
          <w:color w:val="auto"/>
          <w:sz w:val="22"/>
          <w:szCs w:val="22"/>
        </w:rPr>
        <w:t>DEPARTMENT / ENTITY</w:t>
      </w:r>
      <w:r w:rsidR="001E2ED4" w:rsidRPr="001619AC">
        <w:rPr>
          <w:rFonts w:ascii="Arial Narrow" w:hAnsi="Arial Narrow"/>
          <w:color w:val="auto"/>
          <w:sz w:val="22"/>
          <w:szCs w:val="22"/>
        </w:rPr>
        <w:t xml:space="preserve"> </w:t>
      </w:r>
      <w:r w:rsidR="006F5174" w:rsidRPr="001619AC">
        <w:rPr>
          <w:rFonts w:ascii="Arial Narrow" w:hAnsi="Arial Narrow"/>
          <w:color w:val="auto"/>
          <w:sz w:val="22"/>
          <w:szCs w:val="22"/>
        </w:rPr>
        <w:t xml:space="preserve">ACHIEVEMENT OF </w:t>
      </w:r>
      <w:r w:rsidR="004B7663" w:rsidRPr="001619AC">
        <w:rPr>
          <w:rFonts w:ascii="Arial Narrow" w:hAnsi="Arial Narrow"/>
          <w:color w:val="auto"/>
          <w:sz w:val="22"/>
          <w:szCs w:val="22"/>
        </w:rPr>
        <w:t xml:space="preserve">STRATEGIC </w:t>
      </w:r>
      <w:r w:rsidR="00396E0C" w:rsidRPr="001619AC">
        <w:rPr>
          <w:rFonts w:ascii="Arial Narrow" w:hAnsi="Arial Narrow"/>
          <w:color w:val="auto"/>
          <w:sz w:val="22"/>
          <w:szCs w:val="22"/>
        </w:rPr>
        <w:t>PRIORITIES</w:t>
      </w:r>
      <w:bookmarkEnd w:id="6"/>
    </w:p>
    <w:tbl>
      <w:tblPr>
        <w:tblStyle w:val="TableGrid"/>
        <w:tblW w:w="5000" w:type="pct"/>
        <w:tblLook w:val="04A0" w:firstRow="1" w:lastRow="0" w:firstColumn="1" w:lastColumn="0" w:noHBand="0" w:noVBand="1"/>
      </w:tblPr>
      <w:tblGrid>
        <w:gridCol w:w="13948"/>
      </w:tblGrid>
      <w:tr w:rsidR="00600AFA" w:rsidRPr="001619AC" w14:paraId="5F542C00" w14:textId="77777777" w:rsidTr="000F7DFB">
        <w:trPr>
          <w:tblHeader/>
        </w:trPr>
        <w:tc>
          <w:tcPr>
            <w:tcW w:w="5000" w:type="pct"/>
            <w:shd w:val="clear" w:color="auto" w:fill="EAF1DD" w:themeFill="accent3" w:themeFillTint="33"/>
          </w:tcPr>
          <w:p w14:paraId="1ADB04CF" w14:textId="13D4E19B" w:rsidR="00600AFA" w:rsidRPr="001619AC" w:rsidRDefault="00600AFA" w:rsidP="000F7DFB">
            <w:pPr>
              <w:rPr>
                <w:rFonts w:ascii="Arial Narrow" w:hAnsi="Arial Narrow" w:cs="Arial Narrow"/>
                <w:b/>
                <w:bCs/>
              </w:rPr>
            </w:pPr>
            <w:r w:rsidRPr="001619AC">
              <w:rPr>
                <w:rFonts w:ascii="Arial Narrow" w:hAnsi="Arial Narrow" w:cs="Arial Narrow"/>
                <w:b/>
                <w:bCs/>
              </w:rPr>
              <w:t xml:space="preserve">1.1 THE DETAILS ON </w:t>
            </w:r>
            <w:r w:rsidR="00D74068" w:rsidRPr="001619AC">
              <w:rPr>
                <w:rFonts w:ascii="Arial Narrow" w:hAnsi="Arial Narrow" w:cs="Arial Narrow"/>
                <w:b/>
                <w:bCs/>
              </w:rPr>
              <w:t>Department / Entity</w:t>
            </w:r>
            <w:r w:rsidRPr="001619AC">
              <w:rPr>
                <w:rFonts w:ascii="Arial Narrow" w:hAnsi="Arial Narrow" w:cs="Arial Narrow"/>
                <w:b/>
                <w:bCs/>
              </w:rPr>
              <w:t xml:space="preserve"> achievement on relevant Strategic Priorities for the period under review]</w:t>
            </w:r>
          </w:p>
        </w:tc>
      </w:tr>
      <w:tr w:rsidR="00600AFA" w:rsidRPr="001619AC" w14:paraId="0D94264B" w14:textId="77777777" w:rsidTr="000F7DFB">
        <w:tc>
          <w:tcPr>
            <w:tcW w:w="5000" w:type="pct"/>
          </w:tcPr>
          <w:p w14:paraId="09FA8D5A" w14:textId="77777777" w:rsidR="00007A9A" w:rsidRDefault="00007A9A" w:rsidP="00007A9A">
            <w:pPr>
              <w:rPr>
                <w:rFonts w:ascii="Arial Narrow" w:hAnsi="Arial Narrow" w:cs="Arial Narrow"/>
                <w:b/>
                <w:bCs/>
              </w:rPr>
            </w:pPr>
            <w:r w:rsidRPr="00007A9A">
              <w:rPr>
                <w:rFonts w:ascii="Arial Narrow" w:hAnsi="Arial Narrow" w:cs="Arial Narrow"/>
                <w:b/>
                <w:bCs/>
              </w:rPr>
              <w:t>NDP/MTSF Priority</w:t>
            </w:r>
          </w:p>
          <w:p w14:paraId="1EE80525" w14:textId="77777777" w:rsidR="00600AFA" w:rsidRDefault="00007A9A" w:rsidP="00007A9A">
            <w:pPr>
              <w:spacing w:after="200"/>
              <w:rPr>
                <w:rFonts w:ascii="Arial Narrow" w:hAnsi="Arial Narrow" w:cs="Arial Narrow"/>
              </w:rPr>
            </w:pPr>
            <w:r w:rsidRPr="00007A9A">
              <w:rPr>
                <w:rFonts w:ascii="Arial Narrow" w:hAnsi="Arial Narrow" w:cs="Arial Narrow"/>
              </w:rPr>
              <w:t>Support the implementation of the policy, norms and standards of the Municipal Electricity Infrastructure Asset Management</w:t>
            </w:r>
          </w:p>
          <w:p w14:paraId="41A68AE9" w14:textId="260A6BB9" w:rsidR="00DF68E0" w:rsidRPr="00DF68E0" w:rsidRDefault="00DF68E0" w:rsidP="00136229">
            <w:pPr>
              <w:rPr>
                <w:rFonts w:ascii="Arial Narrow" w:hAnsi="Arial Narrow" w:cs="Arial Narrow"/>
                <w:b/>
                <w:bCs/>
              </w:rPr>
            </w:pPr>
            <w:r w:rsidRPr="00DF68E0">
              <w:rPr>
                <w:rFonts w:ascii="Arial Narrow" w:hAnsi="Arial Narrow" w:cs="Arial Narrow"/>
                <w:b/>
                <w:bCs/>
              </w:rPr>
              <w:t>G</w:t>
            </w:r>
            <w:r w:rsidR="00136229">
              <w:rPr>
                <w:rFonts w:ascii="Arial Narrow" w:hAnsi="Arial Narrow" w:cs="Arial Narrow"/>
                <w:b/>
                <w:bCs/>
              </w:rPr>
              <w:t xml:space="preserve">rowing </w:t>
            </w:r>
            <w:r w:rsidRPr="00DF68E0">
              <w:rPr>
                <w:rFonts w:ascii="Arial Narrow" w:hAnsi="Arial Narrow" w:cs="Arial Narrow"/>
                <w:b/>
                <w:bCs/>
              </w:rPr>
              <w:t>G</w:t>
            </w:r>
            <w:r w:rsidR="00136229">
              <w:rPr>
                <w:rFonts w:ascii="Arial Narrow" w:hAnsi="Arial Narrow" w:cs="Arial Narrow"/>
                <w:b/>
                <w:bCs/>
              </w:rPr>
              <w:t xml:space="preserve">auteng </w:t>
            </w:r>
            <w:r w:rsidRPr="00DF68E0">
              <w:rPr>
                <w:rFonts w:ascii="Arial Narrow" w:hAnsi="Arial Narrow" w:cs="Arial Narrow"/>
                <w:b/>
                <w:bCs/>
              </w:rPr>
              <w:t>T</w:t>
            </w:r>
            <w:r w:rsidR="00136229">
              <w:rPr>
                <w:rFonts w:ascii="Arial Narrow" w:hAnsi="Arial Narrow" w:cs="Arial Narrow"/>
                <w:b/>
                <w:bCs/>
              </w:rPr>
              <w:t>ogether 2030</w:t>
            </w:r>
            <w:r w:rsidRPr="00DF68E0">
              <w:rPr>
                <w:rFonts w:ascii="Arial Narrow" w:hAnsi="Arial Narrow" w:cs="Arial Narrow"/>
                <w:b/>
                <w:bCs/>
              </w:rPr>
              <w:t xml:space="preserve"> Priority </w:t>
            </w:r>
          </w:p>
          <w:p w14:paraId="2F74B772" w14:textId="77777777" w:rsidR="00007A9A" w:rsidRDefault="00DF68E0" w:rsidP="00DF68E0">
            <w:pPr>
              <w:spacing w:after="200"/>
              <w:rPr>
                <w:rFonts w:ascii="Arial Narrow" w:hAnsi="Arial Narrow" w:cs="Arial Narrow"/>
              </w:rPr>
            </w:pPr>
            <w:r w:rsidRPr="00136229">
              <w:rPr>
                <w:rFonts w:ascii="Arial Narrow" w:hAnsi="Arial Narrow" w:cs="Arial Narrow"/>
              </w:rPr>
              <w:t>Improve access to water, sanitation, electricity, housing and roads in deprived areas, including completing the urban renewal projects.</w:t>
            </w:r>
          </w:p>
          <w:p w14:paraId="0B9014FA" w14:textId="77777777" w:rsidR="00BE36ED" w:rsidRPr="00BE36ED" w:rsidRDefault="00BE36ED" w:rsidP="00BE36ED">
            <w:pPr>
              <w:rPr>
                <w:rFonts w:ascii="Arial Narrow" w:hAnsi="Arial Narrow" w:cs="Arial Narrow"/>
                <w:b/>
                <w:bCs/>
              </w:rPr>
            </w:pPr>
            <w:r w:rsidRPr="00BE36ED">
              <w:rPr>
                <w:rFonts w:ascii="Arial Narrow" w:hAnsi="Arial Narrow" w:cs="Arial Narrow"/>
                <w:b/>
                <w:bCs/>
              </w:rPr>
              <w:t>Outcome as per approved Dept Strat Plan</w:t>
            </w:r>
          </w:p>
          <w:p w14:paraId="2F1715A2" w14:textId="23E2C2F0" w:rsidR="00136229" w:rsidRDefault="00BE36ED" w:rsidP="00BE36ED">
            <w:pPr>
              <w:spacing w:after="200"/>
              <w:rPr>
                <w:rFonts w:ascii="Arial Narrow" w:hAnsi="Arial Narrow" w:cs="Arial Narrow"/>
              </w:rPr>
            </w:pPr>
            <w:r w:rsidRPr="00BE36ED">
              <w:rPr>
                <w:rFonts w:ascii="Arial Narrow" w:hAnsi="Arial Narrow" w:cs="Arial Narrow"/>
              </w:rPr>
              <w:lastRenderedPageBreak/>
              <w:t>Number of municipalities supported to implement infrastructure service delivery programmes</w:t>
            </w:r>
          </w:p>
          <w:p w14:paraId="4D5D2796" w14:textId="09D155E1" w:rsidR="00D6377F" w:rsidRPr="005B6C42" w:rsidRDefault="005B6C42" w:rsidP="005B6C42">
            <w:pPr>
              <w:rPr>
                <w:rFonts w:ascii="Arial Narrow" w:hAnsi="Arial Narrow" w:cs="Arial Narrow"/>
                <w:b/>
                <w:bCs/>
              </w:rPr>
            </w:pPr>
            <w:r w:rsidRPr="005B6C42">
              <w:rPr>
                <w:rFonts w:ascii="Arial Narrow" w:hAnsi="Arial Narrow" w:cs="Arial Narrow"/>
                <w:b/>
                <w:bCs/>
              </w:rPr>
              <w:t>STRATEGIC REPORTING</w:t>
            </w:r>
          </w:p>
          <w:p w14:paraId="48ED144D" w14:textId="4A0F4B15" w:rsidR="00D6377F" w:rsidRPr="00D6377F" w:rsidRDefault="00D6377F" w:rsidP="00D6377F">
            <w:pPr>
              <w:spacing w:after="200"/>
              <w:rPr>
                <w:rFonts w:ascii="Arial Narrow" w:hAnsi="Arial Narrow" w:cs="Arial Narrow"/>
              </w:rPr>
            </w:pPr>
            <w:r w:rsidRPr="00D6377F">
              <w:rPr>
                <w:rFonts w:ascii="Arial Narrow" w:hAnsi="Arial Narrow" w:cs="Arial Narrow"/>
              </w:rPr>
              <w:t>Summarised Dep</w:t>
            </w:r>
            <w:r w:rsidR="00CB12E2">
              <w:rPr>
                <w:rFonts w:ascii="Arial Narrow" w:hAnsi="Arial Narrow" w:cs="Arial Narrow"/>
              </w:rPr>
              <w:t xml:space="preserve">artment’s </w:t>
            </w:r>
            <w:r w:rsidRPr="00D6377F">
              <w:rPr>
                <w:rFonts w:ascii="Arial Narrow" w:hAnsi="Arial Narrow" w:cs="Arial Narrow"/>
              </w:rPr>
              <w:t>Performance during Q4</w:t>
            </w:r>
          </w:p>
          <w:p w14:paraId="4A30AF01" w14:textId="335783F1" w:rsidR="00D6377F" w:rsidRPr="005B6C42" w:rsidRDefault="00D6377F" w:rsidP="00C93E82">
            <w:pPr>
              <w:pStyle w:val="ListParagraph"/>
              <w:numPr>
                <w:ilvl w:val="0"/>
                <w:numId w:val="14"/>
              </w:numPr>
              <w:rPr>
                <w:rFonts w:ascii="Arial Narrow" w:hAnsi="Arial Narrow" w:cs="Arial Narrow"/>
              </w:rPr>
            </w:pPr>
            <w:r w:rsidRPr="005B6C42">
              <w:rPr>
                <w:rFonts w:ascii="Arial Narrow" w:hAnsi="Arial Narrow" w:cs="Arial Narrow"/>
              </w:rPr>
              <w:t xml:space="preserve">Business appraisal meetings held with Lesedi and Midvaal Local Municipalities and presented 2 and 1 </w:t>
            </w:r>
            <w:r w:rsidR="00141B32" w:rsidRPr="005B6C42">
              <w:rPr>
                <w:rFonts w:ascii="Arial Narrow" w:hAnsi="Arial Narrow" w:cs="Arial Narrow"/>
              </w:rPr>
              <w:t>business,</w:t>
            </w:r>
            <w:r w:rsidRPr="005B6C42">
              <w:rPr>
                <w:rFonts w:ascii="Arial Narrow" w:hAnsi="Arial Narrow" w:cs="Arial Narrow"/>
              </w:rPr>
              <w:t xml:space="preserve"> respectively.</w:t>
            </w:r>
          </w:p>
          <w:p w14:paraId="48B69BD2" w14:textId="4151A897" w:rsidR="00D6377F" w:rsidRPr="005B6C42" w:rsidRDefault="00D6377F" w:rsidP="00C93E82">
            <w:pPr>
              <w:pStyle w:val="ListParagraph"/>
              <w:numPr>
                <w:ilvl w:val="0"/>
                <w:numId w:val="14"/>
              </w:numPr>
              <w:rPr>
                <w:rFonts w:ascii="Arial Narrow" w:hAnsi="Arial Narrow" w:cs="Arial Narrow"/>
              </w:rPr>
            </w:pPr>
            <w:r w:rsidRPr="005B6C42">
              <w:rPr>
                <w:rFonts w:ascii="Arial Narrow" w:hAnsi="Arial Narrow" w:cs="Arial Narrow"/>
              </w:rPr>
              <w:t>One on one engagement was held virtually with Midvaal, Emfuleni and Rand</w:t>
            </w:r>
            <w:r w:rsidR="008B3566">
              <w:rPr>
                <w:rFonts w:ascii="Arial Narrow" w:hAnsi="Arial Narrow" w:cs="Arial Narrow"/>
              </w:rPr>
              <w:t>-</w:t>
            </w:r>
            <w:r w:rsidRPr="005B6C42">
              <w:rPr>
                <w:rFonts w:ascii="Arial Narrow" w:hAnsi="Arial Narrow" w:cs="Arial Narrow"/>
              </w:rPr>
              <w:t>West City Local Municipality. Most of the challenges the municipality is facing are administrative and contractual issues and the municipality has a proper intervention plan to resolve them.</w:t>
            </w:r>
          </w:p>
          <w:p w14:paraId="208494B1" w14:textId="77777777" w:rsidR="00D6377F" w:rsidRPr="005B6C42" w:rsidRDefault="00D6377F" w:rsidP="00C93E82">
            <w:pPr>
              <w:pStyle w:val="ListParagraph"/>
              <w:numPr>
                <w:ilvl w:val="0"/>
                <w:numId w:val="14"/>
              </w:numPr>
              <w:rPr>
                <w:rFonts w:ascii="Arial Narrow" w:hAnsi="Arial Narrow" w:cs="Arial Narrow"/>
              </w:rPr>
            </w:pPr>
            <w:r w:rsidRPr="005B6C42">
              <w:rPr>
                <w:rFonts w:ascii="Arial Narrow" w:hAnsi="Arial Narrow" w:cs="Arial Narrow"/>
              </w:rPr>
              <w:t>3 spheres meeting was held on the 17 March 2021 virtually with all local municipalities and sector departments presents.</w:t>
            </w:r>
          </w:p>
          <w:p w14:paraId="1D7E33C1" w14:textId="19491622" w:rsidR="00BE36ED" w:rsidRPr="005B6C42" w:rsidRDefault="00D6377F" w:rsidP="00C93E82">
            <w:pPr>
              <w:pStyle w:val="ListParagraph"/>
              <w:numPr>
                <w:ilvl w:val="0"/>
                <w:numId w:val="14"/>
              </w:numPr>
              <w:rPr>
                <w:rFonts w:ascii="Arial Narrow" w:hAnsi="Arial Narrow" w:cs="Arial Narrow"/>
              </w:rPr>
            </w:pPr>
            <w:r w:rsidRPr="005B6C42">
              <w:rPr>
                <w:rFonts w:ascii="Arial Narrow" w:hAnsi="Arial Narrow" w:cs="Arial Narrow"/>
              </w:rPr>
              <w:t>Cost reimbursement meetings with Emfuleni Local Municipalities concluded and invoices recommended for payment.</w:t>
            </w:r>
          </w:p>
        </w:tc>
      </w:tr>
    </w:tbl>
    <w:p w14:paraId="40ED79F4" w14:textId="696AFE63" w:rsidR="007B55E7" w:rsidRPr="001619AC" w:rsidRDefault="007B55E7" w:rsidP="00E676AD">
      <w:pPr>
        <w:pStyle w:val="Heading1"/>
        <w:shd w:val="clear" w:color="auto" w:fill="D9D9D9" w:themeFill="background1" w:themeFillShade="D9"/>
        <w:rPr>
          <w:rFonts w:ascii="Arial Narrow" w:hAnsi="Arial Narrow"/>
          <w:color w:val="auto"/>
          <w:sz w:val="22"/>
          <w:szCs w:val="22"/>
        </w:rPr>
      </w:pPr>
      <w:bookmarkStart w:id="7" w:name="_Toc50576912"/>
      <w:r w:rsidRPr="001619AC">
        <w:rPr>
          <w:rFonts w:ascii="Arial Narrow" w:hAnsi="Arial Narrow"/>
          <w:color w:val="auto"/>
          <w:sz w:val="22"/>
          <w:szCs w:val="22"/>
        </w:rPr>
        <w:t>2</w:t>
      </w:r>
      <w:r w:rsidRPr="001619AC">
        <w:rPr>
          <w:rFonts w:ascii="Arial Narrow" w:hAnsi="Arial Narrow"/>
          <w:color w:val="auto"/>
          <w:sz w:val="22"/>
          <w:szCs w:val="22"/>
        </w:rPr>
        <w:tab/>
      </w:r>
      <w:r w:rsidR="00035362" w:rsidRPr="001619AC">
        <w:rPr>
          <w:rFonts w:ascii="Arial Narrow" w:hAnsi="Arial Narrow"/>
          <w:color w:val="auto"/>
          <w:sz w:val="22"/>
          <w:szCs w:val="22"/>
        </w:rPr>
        <w:t xml:space="preserve">OVERSIGHT ON </w:t>
      </w:r>
      <w:r w:rsidR="00D74068" w:rsidRPr="001619AC">
        <w:rPr>
          <w:rFonts w:ascii="Arial Narrow" w:hAnsi="Arial Narrow"/>
          <w:color w:val="auto"/>
          <w:sz w:val="22"/>
          <w:szCs w:val="22"/>
        </w:rPr>
        <w:t>DEPARTMENT / ENTITY</w:t>
      </w:r>
      <w:r w:rsidRPr="001619AC">
        <w:rPr>
          <w:rFonts w:ascii="Arial Narrow" w:hAnsi="Arial Narrow"/>
          <w:color w:val="auto"/>
          <w:sz w:val="22"/>
          <w:szCs w:val="22"/>
        </w:rPr>
        <w:t xml:space="preserve"> ACHIEVEMENT OF APP TARGETS</w:t>
      </w:r>
      <w:bookmarkEnd w:id="7"/>
    </w:p>
    <w:p w14:paraId="1C09D999" w14:textId="7AEC1F96" w:rsidR="007B55E7" w:rsidRPr="001619AC" w:rsidRDefault="007B55E7" w:rsidP="00DF79C6">
      <w:pPr>
        <w:spacing w:line="240" w:lineRule="auto"/>
        <w:jc w:val="left"/>
        <w:rPr>
          <w:rFonts w:ascii="Arial Narrow" w:hAnsi="Arial Narrow"/>
        </w:rPr>
      </w:pPr>
    </w:p>
    <w:tbl>
      <w:tblPr>
        <w:tblStyle w:val="TableGrid"/>
        <w:tblW w:w="13892" w:type="dxa"/>
        <w:tblInd w:w="-5" w:type="dxa"/>
        <w:tblLook w:val="04A0" w:firstRow="1" w:lastRow="0" w:firstColumn="1" w:lastColumn="0" w:noHBand="0" w:noVBand="1"/>
      </w:tblPr>
      <w:tblGrid>
        <w:gridCol w:w="13892"/>
      </w:tblGrid>
      <w:tr w:rsidR="007B55E7" w:rsidRPr="001619AC" w14:paraId="6359911D" w14:textId="77777777" w:rsidTr="00035362">
        <w:trPr>
          <w:tblHeader/>
        </w:trPr>
        <w:tc>
          <w:tcPr>
            <w:tcW w:w="13892" w:type="dxa"/>
            <w:shd w:val="clear" w:color="auto" w:fill="EAF1DD" w:themeFill="accent3" w:themeFillTint="33"/>
          </w:tcPr>
          <w:p w14:paraId="4AEC3928" w14:textId="571F5F47" w:rsidR="007B55E7" w:rsidRPr="001619AC" w:rsidRDefault="002A7022" w:rsidP="002A7022">
            <w:pPr>
              <w:rPr>
                <w:rFonts w:ascii="Arial Narrow" w:hAnsi="Arial Narrow" w:cs="Arial Narrow"/>
                <w:b/>
              </w:rPr>
            </w:pPr>
            <w:r w:rsidRPr="001619AC">
              <w:rPr>
                <w:rFonts w:ascii="Arial Narrow" w:hAnsi="Arial Narrow" w:cs="Arial Narrow"/>
                <w:b/>
              </w:rPr>
              <w:t>2 [</w:t>
            </w:r>
            <w:r w:rsidR="007B55E7" w:rsidRPr="001619AC">
              <w:rPr>
                <w:rFonts w:ascii="Arial Narrow" w:hAnsi="Arial Narrow" w:cs="Arial Narrow"/>
                <w:b/>
              </w:rPr>
              <w:t xml:space="preserve">THE DETAILS ON </w:t>
            </w:r>
            <w:r w:rsidR="00D74068" w:rsidRPr="001619AC">
              <w:rPr>
                <w:rFonts w:ascii="Arial Narrow" w:hAnsi="Arial Narrow" w:cs="Arial Narrow"/>
                <w:b/>
              </w:rPr>
              <w:t>DEPARTMENT / ENTITY</w:t>
            </w:r>
            <w:r w:rsidR="007B55E7" w:rsidRPr="001619AC">
              <w:rPr>
                <w:rFonts w:ascii="Arial Narrow" w:hAnsi="Arial Narrow" w:cs="Arial Narrow"/>
                <w:b/>
              </w:rPr>
              <w:t xml:space="preserve"> APP PERFORMANCE</w:t>
            </w:r>
            <w:r w:rsidRPr="001619AC">
              <w:rPr>
                <w:rFonts w:ascii="Arial Narrow" w:hAnsi="Arial Narrow" w:cs="Arial Narrow"/>
                <w:b/>
              </w:rPr>
              <w:t>]</w:t>
            </w:r>
          </w:p>
        </w:tc>
      </w:tr>
      <w:tr w:rsidR="007B55E7" w:rsidRPr="001619AC" w14:paraId="53255DFF" w14:textId="77777777" w:rsidTr="000F7DFB">
        <w:tc>
          <w:tcPr>
            <w:tcW w:w="13892" w:type="dxa"/>
            <w:shd w:val="clear" w:color="auto" w:fill="F2F2F2" w:themeFill="background1" w:themeFillShade="F2"/>
          </w:tcPr>
          <w:p w14:paraId="7E2100B7" w14:textId="77777777" w:rsidR="007B55E7" w:rsidRPr="001619AC" w:rsidRDefault="007B55E7" w:rsidP="00ED369C">
            <w:pPr>
              <w:rPr>
                <w:rFonts w:ascii="Arial Narrow" w:hAnsi="Arial Narrow" w:cs="Arial Narrow"/>
                <w:b/>
              </w:rPr>
            </w:pPr>
            <w:r w:rsidRPr="001619AC">
              <w:rPr>
                <w:rFonts w:ascii="Arial Narrow" w:hAnsi="Arial Narrow" w:cs="Arial Narrow"/>
                <w:b/>
              </w:rPr>
              <w:t>Number of APP targets relevant for this Quarter</w:t>
            </w:r>
          </w:p>
        </w:tc>
      </w:tr>
      <w:tr w:rsidR="007B55E7" w:rsidRPr="001619AC" w14:paraId="531EE293" w14:textId="77777777" w:rsidTr="000F7DFB">
        <w:tc>
          <w:tcPr>
            <w:tcW w:w="13892" w:type="dxa"/>
          </w:tcPr>
          <w:p w14:paraId="5B93E0AB" w14:textId="2389CCBE" w:rsidR="007B55E7" w:rsidRPr="001619AC" w:rsidRDefault="00D43D2D" w:rsidP="00ED369C">
            <w:pPr>
              <w:rPr>
                <w:rFonts w:ascii="Arial Narrow" w:hAnsi="Arial Narrow" w:cs="Arial"/>
                <w:bCs/>
              </w:rPr>
            </w:pPr>
            <w:r>
              <w:rPr>
                <w:rFonts w:ascii="Arial Narrow" w:hAnsi="Arial Narrow" w:cs="Arial"/>
                <w:bCs/>
              </w:rPr>
              <w:t>55</w:t>
            </w:r>
          </w:p>
        </w:tc>
      </w:tr>
      <w:tr w:rsidR="007B55E7" w:rsidRPr="001619AC" w14:paraId="5623DE73" w14:textId="77777777" w:rsidTr="000F7DFB">
        <w:tc>
          <w:tcPr>
            <w:tcW w:w="13892" w:type="dxa"/>
            <w:shd w:val="clear" w:color="auto" w:fill="F2F2F2" w:themeFill="background1" w:themeFillShade="F2"/>
          </w:tcPr>
          <w:p w14:paraId="62E7152A" w14:textId="77777777" w:rsidR="007B55E7" w:rsidRPr="001619AC" w:rsidRDefault="007B55E7" w:rsidP="00ED369C">
            <w:pPr>
              <w:rPr>
                <w:rFonts w:ascii="Arial Narrow" w:hAnsi="Arial Narrow" w:cs="Arial Narrow"/>
                <w:b/>
              </w:rPr>
            </w:pPr>
            <w:r w:rsidRPr="001619AC">
              <w:rPr>
                <w:rFonts w:ascii="Arial Narrow" w:hAnsi="Arial Narrow" w:cs="Arial Narrow"/>
                <w:b/>
              </w:rPr>
              <w:t>Number of APP targets for this Quarter that have been achieved during this Quarter</w:t>
            </w:r>
          </w:p>
        </w:tc>
      </w:tr>
      <w:tr w:rsidR="007B55E7" w:rsidRPr="001619AC" w14:paraId="2A36F9F8" w14:textId="77777777" w:rsidTr="000F7DFB">
        <w:tc>
          <w:tcPr>
            <w:tcW w:w="13892" w:type="dxa"/>
          </w:tcPr>
          <w:p w14:paraId="3919B4B9" w14:textId="41FF500F" w:rsidR="007B55E7" w:rsidRPr="00687BE6" w:rsidRDefault="009041C3" w:rsidP="009041C3">
            <w:pPr>
              <w:tabs>
                <w:tab w:val="left" w:pos="665"/>
              </w:tabs>
              <w:rPr>
                <w:rFonts w:ascii="Arial Narrow" w:hAnsi="Arial Narrow" w:cs="Arial"/>
                <w:bCs/>
              </w:rPr>
            </w:pPr>
            <w:r w:rsidRPr="00687BE6">
              <w:rPr>
                <w:rFonts w:ascii="Arial Narrow" w:hAnsi="Arial Narrow" w:cs="Arial"/>
                <w:bCs/>
              </w:rPr>
              <w:t xml:space="preserve">A total of </w:t>
            </w:r>
            <w:r w:rsidR="000D4E0E">
              <w:rPr>
                <w:rFonts w:ascii="Arial Narrow" w:hAnsi="Arial Narrow" w:cs="Arial"/>
                <w:bCs/>
              </w:rPr>
              <w:t>55</w:t>
            </w:r>
            <w:r w:rsidRPr="00687BE6">
              <w:rPr>
                <w:rFonts w:ascii="Arial Narrow" w:hAnsi="Arial Narrow" w:cs="Arial"/>
                <w:bCs/>
              </w:rPr>
              <w:t xml:space="preserve"> targets were planned in the quarter under review. Of this total </w:t>
            </w:r>
            <w:r w:rsidR="00E70057">
              <w:rPr>
                <w:rFonts w:ascii="Arial Narrow" w:hAnsi="Arial Narrow" w:cs="Arial"/>
                <w:bCs/>
              </w:rPr>
              <w:t>42</w:t>
            </w:r>
            <w:r w:rsidRPr="00687BE6">
              <w:rPr>
                <w:rFonts w:ascii="Arial Narrow" w:hAnsi="Arial Narrow" w:cs="Arial"/>
                <w:bCs/>
              </w:rPr>
              <w:t xml:space="preserve"> were achieved, </w:t>
            </w:r>
            <w:r w:rsidR="00E70057">
              <w:rPr>
                <w:rFonts w:ascii="Arial Narrow" w:hAnsi="Arial Narrow" w:cs="Arial"/>
                <w:bCs/>
              </w:rPr>
              <w:t>13</w:t>
            </w:r>
            <w:r w:rsidRPr="00687BE6">
              <w:rPr>
                <w:rFonts w:ascii="Arial Narrow" w:hAnsi="Arial Narrow" w:cs="Arial"/>
                <w:bCs/>
              </w:rPr>
              <w:t xml:space="preserve"> not Achieved.</w:t>
            </w:r>
          </w:p>
        </w:tc>
      </w:tr>
      <w:tr w:rsidR="007B55E7" w:rsidRPr="001619AC" w14:paraId="6A0E8308" w14:textId="77777777" w:rsidTr="000F7DFB">
        <w:tc>
          <w:tcPr>
            <w:tcW w:w="13892" w:type="dxa"/>
            <w:shd w:val="clear" w:color="auto" w:fill="F2F2F2" w:themeFill="background1" w:themeFillShade="F2"/>
          </w:tcPr>
          <w:p w14:paraId="1A2073FD" w14:textId="77777777" w:rsidR="007B55E7" w:rsidRPr="00687BE6" w:rsidRDefault="007B55E7" w:rsidP="00ED369C">
            <w:pPr>
              <w:rPr>
                <w:rFonts w:ascii="Arial Narrow" w:hAnsi="Arial Narrow" w:cs="Arial Narrow"/>
                <w:b/>
              </w:rPr>
            </w:pPr>
            <w:r w:rsidRPr="00687BE6">
              <w:rPr>
                <w:rFonts w:ascii="Arial Narrow" w:hAnsi="Arial Narrow" w:cs="Arial Narrow"/>
                <w:b/>
              </w:rPr>
              <w:t>Percentage of APP targets for this Quarter that have been achieved during this Quarter</w:t>
            </w:r>
          </w:p>
        </w:tc>
      </w:tr>
      <w:tr w:rsidR="007B55E7" w:rsidRPr="001619AC" w14:paraId="3E9AA2E3" w14:textId="77777777" w:rsidTr="000F7DFB">
        <w:tc>
          <w:tcPr>
            <w:tcW w:w="13892" w:type="dxa"/>
          </w:tcPr>
          <w:p w14:paraId="49C5A6BE" w14:textId="55C78F7A" w:rsidR="007B55E7" w:rsidRPr="00687BE6" w:rsidRDefault="009041C3" w:rsidP="00ED369C">
            <w:pPr>
              <w:rPr>
                <w:rFonts w:ascii="Arial Narrow" w:hAnsi="Arial Narrow" w:cs="Arial"/>
                <w:bCs/>
              </w:rPr>
            </w:pPr>
            <w:r w:rsidRPr="00687BE6">
              <w:rPr>
                <w:rFonts w:ascii="Arial Narrow" w:hAnsi="Arial Narrow" w:cs="Arial"/>
                <w:bCs/>
              </w:rPr>
              <w:t>By end of quarter 4  overall performance was at 7</w:t>
            </w:r>
            <w:r w:rsidR="007A2685">
              <w:rPr>
                <w:rFonts w:ascii="Arial Narrow" w:hAnsi="Arial Narrow" w:cs="Arial"/>
                <w:bCs/>
              </w:rPr>
              <w:t>6</w:t>
            </w:r>
            <w:r w:rsidRPr="00687BE6">
              <w:rPr>
                <w:rFonts w:ascii="Arial Narrow" w:hAnsi="Arial Narrow" w:cs="Arial"/>
                <w:bCs/>
              </w:rPr>
              <w:t>% Achieved</w:t>
            </w:r>
            <w:r w:rsidR="007A2685">
              <w:rPr>
                <w:rFonts w:ascii="Arial Narrow" w:hAnsi="Arial Narrow" w:cs="Arial"/>
                <w:bCs/>
              </w:rPr>
              <w:t xml:space="preserve"> and 24</w:t>
            </w:r>
            <w:r w:rsidRPr="00687BE6">
              <w:rPr>
                <w:rFonts w:ascii="Arial Narrow" w:hAnsi="Arial Narrow" w:cs="Arial"/>
                <w:bCs/>
              </w:rPr>
              <w:t>% Not Achieved.</w:t>
            </w:r>
          </w:p>
        </w:tc>
      </w:tr>
      <w:tr w:rsidR="007B55E7" w:rsidRPr="001619AC" w14:paraId="1D502E72" w14:textId="77777777" w:rsidTr="000F7DFB">
        <w:tc>
          <w:tcPr>
            <w:tcW w:w="13892" w:type="dxa"/>
            <w:shd w:val="clear" w:color="auto" w:fill="F2F2F2" w:themeFill="background1" w:themeFillShade="F2"/>
          </w:tcPr>
          <w:p w14:paraId="4D67AC77" w14:textId="77777777" w:rsidR="007B55E7" w:rsidRPr="00687BE6" w:rsidRDefault="007B55E7" w:rsidP="00ED369C">
            <w:pPr>
              <w:rPr>
                <w:rFonts w:ascii="Arial Narrow" w:hAnsi="Arial Narrow" w:cs="Arial Narrow"/>
                <w:b/>
              </w:rPr>
            </w:pPr>
            <w:r w:rsidRPr="00687BE6">
              <w:rPr>
                <w:rFonts w:ascii="Arial Narrow" w:hAnsi="Arial Narrow" w:cs="Arial Narrow"/>
                <w:b/>
              </w:rPr>
              <w:t>Percentage of APP achievement for the previous Quarter (for Comparison)</w:t>
            </w:r>
          </w:p>
        </w:tc>
      </w:tr>
      <w:tr w:rsidR="007B55E7" w:rsidRPr="001619AC" w14:paraId="68614516" w14:textId="77777777" w:rsidTr="000F7DFB">
        <w:tc>
          <w:tcPr>
            <w:tcW w:w="13892" w:type="dxa"/>
          </w:tcPr>
          <w:p w14:paraId="28127D65" w14:textId="7C113E0F" w:rsidR="007B55E7" w:rsidRPr="00687BE6" w:rsidRDefault="00154819" w:rsidP="00ED369C">
            <w:pPr>
              <w:rPr>
                <w:rFonts w:ascii="Arial Narrow" w:hAnsi="Arial Narrow" w:cs="Arial"/>
                <w:bCs/>
              </w:rPr>
            </w:pPr>
            <w:r w:rsidRPr="00687BE6">
              <w:rPr>
                <w:rFonts w:ascii="Arial Narrow" w:hAnsi="Arial Narrow" w:cs="Arial"/>
                <w:bCs/>
              </w:rPr>
              <w:t>7</w:t>
            </w:r>
            <w:r w:rsidR="00730584" w:rsidRPr="00687BE6">
              <w:rPr>
                <w:rFonts w:ascii="Arial Narrow" w:hAnsi="Arial Narrow" w:cs="Arial"/>
                <w:bCs/>
              </w:rPr>
              <w:t>2</w:t>
            </w:r>
            <w:r w:rsidRPr="00687BE6">
              <w:rPr>
                <w:rFonts w:ascii="Arial Narrow" w:hAnsi="Arial Narrow" w:cs="Arial"/>
                <w:bCs/>
              </w:rPr>
              <w:t>%</w:t>
            </w:r>
          </w:p>
        </w:tc>
      </w:tr>
      <w:tr w:rsidR="001619AC" w:rsidRPr="001619AC" w14:paraId="15A19200" w14:textId="77777777" w:rsidTr="004E75A7">
        <w:tc>
          <w:tcPr>
            <w:tcW w:w="13892" w:type="dxa"/>
            <w:shd w:val="clear" w:color="auto" w:fill="D9D9D9" w:themeFill="background1" w:themeFillShade="D9"/>
          </w:tcPr>
          <w:p w14:paraId="76A43C13" w14:textId="77777777" w:rsidR="007B55E7" w:rsidRPr="001619AC" w:rsidRDefault="007B55E7" w:rsidP="00ED369C">
            <w:pPr>
              <w:rPr>
                <w:rFonts w:ascii="Arial Narrow" w:hAnsi="Arial Narrow" w:cs="Arial Narrow"/>
                <w:b/>
              </w:rPr>
            </w:pPr>
            <w:r w:rsidRPr="001619AC">
              <w:rPr>
                <w:rFonts w:ascii="Arial Narrow" w:hAnsi="Arial Narrow" w:cs="Arial Narrow"/>
                <w:b/>
              </w:rPr>
              <w:t>Main areas in the APP that have experienced non-achievement or over achievement during this Quarter</w:t>
            </w:r>
          </w:p>
        </w:tc>
      </w:tr>
      <w:tr w:rsidR="001619AC" w:rsidRPr="001619AC" w14:paraId="06A5A3F5" w14:textId="77777777" w:rsidTr="000F7DFB">
        <w:tc>
          <w:tcPr>
            <w:tcW w:w="13892" w:type="dxa"/>
          </w:tcPr>
          <w:p w14:paraId="646AFB32" w14:textId="22DB003A" w:rsidR="0084415C" w:rsidRPr="0084415C" w:rsidRDefault="0084415C" w:rsidP="0084415C">
            <w:pPr>
              <w:rPr>
                <w:rFonts w:ascii="Arial Narrow" w:hAnsi="Arial Narrow" w:cs="Arial"/>
                <w:b/>
                <w:lang w:val="en-US"/>
              </w:rPr>
            </w:pPr>
            <w:r w:rsidRPr="0084415C">
              <w:rPr>
                <w:rFonts w:ascii="Arial Narrow" w:hAnsi="Arial Narrow" w:cs="Arial"/>
                <w:b/>
                <w:lang w:val="en-US"/>
              </w:rPr>
              <w:t xml:space="preserve">The Committee noted that all the </w:t>
            </w:r>
            <w:r w:rsidR="004C4315" w:rsidRPr="0084415C">
              <w:rPr>
                <w:rFonts w:ascii="Arial Narrow" w:hAnsi="Arial Narrow" w:cs="Arial"/>
                <w:b/>
                <w:lang w:val="en-US"/>
              </w:rPr>
              <w:t>Programmes</w:t>
            </w:r>
            <w:r w:rsidRPr="0084415C">
              <w:rPr>
                <w:rFonts w:ascii="Arial Narrow" w:hAnsi="Arial Narrow" w:cs="Arial"/>
                <w:b/>
                <w:lang w:val="en-US"/>
              </w:rPr>
              <w:t xml:space="preserve"> have underspent their annual and quarterly allocations.</w:t>
            </w:r>
          </w:p>
          <w:p w14:paraId="0FC416EC" w14:textId="0A93B6AA" w:rsidR="0084415C" w:rsidRPr="00687BE6" w:rsidRDefault="0084415C" w:rsidP="00C93E82">
            <w:pPr>
              <w:pStyle w:val="ListParagraph"/>
              <w:numPr>
                <w:ilvl w:val="0"/>
                <w:numId w:val="7"/>
              </w:numPr>
              <w:rPr>
                <w:rFonts w:ascii="Arial Narrow" w:hAnsi="Arial Narrow" w:cs="Arial"/>
              </w:rPr>
            </w:pPr>
            <w:r w:rsidRPr="001619AC">
              <w:rPr>
                <w:rFonts w:ascii="Arial Narrow" w:hAnsi="Arial Narrow" w:cs="Arial"/>
                <w:b/>
              </w:rPr>
              <w:t>Programme 1: Administration</w:t>
            </w:r>
            <w:r w:rsidR="006C3E18">
              <w:rPr>
                <w:rFonts w:ascii="Arial Narrow" w:hAnsi="Arial Narrow" w:cs="Arial"/>
                <w:b/>
              </w:rPr>
              <w:t>:</w:t>
            </w:r>
            <w:r w:rsidRPr="001619AC">
              <w:rPr>
                <w:rFonts w:ascii="Arial Narrow" w:hAnsi="Arial Narrow" w:cs="Arial"/>
              </w:rPr>
              <w:t xml:space="preserve"> </w:t>
            </w:r>
            <w:r w:rsidR="00EB78FF">
              <w:rPr>
                <w:rFonts w:ascii="Arial Narrow" w:hAnsi="Arial Narrow" w:cs="Arial"/>
              </w:rPr>
              <w:t>All 7 targe</w:t>
            </w:r>
            <w:r w:rsidR="003C7AF8">
              <w:rPr>
                <w:rFonts w:ascii="Arial Narrow" w:hAnsi="Arial Narrow" w:cs="Arial"/>
              </w:rPr>
              <w:t>ts for the quarter under review were not achieved.</w:t>
            </w:r>
          </w:p>
          <w:p w14:paraId="70B0028B" w14:textId="3C31D565" w:rsidR="0084415C" w:rsidRPr="00687BE6" w:rsidRDefault="0084415C" w:rsidP="00C93E82">
            <w:pPr>
              <w:pStyle w:val="ListParagraph"/>
              <w:numPr>
                <w:ilvl w:val="0"/>
                <w:numId w:val="7"/>
              </w:numPr>
              <w:rPr>
                <w:rFonts w:ascii="Arial Narrow" w:hAnsi="Arial Narrow" w:cs="Arial"/>
              </w:rPr>
            </w:pPr>
            <w:bookmarkStart w:id="8" w:name="_Hlk24548352"/>
            <w:r w:rsidRPr="00687BE6">
              <w:rPr>
                <w:rFonts w:ascii="Arial Narrow" w:hAnsi="Arial Narrow" w:cs="Arial"/>
                <w:b/>
              </w:rPr>
              <w:t xml:space="preserve">Programme 2: </w:t>
            </w:r>
            <w:r w:rsidR="00730584" w:rsidRPr="00687BE6">
              <w:rPr>
                <w:rFonts w:ascii="Arial Narrow" w:hAnsi="Arial Narrow" w:cs="Arial"/>
                <w:b/>
              </w:rPr>
              <w:t>Local Governance Support</w:t>
            </w:r>
            <w:r w:rsidRPr="00687BE6">
              <w:rPr>
                <w:rFonts w:ascii="Arial Narrow" w:hAnsi="Arial Narrow" w:cs="Arial"/>
              </w:rPr>
              <w:t xml:space="preserve"> </w:t>
            </w:r>
            <w:r w:rsidR="00090A1D">
              <w:rPr>
                <w:rFonts w:ascii="Arial Narrow" w:hAnsi="Arial Narrow" w:cs="Arial"/>
              </w:rPr>
              <w:t>92</w:t>
            </w:r>
            <w:r w:rsidR="00730584" w:rsidRPr="00687BE6">
              <w:rPr>
                <w:rFonts w:ascii="Arial Narrow" w:hAnsi="Arial Narrow" w:cs="Arial"/>
              </w:rPr>
              <w:t>% of the targets were achieved</w:t>
            </w:r>
            <w:r w:rsidR="007E2707" w:rsidRPr="00687BE6">
              <w:rPr>
                <w:rFonts w:ascii="Arial Narrow" w:hAnsi="Arial Narrow" w:cs="Arial"/>
              </w:rPr>
              <w:t xml:space="preserve"> and </w:t>
            </w:r>
            <w:r w:rsidR="00090A1D">
              <w:rPr>
                <w:rFonts w:ascii="Arial Narrow" w:hAnsi="Arial Narrow" w:cs="Arial"/>
              </w:rPr>
              <w:t>8</w:t>
            </w:r>
            <w:r w:rsidR="007E2707" w:rsidRPr="00687BE6">
              <w:rPr>
                <w:rFonts w:ascii="Arial Narrow" w:hAnsi="Arial Narrow" w:cs="Arial"/>
              </w:rPr>
              <w:t>% were not achieved.</w:t>
            </w:r>
            <w:r w:rsidRPr="00687BE6">
              <w:rPr>
                <w:rFonts w:ascii="Arial Narrow" w:hAnsi="Arial Narrow" w:cs="Arial"/>
                <w:b/>
              </w:rPr>
              <w:t xml:space="preserve"> </w:t>
            </w:r>
            <w:r w:rsidR="007E2707" w:rsidRPr="00687BE6">
              <w:rPr>
                <w:rFonts w:ascii="Arial Narrow" w:hAnsi="Arial Narrow" w:cs="Arial"/>
                <w:b/>
              </w:rPr>
              <w:t xml:space="preserve">= </w:t>
            </w:r>
            <w:r w:rsidR="00E82E0D">
              <w:rPr>
                <w:rFonts w:ascii="Arial Narrow" w:hAnsi="Arial Narrow" w:cs="Arial"/>
                <w:b/>
              </w:rPr>
              <w:t>24</w:t>
            </w:r>
            <w:r w:rsidR="007E2707" w:rsidRPr="00687BE6">
              <w:rPr>
                <w:rFonts w:ascii="Arial Narrow" w:hAnsi="Arial Narrow" w:cs="Arial"/>
                <w:b/>
              </w:rPr>
              <w:t xml:space="preserve"> targets</w:t>
            </w:r>
          </w:p>
          <w:bookmarkEnd w:id="8"/>
          <w:p w14:paraId="2B5E9226" w14:textId="74757E88" w:rsidR="0084415C" w:rsidRPr="00687BE6" w:rsidRDefault="0084415C" w:rsidP="00C93E82">
            <w:pPr>
              <w:pStyle w:val="ListParagraph"/>
              <w:numPr>
                <w:ilvl w:val="0"/>
                <w:numId w:val="7"/>
              </w:numPr>
              <w:rPr>
                <w:rFonts w:ascii="Arial Narrow" w:hAnsi="Arial Narrow" w:cs="Arial"/>
                <w:b/>
              </w:rPr>
            </w:pPr>
            <w:r w:rsidRPr="00687BE6">
              <w:rPr>
                <w:rFonts w:ascii="Arial Narrow" w:hAnsi="Arial Narrow" w:cs="Arial"/>
                <w:b/>
              </w:rPr>
              <w:lastRenderedPageBreak/>
              <w:t xml:space="preserve">Programme 3: </w:t>
            </w:r>
            <w:r w:rsidR="007E2707" w:rsidRPr="00687BE6">
              <w:rPr>
                <w:rFonts w:ascii="Arial Narrow" w:hAnsi="Arial Narrow" w:cs="Arial"/>
                <w:b/>
              </w:rPr>
              <w:t>Urban Planning</w:t>
            </w:r>
            <w:r w:rsidR="006C3E18" w:rsidRPr="00687BE6">
              <w:rPr>
                <w:rFonts w:ascii="Arial Narrow" w:hAnsi="Arial Narrow" w:cs="Arial"/>
                <w:b/>
              </w:rPr>
              <w:t>:</w:t>
            </w:r>
            <w:r w:rsidRPr="00687BE6">
              <w:rPr>
                <w:rFonts w:ascii="Arial Narrow" w:hAnsi="Arial Narrow" w:cs="Arial"/>
              </w:rPr>
              <w:t xml:space="preserve"> </w:t>
            </w:r>
            <w:r w:rsidR="006F0F15">
              <w:rPr>
                <w:rFonts w:ascii="Arial Narrow" w:hAnsi="Arial Narrow" w:cs="Arial"/>
              </w:rPr>
              <w:t>8</w:t>
            </w:r>
            <w:r w:rsidR="007E2707" w:rsidRPr="00687BE6">
              <w:rPr>
                <w:rFonts w:ascii="Arial Narrow" w:hAnsi="Arial Narrow" w:cs="Arial"/>
              </w:rPr>
              <w:t>4% of the targets were achieved and 1</w:t>
            </w:r>
            <w:r w:rsidR="006F0F15">
              <w:rPr>
                <w:rFonts w:ascii="Arial Narrow" w:hAnsi="Arial Narrow" w:cs="Arial"/>
              </w:rPr>
              <w:t>6</w:t>
            </w:r>
            <w:r w:rsidR="007E2707" w:rsidRPr="00687BE6">
              <w:rPr>
                <w:rFonts w:ascii="Arial Narrow" w:hAnsi="Arial Narrow" w:cs="Arial"/>
              </w:rPr>
              <w:t>% were not achieved =</w:t>
            </w:r>
            <w:r w:rsidR="007E2707" w:rsidRPr="00687BE6">
              <w:rPr>
                <w:rFonts w:ascii="Arial Narrow" w:hAnsi="Arial Narrow" w:cs="Arial"/>
                <w:b/>
                <w:bCs/>
              </w:rPr>
              <w:t>1</w:t>
            </w:r>
            <w:r w:rsidR="006F0F15">
              <w:rPr>
                <w:rFonts w:ascii="Arial Narrow" w:hAnsi="Arial Narrow" w:cs="Arial"/>
                <w:b/>
                <w:bCs/>
              </w:rPr>
              <w:t>9</w:t>
            </w:r>
            <w:r w:rsidR="007E2707" w:rsidRPr="00687BE6">
              <w:rPr>
                <w:rFonts w:ascii="Arial Narrow" w:hAnsi="Arial Narrow" w:cs="Arial"/>
                <w:b/>
                <w:bCs/>
              </w:rPr>
              <w:t xml:space="preserve"> targets</w:t>
            </w:r>
            <w:r w:rsidRPr="00687BE6">
              <w:rPr>
                <w:rFonts w:ascii="Arial Narrow" w:hAnsi="Arial Narrow" w:cs="Arial"/>
              </w:rPr>
              <w:t xml:space="preserve"> </w:t>
            </w:r>
          </w:p>
          <w:p w14:paraId="6C0B898A" w14:textId="3699D0A9" w:rsidR="004944C3" w:rsidRPr="00687BE6" w:rsidRDefault="0084415C" w:rsidP="00C93E82">
            <w:pPr>
              <w:pStyle w:val="ListParagraph"/>
              <w:numPr>
                <w:ilvl w:val="0"/>
                <w:numId w:val="7"/>
              </w:numPr>
              <w:rPr>
                <w:rFonts w:ascii="Arial Narrow" w:hAnsi="Arial Narrow" w:cs="Arial"/>
                <w:b/>
              </w:rPr>
            </w:pPr>
            <w:bookmarkStart w:id="9" w:name="_Hlk55633223"/>
            <w:r w:rsidRPr="00687BE6">
              <w:rPr>
                <w:rFonts w:ascii="Arial Narrow" w:hAnsi="Arial Narrow" w:cs="Arial"/>
                <w:b/>
              </w:rPr>
              <w:t xml:space="preserve">Programme 4: </w:t>
            </w:r>
            <w:r w:rsidR="007E2707" w:rsidRPr="00687BE6">
              <w:rPr>
                <w:rFonts w:ascii="Arial Narrow" w:hAnsi="Arial Narrow" w:cs="Arial"/>
                <w:b/>
              </w:rPr>
              <w:t>Development and Planning</w:t>
            </w:r>
            <w:r w:rsidR="006C3E18" w:rsidRPr="00687BE6">
              <w:rPr>
                <w:rFonts w:ascii="Arial Narrow" w:hAnsi="Arial Narrow" w:cs="Arial"/>
                <w:b/>
              </w:rPr>
              <w:t>:</w:t>
            </w:r>
            <w:r w:rsidRPr="00687BE6">
              <w:rPr>
                <w:rFonts w:ascii="Arial Narrow" w:hAnsi="Arial Narrow" w:cs="Arial"/>
              </w:rPr>
              <w:t xml:space="preserve"> </w:t>
            </w:r>
            <w:r w:rsidR="006E76CF">
              <w:rPr>
                <w:rFonts w:ascii="Arial Narrow" w:hAnsi="Arial Narrow" w:cs="Arial"/>
              </w:rPr>
              <w:t>67</w:t>
            </w:r>
            <w:r w:rsidR="007E2707" w:rsidRPr="00687BE6">
              <w:rPr>
                <w:rFonts w:ascii="Arial Narrow" w:hAnsi="Arial Narrow" w:cs="Arial"/>
              </w:rPr>
              <w:t xml:space="preserve">% of the targets were achieved and </w:t>
            </w:r>
            <w:r w:rsidR="006E76CF">
              <w:rPr>
                <w:rFonts w:ascii="Arial Narrow" w:hAnsi="Arial Narrow" w:cs="Arial"/>
              </w:rPr>
              <w:t>33</w:t>
            </w:r>
            <w:r w:rsidR="007E2707" w:rsidRPr="00687BE6">
              <w:rPr>
                <w:rFonts w:ascii="Arial Narrow" w:hAnsi="Arial Narrow" w:cs="Arial"/>
              </w:rPr>
              <w:t xml:space="preserve">% was not achieved = </w:t>
            </w:r>
            <w:r w:rsidR="006E76CF">
              <w:rPr>
                <w:rFonts w:ascii="Arial Narrow" w:hAnsi="Arial Narrow" w:cs="Arial"/>
              </w:rPr>
              <w:t>3</w:t>
            </w:r>
            <w:r w:rsidR="007E2707" w:rsidRPr="00687BE6">
              <w:rPr>
                <w:rFonts w:ascii="Arial Narrow" w:hAnsi="Arial Narrow" w:cs="Arial"/>
                <w:b/>
                <w:bCs/>
              </w:rPr>
              <w:t xml:space="preserve"> targets</w:t>
            </w:r>
            <w:r w:rsidRPr="00687BE6">
              <w:rPr>
                <w:rFonts w:ascii="Arial Narrow" w:hAnsi="Arial Narrow" w:cs="Arial"/>
                <w:b/>
                <w:bCs/>
              </w:rPr>
              <w:t>.</w:t>
            </w:r>
            <w:r w:rsidRPr="00687BE6">
              <w:rPr>
                <w:rFonts w:ascii="Arial Narrow" w:hAnsi="Arial Narrow" w:cs="Arial"/>
              </w:rPr>
              <w:t xml:space="preserve"> </w:t>
            </w:r>
            <w:bookmarkEnd w:id="9"/>
          </w:p>
          <w:p w14:paraId="726ACF75" w14:textId="019D858D" w:rsidR="007E2707" w:rsidRPr="001619AC" w:rsidRDefault="007E2707" w:rsidP="00C93E82">
            <w:pPr>
              <w:pStyle w:val="ListParagraph"/>
              <w:numPr>
                <w:ilvl w:val="0"/>
                <w:numId w:val="7"/>
              </w:numPr>
              <w:rPr>
                <w:rFonts w:ascii="Arial Narrow" w:hAnsi="Arial Narrow" w:cs="Arial"/>
                <w:b/>
              </w:rPr>
            </w:pPr>
            <w:r w:rsidRPr="00687BE6">
              <w:rPr>
                <w:rFonts w:ascii="Arial Narrow" w:hAnsi="Arial Narrow" w:cs="Arial"/>
                <w:b/>
              </w:rPr>
              <w:t xml:space="preserve">Programme 5: Traditional Leadership: </w:t>
            </w:r>
            <w:r w:rsidRPr="00687BE6">
              <w:rPr>
                <w:rFonts w:ascii="Arial Narrow" w:hAnsi="Arial Narrow" w:cs="Arial"/>
                <w:bCs/>
              </w:rPr>
              <w:t>100% of the targets were achieved</w:t>
            </w:r>
            <w:r w:rsidRPr="00687BE6">
              <w:rPr>
                <w:rFonts w:ascii="Arial Narrow" w:hAnsi="Arial Narrow" w:cs="Arial"/>
                <w:b/>
              </w:rPr>
              <w:t xml:space="preserve"> – 2 targets</w:t>
            </w:r>
          </w:p>
        </w:tc>
      </w:tr>
      <w:tr w:rsidR="001619AC" w:rsidRPr="001619AC" w14:paraId="71692F63" w14:textId="77777777" w:rsidTr="004E75A7">
        <w:tc>
          <w:tcPr>
            <w:tcW w:w="13892" w:type="dxa"/>
            <w:shd w:val="clear" w:color="auto" w:fill="D9D9D9" w:themeFill="background1" w:themeFillShade="D9"/>
          </w:tcPr>
          <w:p w14:paraId="1B8FA993" w14:textId="6452F23E" w:rsidR="007B55E7" w:rsidRPr="001619AC" w:rsidRDefault="007B55E7" w:rsidP="000F7DFB">
            <w:pPr>
              <w:rPr>
                <w:rFonts w:ascii="Arial Narrow" w:hAnsi="Arial Narrow" w:cs="Arial Narrow"/>
                <w:b/>
              </w:rPr>
            </w:pPr>
            <w:r w:rsidRPr="001619AC">
              <w:rPr>
                <w:rFonts w:ascii="Arial Narrow" w:hAnsi="Arial Narrow" w:cs="Arial Narrow"/>
                <w:b/>
              </w:rPr>
              <w:t xml:space="preserve">Main reasons provided by the </w:t>
            </w:r>
            <w:r w:rsidR="00D74068" w:rsidRPr="001619AC">
              <w:rPr>
                <w:rFonts w:ascii="Arial Narrow" w:hAnsi="Arial Narrow" w:cs="Arial Narrow"/>
                <w:b/>
              </w:rPr>
              <w:t>Department / Entity</w:t>
            </w:r>
            <w:r w:rsidRPr="001619AC">
              <w:rPr>
                <w:rFonts w:ascii="Arial Narrow" w:hAnsi="Arial Narrow" w:cs="Arial Narrow"/>
                <w:b/>
              </w:rPr>
              <w:t xml:space="preserve"> for non-achievement or over achievement of its APP during this Quarter</w:t>
            </w:r>
          </w:p>
        </w:tc>
      </w:tr>
      <w:tr w:rsidR="001619AC" w:rsidRPr="001619AC" w14:paraId="56B650FA" w14:textId="77777777" w:rsidTr="000F7DFB">
        <w:tc>
          <w:tcPr>
            <w:tcW w:w="13892" w:type="dxa"/>
          </w:tcPr>
          <w:p w14:paraId="43D1A220" w14:textId="5F0E6171" w:rsidR="006A397D" w:rsidRPr="006A397D" w:rsidRDefault="00B175B9" w:rsidP="006A397D">
            <w:pPr>
              <w:pStyle w:val="ListParagraph"/>
              <w:numPr>
                <w:ilvl w:val="0"/>
                <w:numId w:val="9"/>
              </w:numPr>
              <w:spacing w:line="360" w:lineRule="auto"/>
              <w:rPr>
                <w:rFonts w:ascii="Arial Narrow" w:hAnsi="Arial Narrow" w:cs="Arial"/>
                <w:bCs/>
                <w:lang w:val="en-ZA"/>
              </w:rPr>
            </w:pPr>
            <w:r w:rsidRPr="0058194F">
              <w:rPr>
                <w:rFonts w:ascii="Arial Narrow" w:hAnsi="Arial Narrow" w:cs="Arial"/>
                <w:bCs/>
              </w:rPr>
              <w:t xml:space="preserve">The </w:t>
            </w:r>
            <w:r w:rsidR="0096414A" w:rsidRPr="0058194F">
              <w:rPr>
                <w:rFonts w:ascii="Arial Narrow" w:hAnsi="Arial Narrow" w:cs="Arial"/>
                <w:bCs/>
              </w:rPr>
              <w:t xml:space="preserve">reason the </w:t>
            </w:r>
            <w:r w:rsidR="00141B32" w:rsidRPr="0058194F">
              <w:rPr>
                <w:rFonts w:ascii="Arial Narrow" w:hAnsi="Arial Narrow" w:cs="Arial"/>
                <w:bCs/>
              </w:rPr>
              <w:t>Departments could</w:t>
            </w:r>
            <w:r w:rsidR="0096414A" w:rsidRPr="0058194F">
              <w:rPr>
                <w:rFonts w:ascii="Arial Narrow" w:hAnsi="Arial Narrow" w:cs="Arial"/>
                <w:bCs/>
              </w:rPr>
              <w:t xml:space="preserve"> not achieve the app target of </w:t>
            </w:r>
            <w:r w:rsidR="00A11481" w:rsidRPr="00A11481">
              <w:rPr>
                <w:rFonts w:ascii="Arial Narrow" w:hAnsi="Arial Narrow" w:cs="Arial"/>
                <w:bCs/>
              </w:rPr>
              <w:t>20% of the organizational structure</w:t>
            </w:r>
            <w:r w:rsidR="00BE1DD9">
              <w:rPr>
                <w:rFonts w:ascii="Arial Narrow" w:hAnsi="Arial Narrow" w:cs="Arial"/>
                <w:bCs/>
              </w:rPr>
              <w:t xml:space="preserve"> to be</w:t>
            </w:r>
            <w:r w:rsidR="00A11481" w:rsidRPr="00A11481">
              <w:rPr>
                <w:rFonts w:ascii="Arial Narrow" w:hAnsi="Arial Narrow" w:cs="Arial"/>
                <w:bCs/>
              </w:rPr>
              <w:t xml:space="preserve"> implemented in line with the revised </w:t>
            </w:r>
            <w:r w:rsidR="00BE1DD9" w:rsidRPr="00A11481">
              <w:rPr>
                <w:rFonts w:ascii="Arial Narrow" w:hAnsi="Arial Narrow" w:cs="Arial"/>
                <w:bCs/>
              </w:rPr>
              <w:t>strategy</w:t>
            </w:r>
            <w:r w:rsidR="00BE1DD9">
              <w:rPr>
                <w:rFonts w:ascii="Arial Narrow" w:hAnsi="Arial Narrow" w:cs="Arial"/>
                <w:bCs/>
              </w:rPr>
              <w:t xml:space="preserve">, was </w:t>
            </w:r>
            <w:r w:rsidR="0096414A" w:rsidRPr="0058194F">
              <w:rPr>
                <w:rFonts w:ascii="Arial Narrow" w:hAnsi="Arial Narrow" w:cs="Arial"/>
                <w:bCs/>
              </w:rPr>
              <w:t xml:space="preserve">due to </w:t>
            </w:r>
            <w:r w:rsidR="006A397D" w:rsidRPr="006A397D">
              <w:rPr>
                <w:rFonts w:ascii="Arial Narrow" w:hAnsi="Arial Narrow" w:cs="Arial"/>
                <w:bCs/>
                <w:lang w:val="en-ZA"/>
              </w:rPr>
              <w:t>The structure has not been finalised. The Department has approached DPSA for access to the Job Evaluation System, in order to commence with the same</w:t>
            </w:r>
            <w:r w:rsidR="006A397D">
              <w:rPr>
                <w:rFonts w:ascii="Arial Narrow" w:hAnsi="Arial Narrow" w:cs="Arial"/>
                <w:bCs/>
                <w:lang w:val="en-ZA"/>
              </w:rPr>
              <w:t>.</w:t>
            </w:r>
          </w:p>
          <w:p w14:paraId="5C457AE4" w14:textId="77777777" w:rsidR="006A397D" w:rsidRPr="006A397D" w:rsidRDefault="006A397D" w:rsidP="006A397D">
            <w:pPr>
              <w:pStyle w:val="ListParagraph"/>
              <w:spacing w:line="360" w:lineRule="auto"/>
              <w:rPr>
                <w:rFonts w:ascii="Arial Narrow" w:hAnsi="Arial Narrow" w:cs="Arial"/>
                <w:bCs/>
                <w:lang w:val="en-ZA"/>
              </w:rPr>
            </w:pPr>
            <w:r w:rsidRPr="006A397D">
              <w:rPr>
                <w:rFonts w:ascii="Arial Narrow" w:hAnsi="Arial Narrow" w:cs="Arial"/>
                <w:bCs/>
              </w:rPr>
              <w:t>The 90% of the identified jobs have been subjected to job evaluation with the remainder scheduled to be completed in the first week of April 2022.</w:t>
            </w:r>
          </w:p>
          <w:p w14:paraId="67BDF154" w14:textId="1BB42D21" w:rsidR="0096414A" w:rsidRPr="0058194F" w:rsidRDefault="003F38D1" w:rsidP="00C93E82">
            <w:pPr>
              <w:pStyle w:val="ListParagraph"/>
              <w:numPr>
                <w:ilvl w:val="0"/>
                <w:numId w:val="9"/>
              </w:numPr>
              <w:spacing w:line="360" w:lineRule="auto"/>
              <w:rPr>
                <w:rFonts w:ascii="Arial Narrow" w:hAnsi="Arial Narrow" w:cs="Arial"/>
                <w:bCs/>
              </w:rPr>
            </w:pPr>
            <w:r w:rsidRPr="0058194F">
              <w:rPr>
                <w:rFonts w:ascii="Arial Narrow" w:hAnsi="Arial Narrow" w:cs="Arial"/>
                <w:bCs/>
              </w:rPr>
              <w:t>Furthermore,</w:t>
            </w:r>
            <w:r w:rsidR="0096414A" w:rsidRPr="0058194F">
              <w:rPr>
                <w:rFonts w:ascii="Arial Narrow" w:hAnsi="Arial Narrow" w:cs="Arial"/>
                <w:bCs/>
              </w:rPr>
              <w:t xml:space="preserve"> the Department did not achieve the target </w:t>
            </w:r>
            <w:r w:rsidR="00141B32" w:rsidRPr="0058194F">
              <w:rPr>
                <w:rFonts w:ascii="Arial Narrow" w:hAnsi="Arial Narrow" w:cs="Arial"/>
                <w:bCs/>
              </w:rPr>
              <w:t xml:space="preserve">of </w:t>
            </w:r>
            <w:r w:rsidR="00B913C5" w:rsidRPr="00B913C5">
              <w:rPr>
                <w:rFonts w:ascii="Arial Narrow" w:hAnsi="Arial Narrow" w:cs="Arial"/>
                <w:bCs/>
              </w:rPr>
              <w:t>50% Women in SMS positions</w:t>
            </w:r>
            <w:r w:rsidR="00D33EFD">
              <w:rPr>
                <w:rFonts w:ascii="Arial Narrow" w:hAnsi="Arial Narrow" w:cs="Arial"/>
                <w:bCs/>
              </w:rPr>
              <w:t xml:space="preserve"> due to the</w:t>
            </w:r>
            <w:r w:rsidR="00166DF8" w:rsidRPr="00166DF8">
              <w:rPr>
                <w:rFonts w:ascii="Arial Narrow" w:hAnsi="Arial Narrow" w:cs="Arial"/>
                <w:bCs/>
              </w:rPr>
              <w:t xml:space="preserve"> Department started on the baseline of 65% male in the establishment after demerger with housing. The ratio between male and female against available vacancy was already negative. The 50/50 equity can only be achieved over years as males exit through natural attrition.</w:t>
            </w:r>
            <w:r w:rsidR="009C1CD3" w:rsidRPr="009C1CD3">
              <w:rPr>
                <w:rFonts w:asciiTheme="minorHAnsi" w:eastAsiaTheme="minorHAnsi" w:hAnsiTheme="minorHAnsi" w:cstheme="minorBidi"/>
                <w:lang w:val="en-ZA"/>
              </w:rPr>
              <w:t xml:space="preserve"> </w:t>
            </w:r>
            <w:r w:rsidR="009C1CD3" w:rsidRPr="009C1CD3">
              <w:rPr>
                <w:rFonts w:ascii="Arial Narrow" w:hAnsi="Arial Narrow" w:cs="Arial"/>
                <w:bCs/>
              </w:rPr>
              <w:t>The Department currently has in its employ 35% of women at SMS level.</w:t>
            </w:r>
          </w:p>
          <w:p w14:paraId="3B49EC32" w14:textId="77777777" w:rsidR="00D22878" w:rsidRDefault="007530F3" w:rsidP="00C93E82">
            <w:pPr>
              <w:pStyle w:val="ListParagraph"/>
              <w:numPr>
                <w:ilvl w:val="0"/>
                <w:numId w:val="9"/>
              </w:numPr>
              <w:spacing w:line="360" w:lineRule="auto"/>
              <w:rPr>
                <w:rFonts w:ascii="Arial Narrow" w:hAnsi="Arial Narrow" w:cs="Arial"/>
                <w:bCs/>
              </w:rPr>
            </w:pPr>
            <w:r w:rsidRPr="0058194F">
              <w:rPr>
                <w:rFonts w:ascii="Arial Narrow" w:hAnsi="Arial Narrow" w:cs="Arial"/>
                <w:bCs/>
              </w:rPr>
              <w:t xml:space="preserve">The </w:t>
            </w:r>
            <w:r w:rsidR="009D6441" w:rsidRPr="0058194F">
              <w:rPr>
                <w:rFonts w:ascii="Arial Narrow" w:hAnsi="Arial Narrow" w:cs="Arial"/>
                <w:bCs/>
              </w:rPr>
              <w:t xml:space="preserve">Department did not achieve </w:t>
            </w:r>
            <w:r w:rsidR="001A4C19" w:rsidRPr="001A4C19">
              <w:rPr>
                <w:rFonts w:ascii="Arial Narrow" w:hAnsi="Arial Narrow" w:cs="Arial"/>
                <w:bCs/>
              </w:rPr>
              <w:t xml:space="preserve">Employment Equity target </w:t>
            </w:r>
            <w:r w:rsidR="00050023">
              <w:rPr>
                <w:rFonts w:ascii="Arial Narrow" w:hAnsi="Arial Narrow" w:cs="Arial"/>
                <w:bCs/>
              </w:rPr>
              <w:t xml:space="preserve"> of employing </w:t>
            </w:r>
            <w:r w:rsidR="00AB0ED4" w:rsidRPr="00AB0ED4">
              <w:rPr>
                <w:rFonts w:ascii="Arial Narrow" w:hAnsi="Arial Narrow" w:cs="Arial"/>
                <w:bCs/>
              </w:rPr>
              <w:t>4% People with disabilities.</w:t>
            </w:r>
            <w:r w:rsidR="009D6441" w:rsidRPr="0058194F">
              <w:rPr>
                <w:rFonts w:ascii="Arial Narrow" w:hAnsi="Arial Narrow" w:cs="Arial"/>
                <w:bCs/>
              </w:rPr>
              <w:t xml:space="preserve"> </w:t>
            </w:r>
            <w:r w:rsidR="00D22878" w:rsidRPr="00D22878">
              <w:rPr>
                <w:rFonts w:ascii="Arial Narrow" w:hAnsi="Arial Narrow" w:cs="Arial"/>
                <w:bCs/>
              </w:rPr>
              <w:t xml:space="preserve">The Department have since achieved the national target of 2% from 1.5% but will strive to reach the 4% provincial target over time, the same is being seriously impacted by not having offices since 2018, space that is suitable or/ configured to accommodate persons living with disabilities.  </w:t>
            </w:r>
          </w:p>
          <w:p w14:paraId="0306D50A" w14:textId="74EA897A" w:rsidR="00586F74" w:rsidRPr="0058194F" w:rsidRDefault="004B48B2" w:rsidP="00C93E82">
            <w:pPr>
              <w:pStyle w:val="ListParagraph"/>
              <w:numPr>
                <w:ilvl w:val="0"/>
                <w:numId w:val="9"/>
              </w:numPr>
              <w:spacing w:line="360" w:lineRule="auto"/>
              <w:rPr>
                <w:rFonts w:ascii="Arial Narrow" w:hAnsi="Arial Narrow" w:cs="Arial"/>
                <w:bCs/>
              </w:rPr>
            </w:pPr>
            <w:r w:rsidRPr="0058194F">
              <w:rPr>
                <w:rFonts w:ascii="Arial Narrow" w:hAnsi="Arial Narrow" w:cs="Arial"/>
                <w:bCs/>
              </w:rPr>
              <w:t xml:space="preserve">The Department achieve </w:t>
            </w:r>
            <w:r w:rsidR="00404AC1">
              <w:rPr>
                <w:rFonts w:ascii="Arial Narrow" w:hAnsi="Arial Narrow" w:cs="Arial"/>
                <w:bCs/>
              </w:rPr>
              <w:t xml:space="preserve">97% of 100% target </w:t>
            </w:r>
            <w:r w:rsidR="005B0D24" w:rsidRPr="005B0D24">
              <w:rPr>
                <w:rFonts w:ascii="Arial Narrow" w:hAnsi="Arial Narrow" w:cs="Arial"/>
                <w:bCs/>
              </w:rPr>
              <w:t>of invoices paid in 15 days</w:t>
            </w:r>
            <w:r w:rsidR="00404AC1">
              <w:rPr>
                <w:rFonts w:ascii="Arial Narrow" w:hAnsi="Arial Narrow" w:cs="Arial"/>
                <w:bCs/>
              </w:rPr>
              <w:t xml:space="preserve">. </w:t>
            </w:r>
            <w:r w:rsidR="00A5732B">
              <w:rPr>
                <w:rFonts w:ascii="Arial Narrow" w:hAnsi="Arial Narrow" w:cs="Arial"/>
                <w:bCs/>
              </w:rPr>
              <w:t xml:space="preserve">The reason for the partial achievement was due to </w:t>
            </w:r>
            <w:r w:rsidR="00563F34">
              <w:rPr>
                <w:rFonts w:ascii="Arial Narrow" w:hAnsi="Arial Narrow" w:cs="Arial"/>
                <w:bCs/>
              </w:rPr>
              <w:t>the p</w:t>
            </w:r>
            <w:r w:rsidR="00563F34" w:rsidRPr="00563F34">
              <w:rPr>
                <w:rFonts w:ascii="Arial Narrow" w:hAnsi="Arial Narrow" w:cs="Arial"/>
                <w:bCs/>
              </w:rPr>
              <w:t>ayment system downtime which led to runs being delayed. Prolonged runs due to SITA technical problems.</w:t>
            </w:r>
          </w:p>
          <w:p w14:paraId="0E11A226" w14:textId="77777777" w:rsidR="00AC2320" w:rsidRDefault="00362D9A" w:rsidP="00C93E82">
            <w:pPr>
              <w:pStyle w:val="ListParagraph"/>
              <w:numPr>
                <w:ilvl w:val="0"/>
                <w:numId w:val="9"/>
              </w:numPr>
              <w:spacing w:line="360" w:lineRule="auto"/>
              <w:rPr>
                <w:rFonts w:ascii="Arial Narrow" w:hAnsi="Arial Narrow" w:cs="Arial"/>
                <w:bCs/>
              </w:rPr>
            </w:pPr>
            <w:r>
              <w:rPr>
                <w:rFonts w:ascii="Arial Narrow" w:hAnsi="Arial Narrow" w:cs="Arial"/>
                <w:bCs/>
              </w:rPr>
              <w:t xml:space="preserve">The Department achieving </w:t>
            </w:r>
            <w:r w:rsidRPr="00362D9A">
              <w:rPr>
                <w:rFonts w:ascii="Arial Narrow" w:hAnsi="Arial Narrow" w:cs="Arial"/>
                <w:bCs/>
              </w:rPr>
              <w:t>20%</w:t>
            </w:r>
            <w:r>
              <w:rPr>
                <w:rFonts w:ascii="Arial Narrow" w:hAnsi="Arial Narrow" w:cs="Arial"/>
                <w:bCs/>
              </w:rPr>
              <w:t xml:space="preserve"> of 40%</w:t>
            </w:r>
            <w:r w:rsidRPr="00362D9A">
              <w:rPr>
                <w:rFonts w:ascii="Arial Narrow" w:hAnsi="Arial Narrow" w:cs="Arial"/>
                <w:bCs/>
              </w:rPr>
              <w:t xml:space="preserve"> of procurement from women owned companies.</w:t>
            </w:r>
            <w:r w:rsidR="00905836">
              <w:rPr>
                <w:rFonts w:ascii="Arial Narrow" w:hAnsi="Arial Narrow" w:cs="Arial"/>
                <w:bCs/>
              </w:rPr>
              <w:t xml:space="preserve"> However, </w:t>
            </w:r>
            <w:r w:rsidR="00D44CFE">
              <w:rPr>
                <w:rFonts w:ascii="Arial Narrow" w:hAnsi="Arial Narrow" w:cs="Arial"/>
                <w:bCs/>
              </w:rPr>
              <w:t>w</w:t>
            </w:r>
            <w:r w:rsidR="00905836" w:rsidRPr="00905836">
              <w:rPr>
                <w:rFonts w:ascii="Arial Narrow" w:hAnsi="Arial Narrow" w:cs="Arial"/>
                <w:bCs/>
              </w:rPr>
              <w:t>ith the suspension of regulation 4 and 9 of the PPPFA, the SCM could not advertise any tenders that were targeting woman owned companies, however, this was done through the bids that were below R500.000(RFQ) which consisted of a small percentage of the budget of goods and services</w:t>
            </w:r>
          </w:p>
          <w:p w14:paraId="6B4BD1A3" w14:textId="2E75DDE7" w:rsidR="00D44CFE" w:rsidRPr="0058194F" w:rsidRDefault="00063E35" w:rsidP="00C93E82">
            <w:pPr>
              <w:pStyle w:val="ListParagraph"/>
              <w:numPr>
                <w:ilvl w:val="0"/>
                <w:numId w:val="9"/>
              </w:numPr>
              <w:spacing w:line="360" w:lineRule="auto"/>
              <w:rPr>
                <w:rFonts w:ascii="Arial Narrow" w:hAnsi="Arial Narrow" w:cs="Arial"/>
                <w:bCs/>
              </w:rPr>
            </w:pPr>
            <w:r>
              <w:rPr>
                <w:rFonts w:ascii="Arial Narrow" w:hAnsi="Arial Narrow" w:cs="Arial"/>
                <w:bCs/>
              </w:rPr>
              <w:t xml:space="preserve">The Department could not achieve the target of </w:t>
            </w:r>
            <w:r w:rsidR="00CB28CD">
              <w:rPr>
                <w:rFonts w:ascii="Arial Narrow" w:hAnsi="Arial Narrow" w:cs="Arial"/>
                <w:bCs/>
              </w:rPr>
              <w:t xml:space="preserve">monitoring </w:t>
            </w:r>
            <w:r w:rsidRPr="00063E35">
              <w:rPr>
                <w:rFonts w:ascii="Arial Narrow" w:hAnsi="Arial Narrow" w:cs="Arial"/>
                <w:bCs/>
              </w:rPr>
              <w:t xml:space="preserve">3 Municipalities on the implementation of GBVF responsive </w:t>
            </w:r>
            <w:r w:rsidR="00CB28CD" w:rsidRPr="00063E35">
              <w:rPr>
                <w:rFonts w:ascii="Arial Narrow" w:hAnsi="Arial Narrow" w:cs="Arial"/>
                <w:bCs/>
              </w:rPr>
              <w:t>Programmes</w:t>
            </w:r>
            <w:r w:rsidRPr="00063E35">
              <w:rPr>
                <w:rFonts w:ascii="Arial Narrow" w:hAnsi="Arial Narrow" w:cs="Arial"/>
                <w:bCs/>
              </w:rPr>
              <w:t>.</w:t>
            </w:r>
            <w:r w:rsidR="006B57AB">
              <w:rPr>
                <w:rFonts w:ascii="Arial Narrow" w:hAnsi="Arial Narrow" w:cs="Arial"/>
                <w:bCs/>
              </w:rPr>
              <w:t xml:space="preserve"> The Department will </w:t>
            </w:r>
            <w:r w:rsidR="00481A1A">
              <w:rPr>
                <w:rFonts w:ascii="Arial Narrow" w:hAnsi="Arial Narrow" w:cs="Arial"/>
                <w:bCs/>
              </w:rPr>
              <w:t>r</w:t>
            </w:r>
            <w:r w:rsidR="006B57AB" w:rsidRPr="006B57AB">
              <w:rPr>
                <w:rFonts w:ascii="Arial Narrow" w:hAnsi="Arial Narrow" w:cs="Arial"/>
                <w:bCs/>
              </w:rPr>
              <w:t>eview strategic location and appropriate capacity requirements to address this target in next Financial Year.</w:t>
            </w:r>
          </w:p>
        </w:tc>
      </w:tr>
      <w:tr w:rsidR="007B55E7" w:rsidRPr="001619AC" w14:paraId="51F24B88" w14:textId="77777777" w:rsidTr="004E75A7">
        <w:tc>
          <w:tcPr>
            <w:tcW w:w="13892" w:type="dxa"/>
            <w:shd w:val="clear" w:color="auto" w:fill="D9D9D9" w:themeFill="background1" w:themeFillShade="D9"/>
          </w:tcPr>
          <w:p w14:paraId="2B4D5CEA" w14:textId="77777777" w:rsidR="007B55E7" w:rsidRPr="001619AC" w:rsidRDefault="007B55E7" w:rsidP="000F7DFB">
            <w:pPr>
              <w:rPr>
                <w:rFonts w:ascii="Arial Narrow" w:hAnsi="Arial Narrow" w:cs="Arial Narrow"/>
                <w:b/>
              </w:rPr>
            </w:pPr>
            <w:r w:rsidRPr="001619AC">
              <w:rPr>
                <w:rFonts w:ascii="Arial Narrow" w:hAnsi="Arial Narrow" w:cs="Arial Narrow"/>
                <w:b/>
              </w:rPr>
              <w:t>Measures in place (with timeframes) to correct the deviation in targets for this Quarter and to prevent recurrence of such or similar deviation</w:t>
            </w:r>
          </w:p>
        </w:tc>
      </w:tr>
      <w:tr w:rsidR="007B55E7" w:rsidRPr="001619AC" w14:paraId="14977CC4" w14:textId="77777777" w:rsidTr="000F7DFB">
        <w:tc>
          <w:tcPr>
            <w:tcW w:w="13892" w:type="dxa"/>
          </w:tcPr>
          <w:p w14:paraId="5D1674B8" w14:textId="500A7ABB" w:rsidR="00205F5F" w:rsidRDefault="00205F5F" w:rsidP="00F81DCB">
            <w:pPr>
              <w:spacing w:line="276" w:lineRule="auto"/>
              <w:rPr>
                <w:rFonts w:ascii="Arial Narrow" w:hAnsi="Arial Narrow" w:cs="Arial"/>
                <w:bCs/>
                <w:lang w:val="en-GB"/>
              </w:rPr>
            </w:pPr>
            <w:r w:rsidRPr="001619AC">
              <w:rPr>
                <w:rFonts w:ascii="Arial Narrow" w:hAnsi="Arial Narrow" w:cs="Arial"/>
                <w:bCs/>
                <w:lang w:val="en-GB"/>
              </w:rPr>
              <w:t xml:space="preserve">The Department </w:t>
            </w:r>
            <w:r w:rsidR="00220AE6" w:rsidRPr="001619AC">
              <w:rPr>
                <w:rFonts w:ascii="Arial Narrow" w:hAnsi="Arial Narrow" w:cs="Arial"/>
                <w:bCs/>
                <w:lang w:val="en-GB"/>
              </w:rPr>
              <w:t xml:space="preserve">reported </w:t>
            </w:r>
            <w:r w:rsidR="00585129">
              <w:rPr>
                <w:rFonts w:ascii="Arial Narrow" w:hAnsi="Arial Narrow" w:cs="Arial"/>
                <w:bCs/>
                <w:lang w:val="en-GB"/>
              </w:rPr>
              <w:t xml:space="preserve">to </w:t>
            </w:r>
            <w:r w:rsidR="004B1001" w:rsidRPr="001619AC">
              <w:rPr>
                <w:rFonts w:ascii="Arial Narrow" w:hAnsi="Arial Narrow" w:cs="Arial"/>
                <w:bCs/>
                <w:lang w:val="en-GB"/>
              </w:rPr>
              <w:t>implement</w:t>
            </w:r>
            <w:r w:rsidR="000917BE">
              <w:rPr>
                <w:rFonts w:ascii="Arial Narrow" w:hAnsi="Arial Narrow" w:cs="Arial"/>
                <w:bCs/>
                <w:lang w:val="en-GB"/>
              </w:rPr>
              <w:t xml:space="preserve"> the following </w:t>
            </w:r>
            <w:r w:rsidR="000917BE" w:rsidRPr="000917BE">
              <w:rPr>
                <w:rFonts w:ascii="Arial Narrow" w:hAnsi="Arial Narrow" w:cs="Arial"/>
                <w:bCs/>
                <w:lang w:val="en-GB"/>
              </w:rPr>
              <w:t xml:space="preserve">mitigating measures </w:t>
            </w:r>
            <w:r w:rsidR="00220AE6" w:rsidRPr="001619AC">
              <w:rPr>
                <w:rFonts w:ascii="Arial Narrow" w:hAnsi="Arial Narrow" w:cs="Arial"/>
                <w:bCs/>
                <w:lang w:val="en-GB"/>
              </w:rPr>
              <w:t xml:space="preserve"> </w:t>
            </w:r>
            <w:r w:rsidRPr="001619AC">
              <w:rPr>
                <w:rFonts w:ascii="Arial Narrow" w:hAnsi="Arial Narrow" w:cs="Arial"/>
                <w:bCs/>
                <w:lang w:val="en-GB"/>
              </w:rPr>
              <w:t xml:space="preserve">to remedy the </w:t>
            </w:r>
            <w:r w:rsidR="004B1001">
              <w:rPr>
                <w:rFonts w:ascii="Arial Narrow" w:hAnsi="Arial Narrow" w:cs="Arial"/>
                <w:bCs/>
                <w:lang w:val="en-GB"/>
              </w:rPr>
              <w:t>deviated targets:</w:t>
            </w:r>
          </w:p>
          <w:p w14:paraId="20A5DB40" w14:textId="5FFBC5F2" w:rsidR="002F5430" w:rsidRDefault="004159DD" w:rsidP="00C93E82">
            <w:pPr>
              <w:pStyle w:val="ListParagraph"/>
              <w:numPr>
                <w:ilvl w:val="0"/>
                <w:numId w:val="10"/>
              </w:numPr>
              <w:rPr>
                <w:rFonts w:ascii="Arial Narrow" w:hAnsi="Arial Narrow" w:cs="Arial"/>
                <w:bCs/>
                <w:lang w:val="en-GB"/>
              </w:rPr>
            </w:pPr>
            <w:r>
              <w:rPr>
                <w:rFonts w:ascii="Arial Narrow" w:hAnsi="Arial Narrow" w:cs="Arial"/>
                <w:bCs/>
                <w:lang w:val="en-GB"/>
              </w:rPr>
              <w:t>E</w:t>
            </w:r>
            <w:r w:rsidR="002F5430" w:rsidRPr="002F5430">
              <w:rPr>
                <w:rFonts w:ascii="Arial Narrow" w:hAnsi="Arial Narrow" w:cs="Arial"/>
                <w:bCs/>
                <w:lang w:val="en-GB"/>
              </w:rPr>
              <w:t>valuate</w:t>
            </w:r>
            <w:r w:rsidR="00D62E3B">
              <w:rPr>
                <w:rFonts w:ascii="Arial Narrow" w:hAnsi="Arial Narrow" w:cs="Arial"/>
                <w:bCs/>
                <w:lang w:val="en-GB"/>
              </w:rPr>
              <w:t>d</w:t>
            </w:r>
            <w:r w:rsidR="002F5430" w:rsidRPr="002F5430">
              <w:rPr>
                <w:rFonts w:ascii="Arial Narrow" w:hAnsi="Arial Narrow" w:cs="Arial"/>
                <w:bCs/>
                <w:lang w:val="en-GB"/>
              </w:rPr>
              <w:t xml:space="preserve"> and quality assure</w:t>
            </w:r>
            <w:r w:rsidR="00D62E3B">
              <w:rPr>
                <w:rFonts w:ascii="Arial Narrow" w:hAnsi="Arial Narrow" w:cs="Arial"/>
                <w:bCs/>
                <w:lang w:val="en-GB"/>
              </w:rPr>
              <w:t>d</w:t>
            </w:r>
            <w:r w:rsidR="002F5430" w:rsidRPr="002F5430">
              <w:rPr>
                <w:rFonts w:ascii="Arial Narrow" w:hAnsi="Arial Narrow" w:cs="Arial"/>
                <w:bCs/>
                <w:lang w:val="en-GB"/>
              </w:rPr>
              <w:t xml:space="preserve"> job descriptions will be presented to the Provincial Job Evaluation Committee for presentation and approval.</w:t>
            </w:r>
          </w:p>
          <w:p w14:paraId="3B76029F" w14:textId="0F12E299" w:rsidR="002F5430" w:rsidRDefault="00783283" w:rsidP="00C93E82">
            <w:pPr>
              <w:pStyle w:val="ListParagraph"/>
              <w:numPr>
                <w:ilvl w:val="0"/>
                <w:numId w:val="10"/>
              </w:numPr>
              <w:rPr>
                <w:rFonts w:ascii="Arial Narrow" w:hAnsi="Arial Narrow" w:cs="Arial"/>
                <w:bCs/>
                <w:lang w:val="en-GB"/>
              </w:rPr>
            </w:pPr>
            <w:r w:rsidRPr="00783283">
              <w:rPr>
                <w:rFonts w:ascii="Arial Narrow" w:hAnsi="Arial Narrow" w:cs="Arial"/>
                <w:bCs/>
                <w:lang w:val="en-GB"/>
              </w:rPr>
              <w:lastRenderedPageBreak/>
              <w:t>All vacant SMS position will strictly target female candidates. The Department and OoP have agreed that the Department will show incremental trajectory on SMS Female representation over time.</w:t>
            </w:r>
          </w:p>
          <w:p w14:paraId="2E4E5009" w14:textId="603CA25A" w:rsidR="00A65C94" w:rsidRDefault="00D04DD8" w:rsidP="00C93E82">
            <w:pPr>
              <w:pStyle w:val="ListParagraph"/>
              <w:numPr>
                <w:ilvl w:val="0"/>
                <w:numId w:val="10"/>
              </w:numPr>
              <w:rPr>
                <w:rFonts w:ascii="Arial Narrow" w:hAnsi="Arial Narrow" w:cs="Arial"/>
                <w:bCs/>
                <w:lang w:val="en-GB"/>
              </w:rPr>
            </w:pPr>
            <w:r w:rsidRPr="00D04DD8">
              <w:rPr>
                <w:rFonts w:ascii="Arial Narrow" w:hAnsi="Arial Narrow" w:cs="Arial"/>
                <w:bCs/>
                <w:lang w:val="en-GB"/>
              </w:rPr>
              <w:t> </w:t>
            </w:r>
            <w:r w:rsidR="00783283" w:rsidRPr="00783283">
              <w:rPr>
                <w:rFonts w:ascii="Arial Narrow" w:hAnsi="Arial Narrow" w:cs="Arial"/>
                <w:bCs/>
                <w:lang w:val="en-GB"/>
              </w:rPr>
              <w:t xml:space="preserve">As the department enters the recruitment drive it will strongly target and consider inherent requirement of job, persons with disabilities are being prioritized. The Dept and OoP have agreed that the department will continue to show incremental trajectory over time.  </w:t>
            </w:r>
          </w:p>
          <w:p w14:paraId="51B09A2B" w14:textId="77777777" w:rsidR="00D20F95" w:rsidRDefault="00D20F95" w:rsidP="00C93E82">
            <w:pPr>
              <w:pStyle w:val="ListParagraph"/>
              <w:numPr>
                <w:ilvl w:val="0"/>
                <w:numId w:val="10"/>
              </w:numPr>
              <w:rPr>
                <w:rFonts w:ascii="Arial Narrow" w:hAnsi="Arial Narrow" w:cs="Arial"/>
                <w:bCs/>
                <w:lang w:val="en-GB"/>
              </w:rPr>
            </w:pPr>
            <w:r w:rsidRPr="00D20F95">
              <w:rPr>
                <w:rFonts w:ascii="Arial Narrow" w:hAnsi="Arial Narrow" w:cs="Arial"/>
                <w:bCs/>
                <w:lang w:val="en-GB"/>
              </w:rPr>
              <w:t>The invoices were paid within 30 days and not 15 days, but they have been processed.</w:t>
            </w:r>
          </w:p>
          <w:p w14:paraId="0EBC5A09" w14:textId="77777777" w:rsidR="006C3E18" w:rsidRDefault="00B425CC" w:rsidP="00C93E82">
            <w:pPr>
              <w:pStyle w:val="ListParagraph"/>
              <w:numPr>
                <w:ilvl w:val="0"/>
                <w:numId w:val="10"/>
              </w:numPr>
              <w:rPr>
                <w:rFonts w:ascii="Arial Narrow" w:hAnsi="Arial Narrow" w:cs="Arial"/>
                <w:bCs/>
                <w:lang w:val="en-GB"/>
              </w:rPr>
            </w:pPr>
            <w:r w:rsidRPr="00B425CC">
              <w:rPr>
                <w:rFonts w:ascii="Arial Narrow" w:hAnsi="Arial Narrow" w:cs="Arial"/>
                <w:bCs/>
                <w:lang w:val="en-GB"/>
              </w:rPr>
              <w:t>The Department will keep looking for innovative ways to achieve this target.</w:t>
            </w:r>
          </w:p>
          <w:p w14:paraId="1BD7CF80" w14:textId="77777777" w:rsidR="00B425CC" w:rsidRDefault="000B4151" w:rsidP="00C93E82">
            <w:pPr>
              <w:pStyle w:val="ListParagraph"/>
              <w:numPr>
                <w:ilvl w:val="0"/>
                <w:numId w:val="10"/>
              </w:numPr>
              <w:rPr>
                <w:rFonts w:ascii="Arial Narrow" w:hAnsi="Arial Narrow" w:cs="Arial"/>
                <w:bCs/>
                <w:lang w:val="en-GB"/>
              </w:rPr>
            </w:pPr>
            <w:r w:rsidRPr="000B4151">
              <w:rPr>
                <w:rFonts w:ascii="Arial Narrow" w:hAnsi="Arial Narrow" w:cs="Arial"/>
                <w:bCs/>
                <w:lang w:val="en-GB"/>
              </w:rPr>
              <w:t>The targets will be moved to the next financial year.</w:t>
            </w:r>
          </w:p>
          <w:p w14:paraId="57488808" w14:textId="3A1634C3" w:rsidR="000B4151" w:rsidRPr="002266B8" w:rsidRDefault="006968EE" w:rsidP="00C93E82">
            <w:pPr>
              <w:pStyle w:val="ListParagraph"/>
              <w:numPr>
                <w:ilvl w:val="0"/>
                <w:numId w:val="10"/>
              </w:numPr>
              <w:rPr>
                <w:rFonts w:ascii="Arial Narrow" w:hAnsi="Arial Narrow" w:cs="Arial"/>
                <w:bCs/>
                <w:lang w:val="en-GB"/>
              </w:rPr>
            </w:pPr>
            <w:r w:rsidRPr="006968EE">
              <w:rPr>
                <w:rFonts w:ascii="Arial Narrow" w:hAnsi="Arial Narrow" w:cs="Arial"/>
                <w:bCs/>
                <w:lang w:val="en-GB"/>
              </w:rPr>
              <w:t>Review strategic location and appropriate capacity requirements to address this target in next Financial Year.</w:t>
            </w:r>
          </w:p>
        </w:tc>
      </w:tr>
      <w:tr w:rsidR="007B55E7" w:rsidRPr="001619AC" w14:paraId="3EDF7C24" w14:textId="77777777" w:rsidTr="004E75A7">
        <w:tc>
          <w:tcPr>
            <w:tcW w:w="13892" w:type="dxa"/>
            <w:shd w:val="clear" w:color="auto" w:fill="D9D9D9" w:themeFill="background1" w:themeFillShade="D9"/>
          </w:tcPr>
          <w:p w14:paraId="129A2739" w14:textId="4C618AC8" w:rsidR="007B55E7" w:rsidRPr="001619AC" w:rsidRDefault="007B55E7" w:rsidP="000F7DFB">
            <w:pPr>
              <w:rPr>
                <w:rFonts w:ascii="Arial Narrow" w:hAnsi="Arial Narrow" w:cs="Arial Narrow"/>
                <w:b/>
              </w:rPr>
            </w:pPr>
            <w:r w:rsidRPr="001619AC">
              <w:rPr>
                <w:rFonts w:ascii="Arial Narrow" w:hAnsi="Arial Narrow" w:cs="Arial Narrow"/>
                <w:b/>
              </w:rPr>
              <w:t xml:space="preserve">A summarized analysis on the </w:t>
            </w:r>
            <w:r w:rsidR="00D74068" w:rsidRPr="001619AC">
              <w:rPr>
                <w:rFonts w:ascii="Arial Narrow" w:hAnsi="Arial Narrow" w:cs="Arial Narrow"/>
                <w:b/>
              </w:rPr>
              <w:t>Department / Entity</w:t>
            </w:r>
            <w:r w:rsidRPr="001619AC">
              <w:rPr>
                <w:rFonts w:ascii="Arial Narrow" w:hAnsi="Arial Narrow" w:cs="Arial Narrow"/>
                <w:b/>
              </w:rPr>
              <w:t xml:space="preserve"> performance per Programme for the period under review</w:t>
            </w:r>
          </w:p>
        </w:tc>
      </w:tr>
      <w:tr w:rsidR="001619AC" w:rsidRPr="001619AC" w14:paraId="048D7C1E" w14:textId="77777777" w:rsidTr="000F7DFB">
        <w:tc>
          <w:tcPr>
            <w:tcW w:w="13892" w:type="dxa"/>
          </w:tcPr>
          <w:p w14:paraId="2557E05A" w14:textId="564163D4" w:rsidR="008C7818" w:rsidRPr="0049235F" w:rsidRDefault="008C7818" w:rsidP="0048414F">
            <w:pPr>
              <w:spacing w:after="200" w:line="276" w:lineRule="auto"/>
              <w:contextualSpacing/>
              <w:rPr>
                <w:rFonts w:ascii="Arial Narrow" w:eastAsiaTheme="minorEastAsia" w:hAnsi="Arial Narrow"/>
                <w:b/>
                <w:bCs/>
                <w:lang w:eastAsia="en-ZA"/>
              </w:rPr>
            </w:pPr>
            <w:r w:rsidRPr="0049235F">
              <w:rPr>
                <w:rFonts w:ascii="Arial Narrow" w:eastAsiaTheme="minorEastAsia" w:hAnsi="Arial Narrow"/>
                <w:b/>
                <w:bCs/>
                <w:lang w:eastAsia="en-ZA"/>
              </w:rPr>
              <w:t xml:space="preserve">PROGRAMME 1: ADMINISTRATION </w:t>
            </w:r>
          </w:p>
          <w:p w14:paraId="66CCE6FA" w14:textId="2B5FD9BE" w:rsidR="009100EE" w:rsidRPr="009100EE" w:rsidRDefault="009100EE" w:rsidP="009100EE">
            <w:pPr>
              <w:spacing w:after="200" w:line="276" w:lineRule="auto"/>
              <w:contextualSpacing/>
              <w:rPr>
                <w:rFonts w:ascii="Arial Narrow" w:eastAsiaTheme="minorEastAsia" w:hAnsi="Arial Narrow"/>
                <w:i/>
                <w:lang w:eastAsia="en-ZA"/>
              </w:rPr>
            </w:pPr>
            <w:r w:rsidRPr="009100EE">
              <w:rPr>
                <w:rFonts w:ascii="Arial Narrow" w:eastAsiaTheme="minorEastAsia" w:hAnsi="Arial Narrow"/>
                <w:lang w:eastAsia="en-ZA"/>
              </w:rPr>
              <w:t xml:space="preserve">This programme is critical towards the realisation of </w:t>
            </w:r>
            <w:r w:rsidRPr="009100EE">
              <w:rPr>
                <w:rFonts w:ascii="Arial Narrow" w:eastAsiaTheme="minorEastAsia" w:hAnsi="Arial Narrow"/>
                <w:b/>
                <w:iCs/>
                <w:lang w:eastAsia="en-ZA"/>
              </w:rPr>
              <w:t xml:space="preserve">Outcome 12: Efficient, effective and development oriented public service and an empowered, </w:t>
            </w:r>
            <w:r w:rsidR="00141B32" w:rsidRPr="009100EE">
              <w:rPr>
                <w:rFonts w:ascii="Arial Narrow" w:eastAsiaTheme="minorEastAsia" w:hAnsi="Arial Narrow"/>
                <w:b/>
                <w:iCs/>
                <w:lang w:eastAsia="en-ZA"/>
              </w:rPr>
              <w:t>fair,</w:t>
            </w:r>
            <w:r w:rsidRPr="009100EE">
              <w:rPr>
                <w:rFonts w:ascii="Arial Narrow" w:eastAsiaTheme="minorEastAsia" w:hAnsi="Arial Narrow"/>
                <w:b/>
                <w:iCs/>
                <w:lang w:eastAsia="en-ZA"/>
              </w:rPr>
              <w:t xml:space="preserve"> and inclusive citizenship</w:t>
            </w:r>
            <w:r w:rsidRPr="009100EE">
              <w:rPr>
                <w:rFonts w:ascii="Arial Narrow" w:eastAsiaTheme="minorEastAsia" w:hAnsi="Arial Narrow"/>
                <w:iCs/>
                <w:lang w:eastAsia="en-ZA"/>
              </w:rPr>
              <w:t>.</w:t>
            </w:r>
            <w:r w:rsidRPr="009100EE">
              <w:rPr>
                <w:rFonts w:ascii="Arial Narrow" w:eastAsiaTheme="minorEastAsia" w:hAnsi="Arial Narrow"/>
                <w:i/>
                <w:lang w:eastAsia="en-ZA"/>
              </w:rPr>
              <w:t xml:space="preserve"> </w:t>
            </w:r>
          </w:p>
          <w:p w14:paraId="5DC5EF97" w14:textId="77777777" w:rsidR="009100EE" w:rsidRPr="009100EE" w:rsidRDefault="009100EE" w:rsidP="009100EE">
            <w:pPr>
              <w:spacing w:after="200" w:line="276" w:lineRule="auto"/>
              <w:contextualSpacing/>
              <w:rPr>
                <w:rFonts w:ascii="Arial Narrow" w:eastAsiaTheme="minorEastAsia" w:hAnsi="Arial Narrow"/>
                <w:lang w:eastAsia="en-ZA"/>
              </w:rPr>
            </w:pPr>
          </w:p>
          <w:p w14:paraId="0D856DD8" w14:textId="0B13640F" w:rsidR="009100EE" w:rsidRPr="009100EE" w:rsidRDefault="009100EE" w:rsidP="009100EE">
            <w:pPr>
              <w:spacing w:after="200" w:line="276" w:lineRule="auto"/>
              <w:contextualSpacing/>
              <w:rPr>
                <w:rFonts w:ascii="Arial Narrow" w:eastAsiaTheme="minorEastAsia" w:hAnsi="Arial Narrow"/>
                <w:lang w:eastAsia="en-ZA"/>
              </w:rPr>
            </w:pPr>
            <w:bookmarkStart w:id="10" w:name="_Hlk72406341"/>
            <w:r w:rsidRPr="009100EE">
              <w:rPr>
                <w:rFonts w:ascii="Arial Narrow" w:eastAsiaTheme="minorEastAsia" w:hAnsi="Arial Narrow"/>
                <w:b/>
                <w:iCs/>
                <w:u w:val="single"/>
                <w:lang w:eastAsia="en-ZA"/>
              </w:rPr>
              <w:t>Human Capital Management sub programme</w:t>
            </w:r>
          </w:p>
          <w:p w14:paraId="3D1D09FD" w14:textId="4A6EB311" w:rsidR="00066FB5" w:rsidRDefault="009100EE" w:rsidP="009100EE">
            <w:pPr>
              <w:spacing w:after="200" w:line="276" w:lineRule="auto"/>
              <w:contextualSpacing/>
              <w:rPr>
                <w:rFonts w:ascii="Arial Narrow" w:eastAsiaTheme="minorEastAsia" w:hAnsi="Arial Narrow"/>
                <w:lang w:eastAsia="en-ZA"/>
              </w:rPr>
            </w:pPr>
            <w:r w:rsidRPr="009100EE">
              <w:rPr>
                <w:rFonts w:ascii="Arial Narrow" w:eastAsiaTheme="minorEastAsia" w:hAnsi="Arial Narrow"/>
                <w:lang w:eastAsia="en-ZA"/>
              </w:rPr>
              <w:t xml:space="preserve">The Department </w:t>
            </w:r>
            <w:r w:rsidR="00435F15" w:rsidRPr="0049235F">
              <w:rPr>
                <w:rFonts w:ascii="Arial Narrow" w:eastAsiaTheme="minorEastAsia" w:hAnsi="Arial Narrow"/>
                <w:lang w:eastAsia="en-ZA"/>
              </w:rPr>
              <w:t xml:space="preserve">reported </w:t>
            </w:r>
            <w:r w:rsidRPr="009100EE">
              <w:rPr>
                <w:rFonts w:ascii="Arial Narrow" w:eastAsiaTheme="minorEastAsia" w:hAnsi="Arial Narrow"/>
                <w:lang w:eastAsia="en-ZA"/>
              </w:rPr>
              <w:t xml:space="preserve"> that </w:t>
            </w:r>
            <w:bookmarkEnd w:id="10"/>
            <w:r w:rsidR="001B7E26" w:rsidRPr="001B7E26">
              <w:rPr>
                <w:rFonts w:ascii="Arial Narrow" w:eastAsiaTheme="minorEastAsia" w:hAnsi="Arial Narrow"/>
                <w:lang w:eastAsia="en-ZA"/>
              </w:rPr>
              <w:t>20% of the organisational structure will be implemented in line with the revised strategy and this was not achieved. It is highlighted that the benchmarking process is cumbersome and dependent on corporation of provinces and availing the requested job descriptions. This will be presented to the provincial job evaluation committee for approval.</w:t>
            </w:r>
          </w:p>
          <w:p w14:paraId="70C7DA5E" w14:textId="710551F4" w:rsidR="00176EE4" w:rsidRDefault="00176EE4" w:rsidP="009100EE">
            <w:pPr>
              <w:spacing w:after="200" w:line="276" w:lineRule="auto"/>
              <w:contextualSpacing/>
              <w:rPr>
                <w:rFonts w:ascii="Arial Narrow" w:eastAsiaTheme="minorEastAsia" w:hAnsi="Arial Narrow"/>
                <w:b/>
                <w:bCs/>
                <w:lang w:eastAsia="en-ZA"/>
              </w:rPr>
            </w:pPr>
          </w:p>
          <w:p w14:paraId="7425F6DF" w14:textId="0948375F" w:rsidR="00176EE4" w:rsidRDefault="00176EE4" w:rsidP="009100EE">
            <w:pPr>
              <w:spacing w:after="200" w:line="276" w:lineRule="auto"/>
              <w:contextualSpacing/>
              <w:rPr>
                <w:rFonts w:ascii="Arial Narrow" w:eastAsiaTheme="minorEastAsia" w:hAnsi="Arial Narrow"/>
                <w:lang w:eastAsia="en-ZA"/>
              </w:rPr>
            </w:pPr>
            <w:r>
              <w:rPr>
                <w:rFonts w:ascii="Arial Narrow" w:eastAsiaTheme="minorEastAsia" w:hAnsi="Arial Narrow"/>
                <w:lang w:eastAsia="en-ZA"/>
              </w:rPr>
              <w:t xml:space="preserve">The Department also reported that </w:t>
            </w:r>
            <w:r w:rsidRPr="00176EE4">
              <w:rPr>
                <w:rFonts w:ascii="Arial Narrow" w:eastAsiaTheme="minorEastAsia" w:hAnsi="Arial Narrow"/>
                <w:lang w:eastAsia="en-ZA"/>
              </w:rPr>
              <w:t>50% women in Senior Management Services (SMS) positions will be filled during the fourth quarter of 2021/22 FY. This has been partially achieved with 35% of women at SMS level.</w:t>
            </w:r>
          </w:p>
          <w:p w14:paraId="524C3C7D" w14:textId="77777777" w:rsidR="00937A5D" w:rsidRDefault="00937A5D" w:rsidP="009100EE">
            <w:pPr>
              <w:spacing w:after="200" w:line="276" w:lineRule="auto"/>
              <w:contextualSpacing/>
              <w:rPr>
                <w:rFonts w:ascii="Arial Narrow" w:eastAsiaTheme="minorEastAsia" w:hAnsi="Arial Narrow"/>
                <w:lang w:eastAsia="en-ZA"/>
              </w:rPr>
            </w:pPr>
          </w:p>
          <w:p w14:paraId="2EB6272F" w14:textId="13B2350D" w:rsidR="00846B2D" w:rsidRDefault="00937A5D" w:rsidP="009100EE">
            <w:pPr>
              <w:spacing w:after="200" w:line="276" w:lineRule="auto"/>
              <w:contextualSpacing/>
              <w:rPr>
                <w:rFonts w:ascii="Arial Narrow" w:eastAsiaTheme="minorEastAsia" w:hAnsi="Arial Narrow"/>
                <w:lang w:eastAsia="en-ZA"/>
              </w:rPr>
            </w:pPr>
            <w:r>
              <w:rPr>
                <w:rFonts w:ascii="Arial Narrow" w:eastAsiaTheme="minorEastAsia" w:hAnsi="Arial Narrow"/>
                <w:lang w:eastAsia="en-ZA"/>
              </w:rPr>
              <w:t xml:space="preserve">Furthermore, </w:t>
            </w:r>
            <w:r w:rsidR="00846B2D">
              <w:rPr>
                <w:rFonts w:ascii="Arial Narrow" w:eastAsiaTheme="minorEastAsia" w:hAnsi="Arial Narrow"/>
                <w:lang w:eastAsia="en-ZA"/>
              </w:rPr>
              <w:t>t</w:t>
            </w:r>
            <w:r w:rsidRPr="00937A5D">
              <w:rPr>
                <w:rFonts w:ascii="Arial Narrow" w:eastAsiaTheme="minorEastAsia" w:hAnsi="Arial Narrow"/>
                <w:lang w:eastAsia="en-ZA"/>
              </w:rPr>
              <w:t xml:space="preserve">he Department </w:t>
            </w:r>
            <w:r w:rsidR="00846B2D">
              <w:rPr>
                <w:rFonts w:ascii="Arial Narrow" w:eastAsiaTheme="minorEastAsia" w:hAnsi="Arial Narrow"/>
                <w:lang w:eastAsia="en-ZA"/>
              </w:rPr>
              <w:t>reported</w:t>
            </w:r>
            <w:r w:rsidRPr="00937A5D">
              <w:rPr>
                <w:rFonts w:ascii="Arial Narrow" w:eastAsiaTheme="minorEastAsia" w:hAnsi="Arial Narrow"/>
                <w:lang w:eastAsia="en-ZA"/>
              </w:rPr>
              <w:t xml:space="preserve"> that 4% of people with disabilities will be employed in the quarter under consideration. It is reported that only 2, 5% of people with disabilities have been recruited, thus achieving this goal above the national target of 1, 5%. One can mention that the Department will increase </w:t>
            </w:r>
            <w:proofErr w:type="spellStart"/>
            <w:r w:rsidRPr="00937A5D">
              <w:rPr>
                <w:rFonts w:ascii="Arial Narrow" w:eastAsiaTheme="minorEastAsia" w:hAnsi="Arial Narrow"/>
                <w:lang w:eastAsia="en-ZA"/>
              </w:rPr>
              <w:t>it</w:t>
            </w:r>
            <w:proofErr w:type="spellEnd"/>
            <w:r w:rsidRPr="00937A5D">
              <w:rPr>
                <w:rFonts w:ascii="Arial Narrow" w:eastAsiaTheme="minorEastAsia" w:hAnsi="Arial Narrow"/>
                <w:lang w:eastAsia="en-ZA"/>
              </w:rPr>
              <w:t xml:space="preserve"> chances of effective recruitment by collaborating with the Non-Government Organisations (NGOs) working closely with people with disabilities.   </w:t>
            </w:r>
          </w:p>
          <w:p w14:paraId="2C29B23A" w14:textId="56A72300" w:rsidR="002C0D27" w:rsidRDefault="002C0D27" w:rsidP="009100EE">
            <w:pPr>
              <w:spacing w:after="200" w:line="276" w:lineRule="auto"/>
              <w:contextualSpacing/>
              <w:rPr>
                <w:rFonts w:ascii="Arial Narrow" w:eastAsiaTheme="minorEastAsia" w:hAnsi="Arial Narrow"/>
                <w:lang w:eastAsia="en-ZA"/>
              </w:rPr>
            </w:pPr>
          </w:p>
          <w:p w14:paraId="33FD9A63" w14:textId="77777777" w:rsidR="002C0D27" w:rsidRPr="002C0D27" w:rsidRDefault="002C0D27" w:rsidP="002C0D27">
            <w:pPr>
              <w:spacing w:after="200" w:line="276" w:lineRule="auto"/>
              <w:contextualSpacing/>
              <w:rPr>
                <w:rFonts w:ascii="Arial Narrow" w:eastAsiaTheme="minorEastAsia" w:hAnsi="Arial Narrow"/>
                <w:i/>
                <w:u w:val="single"/>
                <w:lang w:eastAsia="en-ZA"/>
              </w:rPr>
            </w:pPr>
            <w:r w:rsidRPr="002C0D27">
              <w:rPr>
                <w:rFonts w:ascii="Arial Narrow" w:eastAsiaTheme="minorEastAsia" w:hAnsi="Arial Narrow"/>
                <w:b/>
                <w:iCs/>
                <w:u w:val="single"/>
                <w:lang w:eastAsia="en-ZA"/>
              </w:rPr>
              <w:t>Finance Management sub-programme</w:t>
            </w:r>
            <w:r w:rsidRPr="002C0D27">
              <w:rPr>
                <w:rFonts w:ascii="Arial Narrow" w:eastAsiaTheme="minorEastAsia" w:hAnsi="Arial Narrow"/>
                <w:i/>
                <w:u w:val="single"/>
                <w:lang w:eastAsia="en-ZA"/>
              </w:rPr>
              <w:t xml:space="preserve"> </w:t>
            </w:r>
          </w:p>
          <w:p w14:paraId="2318900C" w14:textId="432183C3" w:rsidR="002C0D27" w:rsidRPr="002C0D27" w:rsidRDefault="002C0D27" w:rsidP="002C0D27">
            <w:pPr>
              <w:spacing w:after="200" w:line="276" w:lineRule="auto"/>
              <w:contextualSpacing/>
              <w:rPr>
                <w:rFonts w:ascii="Arial Narrow" w:eastAsiaTheme="minorEastAsia" w:hAnsi="Arial Narrow"/>
                <w:lang w:eastAsia="en-ZA"/>
              </w:rPr>
            </w:pPr>
            <w:r w:rsidRPr="002C0D27">
              <w:rPr>
                <w:rFonts w:ascii="Arial Narrow" w:eastAsiaTheme="minorEastAsia" w:hAnsi="Arial Narrow"/>
                <w:lang w:eastAsia="en-ZA"/>
              </w:rPr>
              <w:t xml:space="preserve">The Department </w:t>
            </w:r>
            <w:r>
              <w:rPr>
                <w:rFonts w:ascii="Arial Narrow" w:eastAsiaTheme="minorEastAsia" w:hAnsi="Arial Narrow"/>
                <w:lang w:eastAsia="en-ZA"/>
              </w:rPr>
              <w:t>reported</w:t>
            </w:r>
            <w:r w:rsidRPr="002C0D27">
              <w:rPr>
                <w:rFonts w:ascii="Arial Narrow" w:eastAsiaTheme="minorEastAsia" w:hAnsi="Arial Narrow"/>
                <w:lang w:eastAsia="en-ZA"/>
              </w:rPr>
              <w:t xml:space="preserve"> that 100% of invoices will be processed (paid) within fifteen (15) days as prescribed by the PFMA. However, the Department paid 97% of invoices for the quarter under review. Due to the payment system downtime by SITA technical problems, the invoices were eventually processed within 30 days. </w:t>
            </w:r>
          </w:p>
          <w:p w14:paraId="64F69F39" w14:textId="2729CCED" w:rsidR="002C0D27" w:rsidRDefault="002C0D27" w:rsidP="009100EE">
            <w:pPr>
              <w:spacing w:after="200" w:line="276" w:lineRule="auto"/>
              <w:contextualSpacing/>
              <w:rPr>
                <w:rFonts w:ascii="Arial Narrow" w:eastAsiaTheme="minorEastAsia" w:hAnsi="Arial Narrow"/>
                <w:lang w:eastAsia="en-ZA"/>
              </w:rPr>
            </w:pPr>
          </w:p>
          <w:p w14:paraId="380F0948" w14:textId="1CC3BBEE" w:rsidR="00F063C4" w:rsidRDefault="00F063C4" w:rsidP="00F063C4">
            <w:pPr>
              <w:spacing w:after="200" w:line="276" w:lineRule="auto"/>
              <w:contextualSpacing/>
              <w:rPr>
                <w:rFonts w:ascii="Arial Narrow" w:eastAsiaTheme="minorEastAsia" w:hAnsi="Arial Narrow"/>
                <w:bCs/>
                <w:lang w:val="en-US" w:eastAsia="en-ZA"/>
              </w:rPr>
            </w:pPr>
            <w:r w:rsidRPr="00F063C4">
              <w:rPr>
                <w:rFonts w:ascii="Arial Narrow" w:eastAsiaTheme="minorEastAsia" w:hAnsi="Arial Narrow"/>
                <w:bCs/>
                <w:lang w:val="en-US" w:eastAsia="en-ZA"/>
              </w:rPr>
              <w:lastRenderedPageBreak/>
              <w:t xml:space="preserve">The Department </w:t>
            </w:r>
            <w:r>
              <w:rPr>
                <w:rFonts w:ascii="Arial Narrow" w:eastAsiaTheme="minorEastAsia" w:hAnsi="Arial Narrow"/>
                <w:bCs/>
                <w:lang w:val="en-US" w:eastAsia="en-ZA"/>
              </w:rPr>
              <w:t xml:space="preserve">also reported </w:t>
            </w:r>
            <w:r w:rsidRPr="00F063C4">
              <w:rPr>
                <w:rFonts w:ascii="Arial Narrow" w:eastAsiaTheme="minorEastAsia" w:hAnsi="Arial Narrow"/>
                <w:bCs/>
                <w:lang w:val="en-US" w:eastAsia="en-ZA"/>
              </w:rPr>
              <w:t>that 40% of its procurement will come from women owned companies for 2021/22 FY, however the Department did not plan for this target during the quarter under review. It is reported that 20% of the initial planned target has been achieved, owing to the suspension of regulation 4 and 9 of the Preferential Procurement Policy Framework Act (PPPFA) which prevented the supply chain management to proceed with tender advertisement. Consequently, women owned businesses benefited to tender bids of just below R500 000. 00 Request for Quotation (RFQ) which consisted of a tiny number of goods and services budget.</w:t>
            </w:r>
          </w:p>
          <w:p w14:paraId="1C0D4C91" w14:textId="453F0582" w:rsidR="00F063C4" w:rsidRDefault="00F063C4" w:rsidP="00F063C4">
            <w:pPr>
              <w:spacing w:after="200" w:line="276" w:lineRule="auto"/>
              <w:contextualSpacing/>
              <w:rPr>
                <w:rFonts w:ascii="Arial Narrow" w:eastAsiaTheme="minorEastAsia" w:hAnsi="Arial Narrow"/>
                <w:bCs/>
                <w:lang w:val="en-US" w:eastAsia="en-ZA"/>
              </w:rPr>
            </w:pPr>
          </w:p>
          <w:p w14:paraId="4944E2D6" w14:textId="77777777" w:rsidR="007D3B72" w:rsidRPr="007D3B72" w:rsidRDefault="007D3B72" w:rsidP="007D3B72">
            <w:pPr>
              <w:spacing w:after="200" w:line="276" w:lineRule="auto"/>
              <w:contextualSpacing/>
              <w:rPr>
                <w:rFonts w:ascii="Arial Narrow" w:eastAsiaTheme="minorEastAsia" w:hAnsi="Arial Narrow"/>
                <w:b/>
                <w:bCs/>
                <w:u w:val="single"/>
                <w:lang w:val="en-US" w:eastAsia="en-ZA"/>
              </w:rPr>
            </w:pPr>
            <w:r w:rsidRPr="007D3B72">
              <w:rPr>
                <w:rFonts w:ascii="Arial Narrow" w:eastAsiaTheme="minorEastAsia" w:hAnsi="Arial Narrow"/>
                <w:b/>
                <w:bCs/>
                <w:u w:val="single"/>
                <w:lang w:val="en-US" w:eastAsia="en-ZA"/>
              </w:rPr>
              <w:t>Transformation sub-programme</w:t>
            </w:r>
          </w:p>
          <w:p w14:paraId="72BF09A0" w14:textId="12D73098" w:rsidR="007D3B72" w:rsidRPr="007D3B72" w:rsidRDefault="007D3B72" w:rsidP="007D3B72">
            <w:pPr>
              <w:spacing w:after="200" w:line="276" w:lineRule="auto"/>
              <w:contextualSpacing/>
              <w:rPr>
                <w:rFonts w:ascii="Arial Narrow" w:eastAsiaTheme="minorEastAsia" w:hAnsi="Arial Narrow"/>
                <w:bCs/>
                <w:lang w:val="en-US" w:eastAsia="en-ZA"/>
              </w:rPr>
            </w:pPr>
            <w:r w:rsidRPr="007D3B72">
              <w:rPr>
                <w:rFonts w:ascii="Arial Narrow" w:eastAsiaTheme="minorEastAsia" w:hAnsi="Arial Narrow"/>
                <w:bCs/>
                <w:lang w:val="en-US" w:eastAsia="en-ZA"/>
              </w:rPr>
              <w:t xml:space="preserve">The Department </w:t>
            </w:r>
            <w:r>
              <w:rPr>
                <w:rFonts w:ascii="Arial Narrow" w:eastAsiaTheme="minorEastAsia" w:hAnsi="Arial Narrow"/>
                <w:bCs/>
                <w:lang w:val="en-US" w:eastAsia="en-ZA"/>
              </w:rPr>
              <w:t>reported</w:t>
            </w:r>
            <w:r w:rsidRPr="007D3B72">
              <w:rPr>
                <w:rFonts w:ascii="Arial Narrow" w:eastAsiaTheme="minorEastAsia" w:hAnsi="Arial Narrow"/>
                <w:bCs/>
                <w:lang w:val="en-US" w:eastAsia="en-ZA"/>
              </w:rPr>
              <w:t xml:space="preserve"> that one (1) capacity building initiative involving twenty (20) female and ten (10) male councillors, ten (10) members of the traditional councils, twenty (20) females and ten (10) male officials will be conducted. This was not achieved after the Department was tasked by the Presidency to produce gender-based violence plans for 2020 which was not planned for. </w:t>
            </w:r>
          </w:p>
          <w:p w14:paraId="25E12FD2" w14:textId="77777777" w:rsidR="007D3B72" w:rsidRPr="007D3B72" w:rsidRDefault="007D3B72" w:rsidP="007D3B72">
            <w:pPr>
              <w:spacing w:after="200" w:line="276" w:lineRule="auto"/>
              <w:contextualSpacing/>
              <w:rPr>
                <w:rFonts w:ascii="Arial Narrow" w:eastAsiaTheme="minorEastAsia" w:hAnsi="Arial Narrow"/>
                <w:bCs/>
                <w:lang w:val="en-US" w:eastAsia="en-ZA"/>
              </w:rPr>
            </w:pPr>
          </w:p>
          <w:p w14:paraId="4AF445F5" w14:textId="7FE3A5AA" w:rsidR="007D3B72" w:rsidRPr="007D3B72" w:rsidRDefault="007D3B72" w:rsidP="007D3B72">
            <w:pPr>
              <w:spacing w:after="200" w:line="276" w:lineRule="auto"/>
              <w:contextualSpacing/>
              <w:rPr>
                <w:rFonts w:ascii="Arial Narrow" w:eastAsiaTheme="minorEastAsia" w:hAnsi="Arial Narrow"/>
                <w:bCs/>
                <w:lang w:val="en-US" w:eastAsia="en-ZA"/>
              </w:rPr>
            </w:pPr>
            <w:r w:rsidRPr="007D3B72">
              <w:rPr>
                <w:rFonts w:ascii="Arial Narrow" w:eastAsiaTheme="minorEastAsia" w:hAnsi="Arial Narrow"/>
                <w:bCs/>
                <w:lang w:val="en-US" w:eastAsia="en-ZA"/>
              </w:rPr>
              <w:t xml:space="preserve">The project overlapped to the current financial year and therefore impacted the current budget. The target has since been moved to the next financial year (2022/23). </w:t>
            </w:r>
            <w:r w:rsidRPr="007D3B72">
              <w:rPr>
                <w:rFonts w:ascii="Arial Narrow" w:eastAsiaTheme="minorEastAsia" w:hAnsi="Arial Narrow"/>
                <w:b/>
                <w:bCs/>
                <w:lang w:val="en-US" w:eastAsia="en-ZA"/>
              </w:rPr>
              <w:t xml:space="preserve">The Portfolio Committee </w:t>
            </w:r>
            <w:r>
              <w:rPr>
                <w:rFonts w:ascii="Arial Narrow" w:eastAsiaTheme="minorEastAsia" w:hAnsi="Arial Narrow"/>
                <w:b/>
                <w:bCs/>
                <w:lang w:val="en-US" w:eastAsia="en-ZA"/>
              </w:rPr>
              <w:t>will</w:t>
            </w:r>
            <w:r w:rsidRPr="007D3B72">
              <w:rPr>
                <w:rFonts w:ascii="Arial Narrow" w:eastAsiaTheme="minorEastAsia" w:hAnsi="Arial Narrow"/>
                <w:b/>
                <w:bCs/>
                <w:lang w:val="en-US" w:eastAsia="en-ZA"/>
              </w:rPr>
              <w:t xml:space="preserve"> monitor the effective implementation of the target and report on the progress made.  </w:t>
            </w:r>
            <w:r w:rsidRPr="007D3B72">
              <w:rPr>
                <w:rFonts w:ascii="Arial Narrow" w:eastAsiaTheme="minorEastAsia" w:hAnsi="Arial Narrow"/>
                <w:bCs/>
                <w:lang w:val="en-US" w:eastAsia="en-ZA"/>
              </w:rPr>
              <w:t xml:space="preserve"> </w:t>
            </w:r>
          </w:p>
          <w:p w14:paraId="182CAA76" w14:textId="77777777" w:rsidR="007D3B72" w:rsidRPr="007D3B72" w:rsidRDefault="007D3B72" w:rsidP="007D3B72">
            <w:pPr>
              <w:spacing w:after="200" w:line="276" w:lineRule="auto"/>
              <w:contextualSpacing/>
              <w:rPr>
                <w:rFonts w:ascii="Arial Narrow" w:eastAsiaTheme="minorEastAsia" w:hAnsi="Arial Narrow"/>
                <w:b/>
                <w:bCs/>
                <w:lang w:val="en-US" w:eastAsia="en-ZA"/>
              </w:rPr>
            </w:pPr>
          </w:p>
          <w:p w14:paraId="04943E46" w14:textId="6953FC97" w:rsidR="007D3B72" w:rsidRPr="007D3B72" w:rsidRDefault="007D3B72" w:rsidP="007D3B72">
            <w:pPr>
              <w:spacing w:after="200" w:line="276" w:lineRule="auto"/>
              <w:contextualSpacing/>
              <w:rPr>
                <w:rFonts w:ascii="Arial Narrow" w:eastAsiaTheme="minorEastAsia" w:hAnsi="Arial Narrow"/>
                <w:bCs/>
                <w:lang w:val="en-US" w:eastAsia="en-ZA"/>
              </w:rPr>
            </w:pPr>
            <w:r w:rsidRPr="007D3B72">
              <w:rPr>
                <w:rFonts w:ascii="Arial Narrow" w:eastAsiaTheme="minorEastAsia" w:hAnsi="Arial Narrow"/>
                <w:bCs/>
                <w:lang w:val="en-US" w:eastAsia="en-ZA"/>
              </w:rPr>
              <w:t xml:space="preserve">The Department </w:t>
            </w:r>
            <w:r w:rsidR="00DF7F19" w:rsidRPr="007D3B72">
              <w:rPr>
                <w:rFonts w:ascii="Arial Narrow" w:eastAsiaTheme="minorEastAsia" w:hAnsi="Arial Narrow"/>
                <w:bCs/>
                <w:lang w:val="en-US" w:eastAsia="en-ZA"/>
              </w:rPr>
              <w:t>commit</w:t>
            </w:r>
            <w:r w:rsidR="00DF7F19">
              <w:rPr>
                <w:rFonts w:ascii="Arial Narrow" w:eastAsiaTheme="minorEastAsia" w:hAnsi="Arial Narrow"/>
                <w:bCs/>
                <w:lang w:val="en-US" w:eastAsia="en-ZA"/>
              </w:rPr>
              <w:t>ted</w:t>
            </w:r>
            <w:r w:rsidRPr="007D3B72">
              <w:rPr>
                <w:rFonts w:ascii="Arial Narrow" w:eastAsiaTheme="minorEastAsia" w:hAnsi="Arial Narrow"/>
                <w:bCs/>
                <w:lang w:val="en-US" w:eastAsia="en-ZA"/>
              </w:rPr>
              <w:t xml:space="preserve"> that ten (10) learners with disabilities will be awarded bursaries in the fourth quarter of 2021/22 FY. However, this was not achieved because of lack of funding. </w:t>
            </w:r>
          </w:p>
          <w:p w14:paraId="58067716" w14:textId="77777777" w:rsidR="00DB2DFC" w:rsidRPr="00176EE4" w:rsidRDefault="00DB2DFC" w:rsidP="009100EE">
            <w:pPr>
              <w:spacing w:after="200" w:line="276" w:lineRule="auto"/>
              <w:contextualSpacing/>
              <w:rPr>
                <w:rFonts w:ascii="Arial Narrow" w:eastAsiaTheme="minorEastAsia" w:hAnsi="Arial Narrow"/>
                <w:lang w:eastAsia="en-ZA"/>
              </w:rPr>
            </w:pPr>
          </w:p>
          <w:p w14:paraId="11CA8D56" w14:textId="77777777" w:rsidR="00BB7BDB" w:rsidRPr="00BB7BDB" w:rsidRDefault="00BB7BDB" w:rsidP="00BB7BDB">
            <w:pPr>
              <w:tabs>
                <w:tab w:val="center" w:pos="6838"/>
              </w:tabs>
              <w:spacing w:after="200" w:line="276" w:lineRule="auto"/>
              <w:contextualSpacing/>
              <w:rPr>
                <w:rFonts w:ascii="Arial Narrow" w:eastAsiaTheme="minorEastAsia" w:hAnsi="Arial Narrow" w:cs="Arial Narrow"/>
                <w:b/>
                <w:bCs/>
                <w:lang w:val="en-US" w:eastAsia="en-ZA"/>
              </w:rPr>
            </w:pPr>
            <w:bookmarkStart w:id="11" w:name="_Hlk48721396"/>
            <w:r w:rsidRPr="00BB7BDB">
              <w:rPr>
                <w:rFonts w:ascii="Arial Narrow" w:eastAsiaTheme="minorEastAsia" w:hAnsi="Arial Narrow" w:cs="Arial Narrow"/>
                <w:b/>
                <w:bCs/>
                <w:lang w:val="en-US" w:eastAsia="en-ZA"/>
              </w:rPr>
              <w:t xml:space="preserve">PROGRAMME 2: LOCAL GOVERNANCE </w:t>
            </w:r>
            <w:bookmarkEnd w:id="11"/>
          </w:p>
          <w:p w14:paraId="229CE8AC" w14:textId="77777777" w:rsidR="00BB7BDB" w:rsidRPr="00BB7BDB" w:rsidRDefault="00BB7BDB" w:rsidP="00BB7BDB">
            <w:pPr>
              <w:tabs>
                <w:tab w:val="center" w:pos="6838"/>
              </w:tabs>
              <w:spacing w:after="200" w:line="276" w:lineRule="auto"/>
              <w:contextualSpacing/>
              <w:rPr>
                <w:rFonts w:ascii="Arial Narrow" w:eastAsiaTheme="minorEastAsia" w:hAnsi="Arial Narrow" w:cs="Arial Narrow"/>
                <w:lang w:val="en-US" w:eastAsia="en-ZA"/>
              </w:rPr>
            </w:pPr>
            <w:r w:rsidRPr="00BB7BDB">
              <w:rPr>
                <w:rFonts w:ascii="Arial Narrow" w:eastAsiaTheme="minorEastAsia" w:hAnsi="Arial Narrow" w:cs="Arial Narrow"/>
                <w:lang w:val="en-US" w:eastAsia="en-ZA"/>
              </w:rPr>
              <w:t>This programme strives to consolidate the developmental state to enhance participatory governance and institutional stability, capacity building as well as local government capability to achieve its constitutional mandate. Essentially, the key objective of this programme is to pursue and facilitate viable and sustainable local governance.</w:t>
            </w:r>
          </w:p>
          <w:p w14:paraId="7896CC72" w14:textId="77777777" w:rsidR="00BB7BDB" w:rsidRPr="00BB7BDB" w:rsidRDefault="00BB7BDB" w:rsidP="00BB7BDB">
            <w:pPr>
              <w:tabs>
                <w:tab w:val="center" w:pos="6838"/>
              </w:tabs>
              <w:spacing w:after="200" w:line="276" w:lineRule="auto"/>
              <w:contextualSpacing/>
              <w:rPr>
                <w:rFonts w:ascii="Arial Narrow" w:eastAsiaTheme="minorEastAsia" w:hAnsi="Arial Narrow" w:cs="Arial Narrow"/>
                <w:b/>
                <w:bCs/>
                <w:lang w:eastAsia="en-ZA"/>
              </w:rPr>
            </w:pPr>
          </w:p>
          <w:p w14:paraId="4C2E39EF" w14:textId="77777777" w:rsidR="00BB7BDB" w:rsidRPr="00BB7BDB" w:rsidRDefault="00BB7BDB" w:rsidP="00BB7BDB">
            <w:pPr>
              <w:tabs>
                <w:tab w:val="center" w:pos="6838"/>
              </w:tabs>
              <w:spacing w:after="200" w:line="276" w:lineRule="auto"/>
              <w:contextualSpacing/>
              <w:rPr>
                <w:rFonts w:ascii="Arial Narrow" w:eastAsiaTheme="minorEastAsia" w:hAnsi="Arial Narrow" w:cs="Arial Narrow"/>
                <w:b/>
                <w:bCs/>
                <w:u w:val="single"/>
                <w:lang w:eastAsia="en-ZA"/>
              </w:rPr>
            </w:pPr>
            <w:r w:rsidRPr="00BB7BDB">
              <w:rPr>
                <w:rFonts w:ascii="Arial Narrow" w:eastAsiaTheme="minorEastAsia" w:hAnsi="Arial Narrow" w:cs="Arial Narrow"/>
                <w:b/>
                <w:bCs/>
                <w:u w:val="single"/>
                <w:lang w:eastAsia="en-ZA"/>
              </w:rPr>
              <w:t>Municipal Administration Sub programme</w:t>
            </w:r>
          </w:p>
          <w:p w14:paraId="4672C431" w14:textId="40A405E5" w:rsidR="008D7C7F" w:rsidRDefault="008D7C7F" w:rsidP="008D7C7F">
            <w:pPr>
              <w:tabs>
                <w:tab w:val="center" w:pos="6838"/>
              </w:tabs>
              <w:spacing w:after="200" w:line="276" w:lineRule="auto"/>
              <w:contextualSpacing/>
              <w:rPr>
                <w:rFonts w:ascii="Arial Narrow" w:eastAsiaTheme="minorEastAsia" w:hAnsi="Arial Narrow" w:cs="Arial Narrow"/>
                <w:bCs/>
                <w:lang w:eastAsia="en-ZA"/>
              </w:rPr>
            </w:pPr>
            <w:r w:rsidRPr="008D7C7F">
              <w:rPr>
                <w:rFonts w:ascii="Arial Narrow" w:eastAsiaTheme="minorEastAsia" w:hAnsi="Arial Narrow" w:cs="Arial Narrow"/>
                <w:bCs/>
                <w:lang w:eastAsia="en-ZA"/>
              </w:rPr>
              <w:t xml:space="preserve">The Department </w:t>
            </w:r>
            <w:r>
              <w:rPr>
                <w:rFonts w:ascii="Arial Narrow" w:eastAsiaTheme="minorEastAsia" w:hAnsi="Arial Narrow" w:cs="Arial Narrow"/>
                <w:bCs/>
                <w:lang w:eastAsia="en-ZA"/>
              </w:rPr>
              <w:t>reported</w:t>
            </w:r>
            <w:r w:rsidRPr="008D7C7F">
              <w:rPr>
                <w:rFonts w:ascii="Arial Narrow" w:eastAsiaTheme="minorEastAsia" w:hAnsi="Arial Narrow" w:cs="Arial Narrow"/>
                <w:bCs/>
                <w:lang w:eastAsia="en-ZA"/>
              </w:rPr>
              <w:t xml:space="preserve"> that it will produce three (3) research studies on key local government policy issues</w:t>
            </w:r>
            <w:r w:rsidRPr="008D7C7F">
              <w:rPr>
                <w:rFonts w:ascii="Arial Narrow" w:eastAsiaTheme="minorEastAsia" w:hAnsi="Arial Narrow" w:cs="Arial Narrow"/>
                <w:bCs/>
                <w:vertAlign w:val="superscript"/>
                <w:lang w:eastAsia="en-ZA"/>
              </w:rPr>
              <w:footnoteReference w:id="2"/>
            </w:r>
            <w:r w:rsidRPr="008D7C7F">
              <w:rPr>
                <w:rFonts w:ascii="Arial Narrow" w:eastAsiaTheme="minorEastAsia" w:hAnsi="Arial Narrow" w:cs="Arial Narrow"/>
                <w:bCs/>
                <w:lang w:eastAsia="en-ZA"/>
              </w:rPr>
              <w:t xml:space="preserve"> and this was not achieved due to budgetary constraints (over R500 000. 00).</w:t>
            </w:r>
          </w:p>
          <w:p w14:paraId="63548797" w14:textId="77777777" w:rsidR="00B33C09" w:rsidRDefault="00B33C09" w:rsidP="00BB7BDB">
            <w:pPr>
              <w:tabs>
                <w:tab w:val="center" w:pos="6838"/>
              </w:tabs>
              <w:spacing w:after="200" w:line="276" w:lineRule="auto"/>
              <w:contextualSpacing/>
              <w:rPr>
                <w:rFonts w:ascii="Arial Narrow" w:eastAsiaTheme="minorEastAsia" w:hAnsi="Arial Narrow" w:cs="Arial Narrow"/>
                <w:lang w:eastAsia="en-ZA"/>
              </w:rPr>
            </w:pPr>
          </w:p>
          <w:p w14:paraId="2885E42D" w14:textId="77777777" w:rsidR="000F475A" w:rsidRPr="000F475A" w:rsidRDefault="000F475A" w:rsidP="000F475A">
            <w:pPr>
              <w:tabs>
                <w:tab w:val="center" w:pos="6838"/>
              </w:tabs>
              <w:spacing w:after="200" w:line="276" w:lineRule="auto"/>
              <w:contextualSpacing/>
              <w:rPr>
                <w:rFonts w:ascii="Arial Narrow" w:eastAsiaTheme="minorEastAsia" w:hAnsi="Arial Narrow" w:cs="Arial Narrow"/>
                <w:b/>
                <w:u w:val="single"/>
                <w:lang w:eastAsia="en-ZA"/>
              </w:rPr>
            </w:pPr>
            <w:bookmarkStart w:id="12" w:name="_Hlk72406648"/>
            <w:r w:rsidRPr="000F475A">
              <w:rPr>
                <w:rFonts w:ascii="Arial Narrow" w:eastAsiaTheme="minorEastAsia" w:hAnsi="Arial Narrow" w:cs="Arial Narrow"/>
                <w:b/>
                <w:u w:val="single"/>
                <w:lang w:eastAsia="en-ZA"/>
              </w:rPr>
              <w:t>Public Participation Sub programme</w:t>
            </w:r>
          </w:p>
          <w:p w14:paraId="73B6DB5A" w14:textId="1888E8FA" w:rsidR="00DC5F25" w:rsidRDefault="000F475A" w:rsidP="003C35E9">
            <w:pPr>
              <w:tabs>
                <w:tab w:val="center" w:pos="6838"/>
              </w:tabs>
              <w:spacing w:after="200" w:line="276" w:lineRule="auto"/>
              <w:contextualSpacing/>
              <w:rPr>
                <w:rFonts w:ascii="Arial Narrow" w:eastAsiaTheme="minorEastAsia" w:hAnsi="Arial Narrow" w:cs="Arial Narrow"/>
                <w:b/>
                <w:bCs/>
                <w:lang w:eastAsia="en-ZA"/>
              </w:rPr>
            </w:pPr>
            <w:r w:rsidRPr="000F475A">
              <w:rPr>
                <w:rFonts w:ascii="Arial Narrow" w:eastAsiaTheme="minorEastAsia" w:hAnsi="Arial Narrow" w:cs="Arial Narrow"/>
                <w:bCs/>
                <w:lang w:eastAsia="en-ZA"/>
              </w:rPr>
              <w:t xml:space="preserve">The Department </w:t>
            </w:r>
            <w:r w:rsidRPr="002910EA">
              <w:rPr>
                <w:rFonts w:ascii="Arial Narrow" w:eastAsiaTheme="minorEastAsia" w:hAnsi="Arial Narrow" w:cs="Arial Narrow"/>
                <w:bCs/>
                <w:lang w:eastAsia="en-ZA"/>
              </w:rPr>
              <w:t>report</w:t>
            </w:r>
            <w:r w:rsidR="00DD0879">
              <w:rPr>
                <w:rFonts w:ascii="Arial Narrow" w:eastAsiaTheme="minorEastAsia" w:hAnsi="Arial Narrow" w:cs="Arial Narrow"/>
                <w:bCs/>
                <w:lang w:eastAsia="en-ZA"/>
              </w:rPr>
              <w:t>ed</w:t>
            </w:r>
            <w:r w:rsidRPr="002910EA">
              <w:rPr>
                <w:rFonts w:ascii="Arial Narrow" w:eastAsiaTheme="minorEastAsia" w:hAnsi="Arial Narrow" w:cs="Arial Narrow"/>
                <w:bCs/>
                <w:lang w:eastAsia="en-ZA"/>
              </w:rPr>
              <w:t xml:space="preserve"> that </w:t>
            </w:r>
            <w:bookmarkEnd w:id="12"/>
            <w:r w:rsidR="002910EA" w:rsidRPr="002910EA">
              <w:rPr>
                <w:rFonts w:ascii="Arial Narrow" w:eastAsiaTheme="minorEastAsia" w:hAnsi="Arial Narrow" w:cs="Arial Narrow"/>
                <w:bCs/>
                <w:lang w:eastAsia="en-ZA"/>
              </w:rPr>
              <w:t xml:space="preserve">three (3) </w:t>
            </w:r>
            <w:r w:rsidR="00DD0879">
              <w:rPr>
                <w:rFonts w:ascii="Arial Narrow" w:eastAsiaTheme="minorEastAsia" w:hAnsi="Arial Narrow" w:cs="Arial Narrow"/>
                <w:bCs/>
                <w:lang w:eastAsia="en-ZA"/>
              </w:rPr>
              <w:t>M</w:t>
            </w:r>
            <w:r w:rsidR="002910EA" w:rsidRPr="002910EA">
              <w:rPr>
                <w:rFonts w:ascii="Arial Narrow" w:eastAsiaTheme="minorEastAsia" w:hAnsi="Arial Narrow" w:cs="Arial Narrow"/>
                <w:bCs/>
                <w:lang w:eastAsia="en-ZA"/>
              </w:rPr>
              <w:t>unicipalities will be monitored on the implementation of GBVF responsive programme. This was not achieved due to capacity constraints from the public participation unit. The target has since been moved to the next financial year</w:t>
            </w:r>
            <w:r w:rsidR="002910EA" w:rsidRPr="002910EA">
              <w:rPr>
                <w:rFonts w:ascii="Arial Narrow" w:eastAsiaTheme="minorEastAsia" w:hAnsi="Arial Narrow" w:cs="Arial Narrow"/>
                <w:b/>
                <w:lang w:eastAsia="en-ZA"/>
              </w:rPr>
              <w:t>.</w:t>
            </w:r>
            <w:r w:rsidR="002910EA" w:rsidRPr="002910EA">
              <w:rPr>
                <w:rFonts w:ascii="Arial Narrow" w:eastAsiaTheme="minorEastAsia" w:hAnsi="Arial Narrow" w:cs="Arial Narrow"/>
                <w:b/>
                <w:bCs/>
                <w:lang w:eastAsia="en-ZA"/>
              </w:rPr>
              <w:t xml:space="preserve"> </w:t>
            </w:r>
          </w:p>
          <w:p w14:paraId="575E8FAB" w14:textId="77777777" w:rsidR="00F9780D" w:rsidRPr="006F5CCA" w:rsidRDefault="00F9780D" w:rsidP="003C35E9">
            <w:pPr>
              <w:tabs>
                <w:tab w:val="center" w:pos="6838"/>
              </w:tabs>
              <w:spacing w:after="200" w:line="276" w:lineRule="auto"/>
              <w:contextualSpacing/>
              <w:rPr>
                <w:rFonts w:ascii="Arial Narrow" w:eastAsiaTheme="minorEastAsia" w:hAnsi="Arial Narrow" w:cs="Arial Narrow"/>
                <w:b/>
                <w:bCs/>
                <w:lang w:eastAsia="en-ZA"/>
              </w:rPr>
            </w:pPr>
          </w:p>
          <w:p w14:paraId="6DE55592" w14:textId="77777777" w:rsidR="006A6AE6" w:rsidRDefault="00937F20" w:rsidP="00937F20">
            <w:pPr>
              <w:tabs>
                <w:tab w:val="center" w:pos="6838"/>
              </w:tabs>
              <w:spacing w:after="200" w:line="276" w:lineRule="auto"/>
              <w:contextualSpacing/>
              <w:rPr>
                <w:rFonts w:ascii="Arial Narrow" w:eastAsiaTheme="minorEastAsia" w:hAnsi="Arial Narrow" w:cs="Arial Narrow"/>
                <w:b/>
                <w:lang w:eastAsia="en-ZA"/>
              </w:rPr>
            </w:pPr>
            <w:bookmarkStart w:id="13" w:name="_Hlk72406839"/>
            <w:r w:rsidRPr="00937F20">
              <w:rPr>
                <w:rFonts w:ascii="Arial Narrow" w:eastAsiaTheme="minorEastAsia" w:hAnsi="Arial Narrow" w:cs="Arial Narrow"/>
                <w:b/>
                <w:lang w:eastAsia="en-ZA"/>
              </w:rPr>
              <w:t xml:space="preserve">PROGRAMME 3: </w:t>
            </w:r>
            <w:r w:rsidR="006A6AE6">
              <w:rPr>
                <w:rFonts w:ascii="Arial Narrow" w:eastAsiaTheme="minorEastAsia" w:hAnsi="Arial Narrow" w:cs="Arial Narrow"/>
                <w:b/>
                <w:lang w:eastAsia="en-ZA"/>
              </w:rPr>
              <w:t>URBAN PLANNING</w:t>
            </w:r>
          </w:p>
          <w:p w14:paraId="102FAAD7" w14:textId="04C769C3" w:rsidR="00937F20" w:rsidRPr="00937F20" w:rsidRDefault="006A6AE6" w:rsidP="00937F20">
            <w:pPr>
              <w:tabs>
                <w:tab w:val="center" w:pos="6838"/>
              </w:tabs>
              <w:spacing w:after="200" w:line="276" w:lineRule="auto"/>
              <w:contextualSpacing/>
              <w:rPr>
                <w:rFonts w:ascii="Arial Narrow" w:eastAsiaTheme="minorEastAsia" w:hAnsi="Arial Narrow" w:cs="Arial Narrow"/>
                <w:b/>
                <w:lang w:eastAsia="en-ZA"/>
              </w:rPr>
            </w:pPr>
            <w:r w:rsidRPr="006A6AE6">
              <w:rPr>
                <w:rFonts w:ascii="Arial Narrow" w:eastAsiaTheme="minorEastAsia" w:hAnsi="Arial Narrow" w:cs="Arial Narrow"/>
                <w:b/>
                <w:lang w:eastAsia="en-ZA"/>
              </w:rPr>
              <w:lastRenderedPageBreak/>
              <w:t xml:space="preserve">Spatial integration is essential in transforming South Africa. Cities and communities need to be integrated and sustainable to achieve Sustainable Development Goals across the Gauteng City Region. Municipal IDP should be aligned with the Gauteng Spatial Development Framework. </w:t>
            </w:r>
            <w:r w:rsidR="00937F20" w:rsidRPr="00937F20">
              <w:rPr>
                <w:rFonts w:ascii="Arial Narrow" w:eastAsiaTheme="minorEastAsia" w:hAnsi="Arial Narrow" w:cs="Arial Narrow"/>
                <w:b/>
                <w:lang w:eastAsia="en-ZA"/>
              </w:rPr>
              <w:t xml:space="preserve"> </w:t>
            </w:r>
          </w:p>
          <w:p w14:paraId="0FB9B84D" w14:textId="6FEF5246" w:rsidR="00937F20" w:rsidRDefault="00937F20" w:rsidP="00937F20">
            <w:pPr>
              <w:tabs>
                <w:tab w:val="center" w:pos="6838"/>
              </w:tabs>
              <w:spacing w:after="200" w:line="276" w:lineRule="auto"/>
              <w:contextualSpacing/>
              <w:rPr>
                <w:rFonts w:ascii="Arial Narrow" w:eastAsiaTheme="minorEastAsia" w:hAnsi="Arial Narrow" w:cs="Arial Narrow"/>
                <w:b/>
                <w:lang w:eastAsia="en-ZA"/>
              </w:rPr>
            </w:pPr>
            <w:bookmarkStart w:id="14" w:name="_Hlk72406881"/>
            <w:bookmarkEnd w:id="13"/>
          </w:p>
          <w:p w14:paraId="07CFF444" w14:textId="68836478" w:rsidR="00B33C09" w:rsidRPr="00B33C09" w:rsidRDefault="00B33C09" w:rsidP="00B33C09">
            <w:pPr>
              <w:tabs>
                <w:tab w:val="center" w:pos="6838"/>
              </w:tabs>
              <w:spacing w:after="200" w:line="276" w:lineRule="auto"/>
              <w:contextualSpacing/>
              <w:rPr>
                <w:rFonts w:ascii="Arial Narrow" w:eastAsiaTheme="minorEastAsia" w:hAnsi="Arial Narrow" w:cs="Arial Narrow"/>
                <w:b/>
                <w:u w:val="single"/>
                <w:lang w:eastAsia="en-ZA"/>
              </w:rPr>
            </w:pPr>
            <w:r w:rsidRPr="00B33C09">
              <w:rPr>
                <w:rFonts w:ascii="Arial Narrow" w:eastAsiaTheme="minorEastAsia" w:hAnsi="Arial Narrow" w:cs="Arial Narrow"/>
                <w:b/>
                <w:u w:val="single"/>
                <w:lang w:eastAsia="en-ZA"/>
              </w:rPr>
              <w:t>Infrastructure Planning sub-programme</w:t>
            </w:r>
          </w:p>
          <w:p w14:paraId="4FDA76F2" w14:textId="77777777" w:rsidR="00B33C09" w:rsidRPr="00B33C09" w:rsidRDefault="00B33C09" w:rsidP="00B33C09">
            <w:pPr>
              <w:tabs>
                <w:tab w:val="center" w:pos="6838"/>
              </w:tabs>
              <w:spacing w:after="200" w:line="276" w:lineRule="auto"/>
              <w:contextualSpacing/>
              <w:rPr>
                <w:rFonts w:ascii="Arial Narrow" w:eastAsiaTheme="minorEastAsia" w:hAnsi="Arial Narrow" w:cs="Arial Narrow"/>
                <w:lang w:eastAsia="en-ZA"/>
              </w:rPr>
            </w:pPr>
            <w:r w:rsidRPr="00B33C09">
              <w:rPr>
                <w:rFonts w:ascii="Arial Narrow" w:eastAsiaTheme="minorEastAsia" w:hAnsi="Arial Narrow" w:cs="Arial Narrow"/>
                <w:lang w:eastAsia="en-ZA"/>
              </w:rPr>
              <w:t xml:space="preserve">The Department indicates that it convened the Capital Expenditure (CAPEX) war room sessions with municipalities during the fourth quarter of 2021/22 FY. In terms of the Metros, the City of Johannesburg achieved 58% of project completion, followed by the City of Ekurhuleni at 55% and finally the City of Tshwane with 44%. </w:t>
            </w:r>
          </w:p>
          <w:p w14:paraId="0B11FC22" w14:textId="77777777" w:rsidR="00B33C09" w:rsidRPr="00B33C09" w:rsidRDefault="00B33C09" w:rsidP="00B33C09">
            <w:pPr>
              <w:tabs>
                <w:tab w:val="center" w:pos="6838"/>
              </w:tabs>
              <w:spacing w:after="200" w:line="276" w:lineRule="auto"/>
              <w:contextualSpacing/>
              <w:rPr>
                <w:rFonts w:ascii="Arial Narrow" w:eastAsiaTheme="minorEastAsia" w:hAnsi="Arial Narrow" w:cs="Arial Narrow"/>
                <w:lang w:eastAsia="en-ZA"/>
              </w:rPr>
            </w:pPr>
          </w:p>
          <w:p w14:paraId="4C024C23" w14:textId="77777777" w:rsidR="00B33C09" w:rsidRPr="00B33C09" w:rsidRDefault="00B33C09" w:rsidP="00B33C09">
            <w:pPr>
              <w:tabs>
                <w:tab w:val="center" w:pos="6838"/>
              </w:tabs>
              <w:spacing w:after="200" w:line="276" w:lineRule="auto"/>
              <w:contextualSpacing/>
              <w:rPr>
                <w:rFonts w:ascii="Arial Narrow" w:eastAsiaTheme="minorEastAsia" w:hAnsi="Arial Narrow" w:cs="Arial Narrow"/>
                <w:lang w:eastAsia="en-ZA"/>
              </w:rPr>
            </w:pPr>
            <w:r w:rsidRPr="00B33C09">
              <w:rPr>
                <w:rFonts w:ascii="Arial Narrow" w:eastAsiaTheme="minorEastAsia" w:hAnsi="Arial Narrow" w:cs="Arial Narrow"/>
                <w:lang w:eastAsia="en-ZA"/>
              </w:rPr>
              <w:t>The Department found that West Rand municipalities have achieved 56% in construction (from 50% in the previous quarter). In the Sedibeng District, the Department noted a 35% progress on construction (27% in the previous quarter). The Portfolio Committee should note the following observation:</w:t>
            </w:r>
          </w:p>
          <w:p w14:paraId="0F2FC5DE" w14:textId="77777777" w:rsidR="00B33C09" w:rsidRPr="00B33C09" w:rsidRDefault="00B33C09" w:rsidP="00B33C09">
            <w:pPr>
              <w:tabs>
                <w:tab w:val="center" w:pos="6838"/>
              </w:tabs>
              <w:spacing w:after="200" w:line="276" w:lineRule="auto"/>
              <w:contextualSpacing/>
              <w:rPr>
                <w:rFonts w:ascii="Arial Narrow" w:eastAsiaTheme="minorEastAsia" w:hAnsi="Arial Narrow" w:cs="Arial Narrow"/>
                <w:lang w:eastAsia="en-ZA"/>
              </w:rPr>
            </w:pPr>
          </w:p>
          <w:p w14:paraId="36C67F62" w14:textId="317E9DC9" w:rsidR="00B33C09" w:rsidRDefault="00B33C09" w:rsidP="00B33C09">
            <w:pPr>
              <w:tabs>
                <w:tab w:val="center" w:pos="6838"/>
              </w:tabs>
              <w:spacing w:after="200" w:line="276" w:lineRule="auto"/>
              <w:contextualSpacing/>
              <w:rPr>
                <w:rFonts w:ascii="Arial Narrow" w:eastAsiaTheme="minorEastAsia" w:hAnsi="Arial Narrow" w:cs="Arial Narrow"/>
                <w:lang w:eastAsia="en-ZA"/>
              </w:rPr>
            </w:pPr>
            <w:r w:rsidRPr="00B33C09">
              <w:rPr>
                <w:rFonts w:ascii="Arial Narrow" w:eastAsiaTheme="minorEastAsia" w:hAnsi="Arial Narrow" w:cs="Arial Narrow"/>
                <w:lang w:eastAsia="en-ZA"/>
              </w:rPr>
              <w:t xml:space="preserve">The Department reported in the third quarter performance report of 2021/22 FY that, on the one hand, the West Rand municipalities completed 6% of the projects. On the other hand, the Sedibeng municipalities have completed 5% of the projects. However, there is no mention made regarding the project’s completion for the quarter under consideration. </w:t>
            </w:r>
          </w:p>
          <w:p w14:paraId="6178012F" w14:textId="399E5313" w:rsidR="00681B1C" w:rsidRDefault="00681B1C" w:rsidP="00B33C09">
            <w:pPr>
              <w:tabs>
                <w:tab w:val="center" w:pos="6838"/>
              </w:tabs>
              <w:spacing w:after="200" w:line="276" w:lineRule="auto"/>
              <w:contextualSpacing/>
              <w:rPr>
                <w:rFonts w:ascii="Arial Narrow" w:eastAsiaTheme="minorEastAsia" w:hAnsi="Arial Narrow" w:cs="Arial Narrow"/>
                <w:lang w:eastAsia="en-ZA"/>
              </w:rPr>
            </w:pPr>
          </w:p>
          <w:p w14:paraId="482992D2" w14:textId="77777777" w:rsidR="00681B1C" w:rsidRPr="00681B1C" w:rsidRDefault="00681B1C" w:rsidP="00681B1C">
            <w:pPr>
              <w:tabs>
                <w:tab w:val="center" w:pos="6838"/>
              </w:tabs>
              <w:spacing w:after="200" w:line="276" w:lineRule="auto"/>
              <w:contextualSpacing/>
              <w:rPr>
                <w:rFonts w:ascii="Arial Narrow" w:eastAsiaTheme="minorEastAsia" w:hAnsi="Arial Narrow" w:cs="Arial Narrow"/>
                <w:bCs/>
                <w:lang w:eastAsia="en-ZA"/>
              </w:rPr>
            </w:pPr>
            <w:r w:rsidRPr="00681B1C">
              <w:rPr>
                <w:rFonts w:ascii="Arial Narrow" w:eastAsiaTheme="minorEastAsia" w:hAnsi="Arial Narrow" w:cs="Arial Narrow"/>
                <w:bCs/>
                <w:lang w:eastAsia="en-ZA"/>
              </w:rPr>
              <w:t xml:space="preserve">The Department reports that both the </w:t>
            </w:r>
            <w:r w:rsidRPr="00681B1C">
              <w:rPr>
                <w:rFonts w:ascii="Arial Narrow" w:eastAsiaTheme="minorEastAsia" w:hAnsi="Arial Narrow" w:cs="Arial Narrow"/>
                <w:b/>
                <w:lang w:eastAsia="en-ZA"/>
              </w:rPr>
              <w:t>Municipal Infrastructure Grants (MIGs) and Integrated Urban Development Grant (IUDG)</w:t>
            </w:r>
            <w:r w:rsidRPr="00681B1C">
              <w:rPr>
                <w:rFonts w:ascii="Arial Narrow" w:eastAsiaTheme="minorEastAsia" w:hAnsi="Arial Narrow" w:cs="Arial Narrow"/>
                <w:bCs/>
                <w:lang w:eastAsia="en-ZA"/>
              </w:rPr>
              <w:t xml:space="preserve"> were monitored during the quarter under review. The MIG expenditure is currently sitting at 29% (an increase from 14% in the previous quarter) and 61% (another increases from 16% in the previous quarter) on the IUDG.</w:t>
            </w:r>
          </w:p>
          <w:p w14:paraId="7DF2620B" w14:textId="77777777" w:rsidR="00681B1C" w:rsidRPr="00681B1C" w:rsidRDefault="00681B1C" w:rsidP="00681B1C">
            <w:pPr>
              <w:tabs>
                <w:tab w:val="center" w:pos="6838"/>
              </w:tabs>
              <w:spacing w:after="200" w:line="276" w:lineRule="auto"/>
              <w:contextualSpacing/>
              <w:rPr>
                <w:rFonts w:ascii="Arial Narrow" w:eastAsiaTheme="minorEastAsia" w:hAnsi="Arial Narrow" w:cs="Arial Narrow"/>
                <w:bCs/>
                <w:lang w:eastAsia="en-ZA"/>
              </w:rPr>
            </w:pPr>
          </w:p>
          <w:p w14:paraId="56A84571" w14:textId="77777777" w:rsidR="00681B1C" w:rsidRPr="00681B1C" w:rsidRDefault="00681B1C" w:rsidP="00681B1C">
            <w:pPr>
              <w:tabs>
                <w:tab w:val="center" w:pos="6838"/>
              </w:tabs>
              <w:spacing w:after="200" w:line="276" w:lineRule="auto"/>
              <w:contextualSpacing/>
              <w:rPr>
                <w:rFonts w:ascii="Arial Narrow" w:eastAsiaTheme="minorEastAsia" w:hAnsi="Arial Narrow" w:cs="Arial Narrow"/>
                <w:b/>
                <w:lang w:eastAsia="en-ZA"/>
              </w:rPr>
            </w:pPr>
            <w:r w:rsidRPr="00681B1C">
              <w:rPr>
                <w:rFonts w:ascii="Arial Narrow" w:eastAsiaTheme="minorEastAsia" w:hAnsi="Arial Narrow" w:cs="Arial Narrow"/>
                <w:bCs/>
                <w:lang w:eastAsia="en-ZA"/>
              </w:rPr>
              <w:t xml:space="preserve">The Department outlines that nine (9) municipalities will be supported with technical skills capacity through multi-disciplinary teams (engineering and town planning) for the fourth quarter of 2021/22 FY. This was not achieved due to lack of funding and the project has been deferred to the next financial year. </w:t>
            </w:r>
            <w:r w:rsidRPr="00681B1C">
              <w:rPr>
                <w:rFonts w:ascii="Arial Narrow" w:eastAsiaTheme="minorEastAsia" w:hAnsi="Arial Narrow" w:cs="Arial Narrow"/>
                <w:b/>
                <w:lang w:eastAsia="en-ZA"/>
              </w:rPr>
              <w:t xml:space="preserve">One can argue that the Department should have reprioritised some portion of the amount incurred from the under-expenditure to achieve this target. The target should have also been broken down per districts so as to accommodate the available funding. Taking into consideration the constitutional obligation that the Department have on municipalities, its inability to support and build capacity through multi-disciplinary teams should be viewed with concern. </w:t>
            </w:r>
          </w:p>
          <w:p w14:paraId="107CED39" w14:textId="77777777" w:rsidR="00681B1C" w:rsidRPr="00681B1C" w:rsidRDefault="00681B1C" w:rsidP="00681B1C">
            <w:pPr>
              <w:tabs>
                <w:tab w:val="center" w:pos="6838"/>
              </w:tabs>
              <w:spacing w:after="200" w:line="276" w:lineRule="auto"/>
              <w:contextualSpacing/>
              <w:rPr>
                <w:rFonts w:ascii="Arial Narrow" w:eastAsiaTheme="minorEastAsia" w:hAnsi="Arial Narrow" w:cs="Arial Narrow"/>
                <w:b/>
                <w:lang w:eastAsia="en-ZA"/>
              </w:rPr>
            </w:pPr>
          </w:p>
          <w:p w14:paraId="23A57023" w14:textId="77777777" w:rsidR="00681B1C" w:rsidRPr="00681B1C" w:rsidRDefault="00681B1C" w:rsidP="00681B1C">
            <w:pPr>
              <w:tabs>
                <w:tab w:val="center" w:pos="6838"/>
              </w:tabs>
              <w:spacing w:after="200" w:line="276" w:lineRule="auto"/>
              <w:contextualSpacing/>
              <w:rPr>
                <w:rFonts w:ascii="Arial Narrow" w:eastAsiaTheme="minorEastAsia" w:hAnsi="Arial Narrow" w:cs="Arial Narrow"/>
                <w:b/>
                <w:lang w:eastAsia="en-ZA"/>
              </w:rPr>
            </w:pPr>
            <w:r w:rsidRPr="00681B1C">
              <w:rPr>
                <w:rFonts w:ascii="Arial Narrow" w:eastAsiaTheme="minorEastAsia" w:hAnsi="Arial Narrow" w:cs="Arial Narrow"/>
                <w:bCs/>
                <w:lang w:eastAsia="en-ZA"/>
              </w:rPr>
              <w:t xml:space="preserve">The Department reports that fifty (50) large power users and commercial customers meters will be replaced in Merafong LM in the fourth quarter of 2021/22 FY. However, the target was not achieved, owing to the lack of funding. </w:t>
            </w:r>
            <w:r w:rsidRPr="00681B1C">
              <w:rPr>
                <w:rFonts w:ascii="Arial Narrow" w:eastAsiaTheme="minorEastAsia" w:hAnsi="Arial Narrow" w:cs="Arial Narrow"/>
                <w:b/>
                <w:lang w:eastAsia="en-ZA"/>
              </w:rPr>
              <w:t>The project is deferred in the 2022/23 FY. This non-achievement entails the following:</w:t>
            </w:r>
          </w:p>
          <w:p w14:paraId="1CCBACAF" w14:textId="77777777" w:rsidR="00681B1C" w:rsidRPr="00681B1C" w:rsidRDefault="00681B1C" w:rsidP="00681B1C">
            <w:pPr>
              <w:numPr>
                <w:ilvl w:val="0"/>
                <w:numId w:val="25"/>
              </w:numPr>
              <w:tabs>
                <w:tab w:val="center" w:pos="6838"/>
              </w:tabs>
              <w:spacing w:after="200" w:line="276" w:lineRule="auto"/>
              <w:contextualSpacing/>
              <w:rPr>
                <w:rFonts w:ascii="Arial Narrow" w:eastAsiaTheme="minorEastAsia" w:hAnsi="Arial Narrow" w:cs="Arial Narrow"/>
                <w:b/>
                <w:lang w:eastAsia="en-ZA"/>
              </w:rPr>
            </w:pPr>
            <w:r w:rsidRPr="00681B1C">
              <w:rPr>
                <w:rFonts w:ascii="Arial Narrow" w:eastAsiaTheme="minorEastAsia" w:hAnsi="Arial Narrow" w:cs="Arial Narrow"/>
                <w:b/>
                <w:lang w:eastAsia="en-ZA"/>
              </w:rPr>
              <w:t>Poor capacity to ensure correct or accurate billing;</w:t>
            </w:r>
          </w:p>
          <w:p w14:paraId="4CAC715E" w14:textId="77777777" w:rsidR="00681B1C" w:rsidRPr="00681B1C" w:rsidRDefault="00681B1C" w:rsidP="00681B1C">
            <w:pPr>
              <w:numPr>
                <w:ilvl w:val="0"/>
                <w:numId w:val="25"/>
              </w:numPr>
              <w:tabs>
                <w:tab w:val="center" w:pos="6838"/>
              </w:tabs>
              <w:spacing w:after="200" w:line="276" w:lineRule="auto"/>
              <w:contextualSpacing/>
              <w:rPr>
                <w:rFonts w:ascii="Arial Narrow" w:eastAsiaTheme="minorEastAsia" w:hAnsi="Arial Narrow" w:cs="Arial Narrow"/>
                <w:b/>
                <w:lang w:eastAsia="en-ZA"/>
              </w:rPr>
            </w:pPr>
            <w:r w:rsidRPr="00681B1C">
              <w:rPr>
                <w:rFonts w:ascii="Arial Narrow" w:eastAsiaTheme="minorEastAsia" w:hAnsi="Arial Narrow" w:cs="Arial Narrow"/>
                <w:b/>
                <w:lang w:eastAsia="en-ZA"/>
              </w:rPr>
              <w:t>Inadequate revenue collection;</w:t>
            </w:r>
          </w:p>
          <w:p w14:paraId="0E85FB0B" w14:textId="77777777" w:rsidR="00681B1C" w:rsidRPr="00681B1C" w:rsidRDefault="00681B1C" w:rsidP="00681B1C">
            <w:pPr>
              <w:numPr>
                <w:ilvl w:val="0"/>
                <w:numId w:val="25"/>
              </w:numPr>
              <w:tabs>
                <w:tab w:val="center" w:pos="6838"/>
              </w:tabs>
              <w:spacing w:after="200" w:line="276" w:lineRule="auto"/>
              <w:contextualSpacing/>
              <w:rPr>
                <w:rFonts w:ascii="Arial Narrow" w:eastAsiaTheme="minorEastAsia" w:hAnsi="Arial Narrow" w:cs="Arial Narrow"/>
                <w:b/>
                <w:lang w:eastAsia="en-ZA"/>
              </w:rPr>
            </w:pPr>
            <w:r w:rsidRPr="00681B1C">
              <w:rPr>
                <w:rFonts w:ascii="Arial Narrow" w:eastAsiaTheme="minorEastAsia" w:hAnsi="Arial Narrow" w:cs="Arial Narrow"/>
                <w:b/>
                <w:lang w:eastAsia="en-ZA"/>
              </w:rPr>
              <w:t>Exacerbate municipal consumer debt;</w:t>
            </w:r>
          </w:p>
          <w:p w14:paraId="09E5C4FD" w14:textId="78737F4F" w:rsidR="00681B1C" w:rsidRDefault="00681B1C" w:rsidP="00B33C09">
            <w:pPr>
              <w:tabs>
                <w:tab w:val="center" w:pos="6838"/>
              </w:tabs>
              <w:spacing w:after="200" w:line="276" w:lineRule="auto"/>
              <w:contextualSpacing/>
              <w:rPr>
                <w:rFonts w:ascii="Arial Narrow" w:eastAsiaTheme="minorEastAsia" w:hAnsi="Arial Narrow" w:cs="Arial Narrow"/>
                <w:lang w:eastAsia="en-ZA"/>
              </w:rPr>
            </w:pPr>
          </w:p>
          <w:p w14:paraId="3DECD12E" w14:textId="77777777" w:rsidR="00C624A5" w:rsidRPr="00C624A5" w:rsidRDefault="00C624A5" w:rsidP="00C624A5">
            <w:pPr>
              <w:tabs>
                <w:tab w:val="center" w:pos="6838"/>
              </w:tabs>
              <w:spacing w:after="200" w:line="276" w:lineRule="auto"/>
              <w:contextualSpacing/>
              <w:rPr>
                <w:rFonts w:ascii="Arial Narrow" w:eastAsiaTheme="minorEastAsia" w:hAnsi="Arial Narrow" w:cs="Arial Narrow"/>
                <w:b/>
                <w:lang w:eastAsia="en-ZA"/>
              </w:rPr>
            </w:pPr>
            <w:r w:rsidRPr="00C624A5">
              <w:rPr>
                <w:rFonts w:ascii="Arial Narrow" w:eastAsiaTheme="minorEastAsia" w:hAnsi="Arial Narrow" w:cs="Arial Narrow"/>
                <w:bCs/>
                <w:lang w:eastAsia="en-ZA"/>
              </w:rPr>
              <w:lastRenderedPageBreak/>
              <w:t xml:space="preserve">The Department outlines that it will complete micro disaster risk assessment by the end of the fourth quarter of 2021/22 FY. The target was not achieved because of budgetary constraints to pay monthly project costs from December 2021 to March 2022. It has been deferred to the next financial year. </w:t>
            </w:r>
            <w:r w:rsidRPr="00C624A5">
              <w:rPr>
                <w:rFonts w:ascii="Arial Narrow" w:eastAsiaTheme="minorEastAsia" w:hAnsi="Arial Narrow" w:cs="Arial Narrow"/>
                <w:b/>
                <w:lang w:eastAsia="en-ZA"/>
              </w:rPr>
              <w:t xml:space="preserve">The Portfolio Committee should monitor progress to strengthen its checks and balances over the Department. </w:t>
            </w:r>
          </w:p>
          <w:bookmarkEnd w:id="14"/>
          <w:p w14:paraId="7FCFA624" w14:textId="711B679F" w:rsidR="00C67AB3" w:rsidRDefault="00C67AB3" w:rsidP="006C0807">
            <w:pPr>
              <w:tabs>
                <w:tab w:val="center" w:pos="6838"/>
              </w:tabs>
              <w:spacing w:after="200" w:line="276" w:lineRule="auto"/>
              <w:contextualSpacing/>
              <w:rPr>
                <w:rFonts w:ascii="Arial Narrow" w:eastAsiaTheme="minorEastAsia" w:hAnsi="Arial Narrow" w:cs="Arial Narrow"/>
                <w:lang w:eastAsia="en-ZA"/>
              </w:rPr>
            </w:pPr>
          </w:p>
          <w:p w14:paraId="28321B2B" w14:textId="287A7F7A" w:rsidR="00E079CC" w:rsidRDefault="00E079CC" w:rsidP="00E079CC">
            <w:pPr>
              <w:tabs>
                <w:tab w:val="center" w:pos="6838"/>
              </w:tabs>
              <w:spacing w:after="200" w:line="276" w:lineRule="auto"/>
              <w:contextualSpacing/>
              <w:rPr>
                <w:rFonts w:ascii="Arial Narrow" w:eastAsiaTheme="minorEastAsia" w:hAnsi="Arial Narrow" w:cs="Arial Narrow"/>
                <w:b/>
                <w:lang w:eastAsia="en-ZA"/>
              </w:rPr>
            </w:pPr>
            <w:bookmarkStart w:id="15" w:name="_Hlk48721501"/>
            <w:r w:rsidRPr="00E079CC">
              <w:rPr>
                <w:rFonts w:ascii="Arial Narrow" w:eastAsiaTheme="minorEastAsia" w:hAnsi="Arial Narrow" w:cs="Arial Narrow"/>
                <w:b/>
                <w:lang w:eastAsia="en-ZA"/>
              </w:rPr>
              <w:t xml:space="preserve">PROGRAMME 4: </w:t>
            </w:r>
            <w:bookmarkEnd w:id="15"/>
            <w:r w:rsidRPr="00E079CC">
              <w:rPr>
                <w:rFonts w:ascii="Arial Narrow" w:eastAsiaTheme="minorEastAsia" w:hAnsi="Arial Narrow" w:cs="Arial Narrow"/>
                <w:b/>
                <w:lang w:eastAsia="en-ZA"/>
              </w:rPr>
              <w:t>DEVELOPMENT</w:t>
            </w:r>
            <w:r w:rsidR="00142A6E">
              <w:rPr>
                <w:rFonts w:ascii="Arial Narrow" w:eastAsiaTheme="minorEastAsia" w:hAnsi="Arial Narrow" w:cs="Arial Narrow"/>
                <w:b/>
                <w:lang w:eastAsia="en-ZA"/>
              </w:rPr>
              <w:t xml:space="preserve"> AND PLANNING</w:t>
            </w:r>
          </w:p>
          <w:p w14:paraId="7E7944DB" w14:textId="0D538816" w:rsidR="00142A6E" w:rsidRDefault="00142A6E" w:rsidP="00E079CC">
            <w:pPr>
              <w:tabs>
                <w:tab w:val="center" w:pos="6838"/>
              </w:tabs>
              <w:spacing w:after="200" w:line="276" w:lineRule="auto"/>
              <w:contextualSpacing/>
              <w:rPr>
                <w:rFonts w:ascii="Arial Narrow" w:eastAsiaTheme="minorEastAsia" w:hAnsi="Arial Narrow" w:cs="Arial Narrow"/>
                <w:b/>
                <w:lang w:eastAsia="en-ZA"/>
              </w:rPr>
            </w:pPr>
          </w:p>
          <w:p w14:paraId="1A959D1B" w14:textId="13A381DA" w:rsidR="00C34E51" w:rsidRPr="00C34E51" w:rsidRDefault="00C34E51" w:rsidP="00C34E51">
            <w:pPr>
              <w:tabs>
                <w:tab w:val="center" w:pos="6838"/>
              </w:tabs>
              <w:spacing w:after="200" w:line="276" w:lineRule="auto"/>
              <w:contextualSpacing/>
              <w:rPr>
                <w:rFonts w:ascii="Arial Narrow" w:eastAsiaTheme="minorEastAsia" w:hAnsi="Arial Narrow" w:cs="Arial Narrow"/>
                <w:b/>
                <w:u w:val="single"/>
                <w:lang w:eastAsia="en-ZA"/>
              </w:rPr>
            </w:pPr>
            <w:r w:rsidRPr="00C34E51">
              <w:rPr>
                <w:rFonts w:ascii="Arial Narrow" w:eastAsiaTheme="minorEastAsia" w:hAnsi="Arial Narrow" w:cs="Arial Narrow"/>
                <w:b/>
                <w:u w:val="single"/>
                <w:lang w:eastAsia="en-ZA"/>
              </w:rPr>
              <w:t xml:space="preserve">Intergovernmental </w:t>
            </w:r>
            <w:r w:rsidR="00915936">
              <w:rPr>
                <w:rFonts w:ascii="Arial Narrow" w:eastAsiaTheme="minorEastAsia" w:hAnsi="Arial Narrow" w:cs="Arial Narrow"/>
                <w:b/>
                <w:u w:val="single"/>
                <w:lang w:eastAsia="en-ZA"/>
              </w:rPr>
              <w:t>R</w:t>
            </w:r>
            <w:r w:rsidRPr="00C34E51">
              <w:rPr>
                <w:rFonts w:ascii="Arial Narrow" w:eastAsiaTheme="minorEastAsia" w:hAnsi="Arial Narrow" w:cs="Arial Narrow"/>
                <w:b/>
                <w:u w:val="single"/>
                <w:lang w:eastAsia="en-ZA"/>
              </w:rPr>
              <w:t xml:space="preserve">elations </w:t>
            </w:r>
            <w:r w:rsidR="00915936">
              <w:rPr>
                <w:rFonts w:ascii="Arial Narrow" w:eastAsiaTheme="minorEastAsia" w:hAnsi="Arial Narrow" w:cs="Arial Narrow"/>
                <w:b/>
                <w:u w:val="single"/>
                <w:lang w:eastAsia="en-ZA"/>
              </w:rPr>
              <w:t>S</w:t>
            </w:r>
            <w:r w:rsidRPr="00C34E51">
              <w:rPr>
                <w:rFonts w:ascii="Arial Narrow" w:eastAsiaTheme="minorEastAsia" w:hAnsi="Arial Narrow" w:cs="Arial Narrow"/>
                <w:b/>
                <w:u w:val="single"/>
                <w:lang w:eastAsia="en-ZA"/>
              </w:rPr>
              <w:t>ub-</w:t>
            </w:r>
            <w:r w:rsidR="00915936">
              <w:rPr>
                <w:rFonts w:ascii="Arial Narrow" w:eastAsiaTheme="minorEastAsia" w:hAnsi="Arial Narrow" w:cs="Arial Narrow"/>
                <w:b/>
                <w:u w:val="single"/>
                <w:lang w:eastAsia="en-ZA"/>
              </w:rPr>
              <w:t>P</w:t>
            </w:r>
            <w:r w:rsidRPr="00C34E51">
              <w:rPr>
                <w:rFonts w:ascii="Arial Narrow" w:eastAsiaTheme="minorEastAsia" w:hAnsi="Arial Narrow" w:cs="Arial Narrow"/>
                <w:b/>
                <w:u w:val="single"/>
                <w:lang w:eastAsia="en-ZA"/>
              </w:rPr>
              <w:t>rogramme</w:t>
            </w:r>
          </w:p>
          <w:p w14:paraId="78B8D0AC" w14:textId="77777777" w:rsidR="00C34E51" w:rsidRPr="00C34E51" w:rsidRDefault="00C34E51" w:rsidP="00C34E51">
            <w:pPr>
              <w:tabs>
                <w:tab w:val="center" w:pos="6838"/>
              </w:tabs>
              <w:spacing w:after="200" w:line="276" w:lineRule="auto"/>
              <w:contextualSpacing/>
              <w:rPr>
                <w:rFonts w:ascii="Arial Narrow" w:eastAsiaTheme="minorEastAsia" w:hAnsi="Arial Narrow" w:cs="Arial Narrow"/>
                <w:lang w:eastAsia="en-ZA"/>
              </w:rPr>
            </w:pPr>
            <w:r w:rsidRPr="00C34E51">
              <w:rPr>
                <w:rFonts w:ascii="Arial Narrow" w:eastAsiaTheme="minorEastAsia" w:hAnsi="Arial Narrow" w:cs="Arial Narrow"/>
                <w:lang w:eastAsia="en-ZA"/>
              </w:rPr>
              <w:t xml:space="preserve">The Department plans that four (4) IGR structures are functional in accordance with the IGR framework by the end of the fourth quarter of 2021/22 FY. It is reported that the Department convened two (2) of those and there were local government elections in November 2021 which made it impossible for the outstanding IGR structures to convene. </w:t>
            </w:r>
          </w:p>
          <w:p w14:paraId="589877A7" w14:textId="77777777" w:rsidR="00142A6E" w:rsidRDefault="00142A6E" w:rsidP="00E079CC">
            <w:pPr>
              <w:tabs>
                <w:tab w:val="center" w:pos="6838"/>
              </w:tabs>
              <w:spacing w:after="200" w:line="276" w:lineRule="auto"/>
              <w:contextualSpacing/>
              <w:rPr>
                <w:rFonts w:ascii="Arial Narrow" w:eastAsiaTheme="minorEastAsia" w:hAnsi="Arial Narrow" w:cs="Arial Narrow"/>
                <w:b/>
                <w:lang w:eastAsia="en-ZA"/>
              </w:rPr>
            </w:pPr>
          </w:p>
          <w:p w14:paraId="5F1F663F" w14:textId="77777777" w:rsidR="00B219E3" w:rsidRPr="00B219E3" w:rsidRDefault="00B219E3" w:rsidP="00B219E3">
            <w:pPr>
              <w:tabs>
                <w:tab w:val="center" w:pos="6838"/>
              </w:tabs>
              <w:spacing w:after="200" w:line="276" w:lineRule="auto"/>
              <w:contextualSpacing/>
              <w:rPr>
                <w:rFonts w:ascii="Arial Narrow" w:eastAsiaTheme="minorEastAsia" w:hAnsi="Arial Narrow" w:cs="Arial Narrow"/>
                <w:b/>
                <w:lang w:eastAsia="en-ZA"/>
              </w:rPr>
            </w:pPr>
            <w:r w:rsidRPr="00B219E3">
              <w:rPr>
                <w:rFonts w:ascii="Arial Narrow" w:eastAsiaTheme="minorEastAsia" w:hAnsi="Arial Narrow" w:cs="Arial Narrow"/>
                <w:b/>
                <w:lang w:eastAsia="en-ZA"/>
              </w:rPr>
              <w:t>PROGRAMME FIVE: TRADITIONAL INSTITUTIONAL DEVELOPMENT</w:t>
            </w:r>
          </w:p>
          <w:p w14:paraId="52A2592D" w14:textId="77777777" w:rsidR="00B219E3" w:rsidRPr="00B219E3" w:rsidRDefault="00B219E3" w:rsidP="00B219E3">
            <w:pPr>
              <w:tabs>
                <w:tab w:val="center" w:pos="6838"/>
              </w:tabs>
              <w:spacing w:after="200" w:line="276" w:lineRule="auto"/>
              <w:contextualSpacing/>
              <w:rPr>
                <w:rFonts w:ascii="Arial Narrow" w:eastAsiaTheme="minorEastAsia" w:hAnsi="Arial Narrow" w:cs="Arial Narrow"/>
                <w:b/>
                <w:bCs/>
                <w:lang w:eastAsia="en-ZA"/>
              </w:rPr>
            </w:pPr>
            <w:r w:rsidRPr="00B219E3">
              <w:rPr>
                <w:rFonts w:ascii="Arial Narrow" w:eastAsiaTheme="minorEastAsia" w:hAnsi="Arial Narrow" w:cs="Arial Narrow"/>
                <w:b/>
                <w:bCs/>
                <w:lang w:eastAsia="en-ZA"/>
              </w:rPr>
              <w:t xml:space="preserve">Support to the institution of traditional leadership in the implementation of policies, norms, standards, systems and regulatory framework. </w:t>
            </w:r>
          </w:p>
          <w:p w14:paraId="3943E878" w14:textId="77777777" w:rsidR="00B219E3" w:rsidRPr="00B219E3" w:rsidRDefault="00B219E3" w:rsidP="00B219E3">
            <w:pPr>
              <w:tabs>
                <w:tab w:val="center" w:pos="6838"/>
              </w:tabs>
              <w:spacing w:after="200" w:line="276" w:lineRule="auto"/>
              <w:contextualSpacing/>
              <w:rPr>
                <w:rFonts w:ascii="Arial Narrow" w:eastAsiaTheme="minorEastAsia" w:hAnsi="Arial Narrow" w:cs="Arial Narrow"/>
                <w:b/>
                <w:bCs/>
                <w:lang w:eastAsia="en-ZA"/>
              </w:rPr>
            </w:pPr>
          </w:p>
          <w:p w14:paraId="7D3A0441" w14:textId="5D46D371" w:rsidR="00B219E3" w:rsidRPr="00B219E3" w:rsidRDefault="00B219E3" w:rsidP="00B219E3">
            <w:pPr>
              <w:tabs>
                <w:tab w:val="center" w:pos="6838"/>
              </w:tabs>
              <w:spacing w:after="200" w:line="276" w:lineRule="auto"/>
              <w:contextualSpacing/>
              <w:rPr>
                <w:rFonts w:ascii="Arial Narrow" w:eastAsiaTheme="minorEastAsia" w:hAnsi="Arial Narrow" w:cs="Arial Narrow"/>
                <w:lang w:eastAsia="en-ZA"/>
              </w:rPr>
            </w:pPr>
            <w:r w:rsidRPr="00B219E3">
              <w:rPr>
                <w:rFonts w:ascii="Arial Narrow" w:eastAsiaTheme="minorEastAsia" w:hAnsi="Arial Narrow" w:cs="Arial Narrow"/>
                <w:lang w:eastAsia="en-ZA"/>
              </w:rPr>
              <w:t>The Department report</w:t>
            </w:r>
            <w:r w:rsidR="001D2682">
              <w:rPr>
                <w:rFonts w:ascii="Arial Narrow" w:eastAsiaTheme="minorEastAsia" w:hAnsi="Arial Narrow" w:cs="Arial Narrow"/>
                <w:lang w:eastAsia="en-ZA"/>
              </w:rPr>
              <w:t>ed</w:t>
            </w:r>
            <w:r w:rsidRPr="00B219E3">
              <w:rPr>
                <w:rFonts w:ascii="Arial Narrow" w:eastAsiaTheme="minorEastAsia" w:hAnsi="Arial Narrow" w:cs="Arial Narrow"/>
                <w:lang w:eastAsia="en-ZA"/>
              </w:rPr>
              <w:t xml:space="preserve"> that it has achieved all the planned targets during the quarter under review. This includes compliance with legislative prescripts of both traditional councils, workshop held with Khoi-San communities, grant requirements and most importantly the submission of financial records. </w:t>
            </w:r>
          </w:p>
          <w:p w14:paraId="1EAA4107" w14:textId="56307642" w:rsidR="00A12185" w:rsidRPr="0049235F" w:rsidRDefault="00A12185" w:rsidP="001D2682">
            <w:pPr>
              <w:tabs>
                <w:tab w:val="center" w:pos="6838"/>
              </w:tabs>
              <w:spacing w:after="200" w:line="276" w:lineRule="auto"/>
              <w:contextualSpacing/>
              <w:rPr>
                <w:rFonts w:ascii="Arial Narrow" w:eastAsia="Calibri" w:hAnsi="Arial Narrow" w:cs="Times New Roman"/>
                <w:bCs/>
                <w:lang w:val="en-US"/>
              </w:rPr>
            </w:pPr>
          </w:p>
        </w:tc>
      </w:tr>
      <w:tr w:rsidR="007B55E7" w:rsidRPr="00D74068" w14:paraId="4F71ADD5" w14:textId="77777777" w:rsidTr="004E75A7">
        <w:tc>
          <w:tcPr>
            <w:tcW w:w="13892" w:type="dxa"/>
            <w:shd w:val="clear" w:color="auto" w:fill="D9D9D9" w:themeFill="background1" w:themeFillShade="D9"/>
          </w:tcPr>
          <w:p w14:paraId="40B734CF" w14:textId="48F7DF4A" w:rsidR="007B55E7" w:rsidRPr="0036498B" w:rsidRDefault="007B55E7" w:rsidP="000F7DFB">
            <w:pPr>
              <w:rPr>
                <w:rFonts w:ascii="Arial Narrow" w:hAnsi="Arial Narrow" w:cs="Arial Narrow"/>
                <w:b/>
                <w:color w:val="FF0000"/>
              </w:rPr>
            </w:pPr>
            <w:r w:rsidRPr="008479E0">
              <w:rPr>
                <w:rFonts w:ascii="Arial Narrow" w:hAnsi="Arial Narrow" w:cs="Arial Narrow"/>
                <w:b/>
              </w:rPr>
              <w:lastRenderedPageBreak/>
              <w:t xml:space="preserve">Summarized information on any unplanned / emerging priorities reported on by the </w:t>
            </w:r>
            <w:r w:rsidR="00D74068" w:rsidRPr="008479E0">
              <w:rPr>
                <w:rFonts w:ascii="Arial Narrow" w:hAnsi="Arial Narrow" w:cs="Arial Narrow"/>
                <w:b/>
              </w:rPr>
              <w:t>Department / Entity</w:t>
            </w:r>
            <w:r w:rsidRPr="008479E0">
              <w:rPr>
                <w:rFonts w:ascii="Arial Narrow" w:hAnsi="Arial Narrow" w:cs="Arial Narrow"/>
                <w:b/>
              </w:rPr>
              <w:t xml:space="preserve"> during the period under review</w:t>
            </w:r>
          </w:p>
        </w:tc>
      </w:tr>
      <w:tr w:rsidR="007B55E7" w:rsidRPr="001619AC" w14:paraId="01C402AC" w14:textId="77777777" w:rsidTr="000F7DFB">
        <w:tc>
          <w:tcPr>
            <w:tcW w:w="13892" w:type="dxa"/>
          </w:tcPr>
          <w:p w14:paraId="5726ACE7" w14:textId="1B2A9025" w:rsidR="007B55E7" w:rsidRPr="001619AC" w:rsidRDefault="00220AE6" w:rsidP="000F7DFB">
            <w:pPr>
              <w:rPr>
                <w:rFonts w:ascii="Arial Narrow" w:hAnsi="Arial Narrow" w:cs="Arial"/>
                <w:bCs/>
              </w:rPr>
            </w:pPr>
            <w:r w:rsidRPr="001619AC">
              <w:rPr>
                <w:rFonts w:ascii="Arial Narrow" w:hAnsi="Arial Narrow" w:cs="Arial"/>
                <w:bCs/>
              </w:rPr>
              <w:t>There were none unplanned or emerging priorities reported for the quarter.</w:t>
            </w:r>
          </w:p>
        </w:tc>
      </w:tr>
      <w:tr w:rsidR="007B55E7" w:rsidRPr="001619AC" w14:paraId="441F7A70" w14:textId="77777777" w:rsidTr="004E75A7">
        <w:tc>
          <w:tcPr>
            <w:tcW w:w="13892" w:type="dxa"/>
            <w:shd w:val="clear" w:color="auto" w:fill="D9D9D9" w:themeFill="background1" w:themeFillShade="D9"/>
          </w:tcPr>
          <w:p w14:paraId="57A73169" w14:textId="6F742910" w:rsidR="007B55E7" w:rsidRPr="001619AC" w:rsidRDefault="007B55E7" w:rsidP="000F7DFB">
            <w:pPr>
              <w:rPr>
                <w:rFonts w:ascii="Arial Narrow" w:hAnsi="Arial Narrow" w:cs="Arial Narrow"/>
                <w:b/>
              </w:rPr>
            </w:pPr>
            <w:r w:rsidRPr="001619AC">
              <w:rPr>
                <w:rFonts w:ascii="Arial Narrow" w:hAnsi="Arial Narrow" w:cs="Arial Narrow"/>
                <w:b/>
              </w:rPr>
              <w:t xml:space="preserve">Summarized information on how the </w:t>
            </w:r>
            <w:r w:rsidR="00D74068" w:rsidRPr="001619AC">
              <w:rPr>
                <w:rFonts w:ascii="Arial Narrow" w:hAnsi="Arial Narrow" w:cs="Arial Narrow"/>
                <w:b/>
              </w:rPr>
              <w:t xml:space="preserve">Department </w:t>
            </w:r>
            <w:r w:rsidRPr="001619AC">
              <w:rPr>
                <w:rFonts w:ascii="Arial Narrow" w:hAnsi="Arial Narrow" w:cs="Arial Narrow"/>
                <w:b/>
              </w:rPr>
              <w:t>maintains portfolios of evidence to verify its reported performance information</w:t>
            </w:r>
          </w:p>
        </w:tc>
      </w:tr>
      <w:tr w:rsidR="007B55E7" w:rsidRPr="001619AC" w14:paraId="1C1B40CF" w14:textId="77777777" w:rsidTr="000F7DFB">
        <w:tc>
          <w:tcPr>
            <w:tcW w:w="13892" w:type="dxa"/>
          </w:tcPr>
          <w:p w14:paraId="27DAAACC" w14:textId="61D078D7" w:rsidR="0036498B" w:rsidRPr="001619AC" w:rsidRDefault="00825053" w:rsidP="0036498B">
            <w:pPr>
              <w:spacing w:line="276" w:lineRule="auto"/>
              <w:rPr>
                <w:rFonts w:ascii="Arial Narrow" w:hAnsi="Arial Narrow" w:cs="Arial"/>
                <w:bCs/>
                <w:iCs/>
                <w:lang w:val="en-US"/>
              </w:rPr>
            </w:pPr>
            <w:r w:rsidRPr="00825053">
              <w:rPr>
                <w:rFonts w:ascii="Arial Narrow" w:hAnsi="Arial Narrow" w:cs="Arial"/>
                <w:bCs/>
                <w:iCs/>
                <w:lang w:val="en-US"/>
              </w:rPr>
              <w:t xml:space="preserve">The </w:t>
            </w:r>
            <w:r w:rsidR="00574E49">
              <w:rPr>
                <w:rFonts w:ascii="Arial Narrow" w:hAnsi="Arial Narrow" w:cs="Arial"/>
                <w:bCs/>
                <w:iCs/>
                <w:lang w:val="en-US"/>
              </w:rPr>
              <w:t xml:space="preserve">Department reported that the </w:t>
            </w:r>
            <w:r w:rsidRPr="00825053">
              <w:rPr>
                <w:rFonts w:ascii="Arial Narrow" w:hAnsi="Arial Narrow" w:cs="Arial"/>
                <w:bCs/>
                <w:iCs/>
                <w:lang w:val="en-US"/>
              </w:rPr>
              <w:t>portfolio of evidence is submitted electronically and stored in folders.</w:t>
            </w:r>
          </w:p>
          <w:p w14:paraId="06A8FDBF" w14:textId="43C46FEA" w:rsidR="00C32E52" w:rsidRPr="001619AC" w:rsidRDefault="00C32E52" w:rsidP="00D444AE">
            <w:pPr>
              <w:spacing w:line="276" w:lineRule="auto"/>
              <w:rPr>
                <w:rFonts w:ascii="Arial" w:hAnsi="Arial" w:cs="Arial"/>
                <w:bCs/>
              </w:rPr>
            </w:pPr>
          </w:p>
        </w:tc>
      </w:tr>
    </w:tbl>
    <w:p w14:paraId="5EA7722F" w14:textId="5CEB7775" w:rsidR="00E676AD" w:rsidRPr="001619AC" w:rsidRDefault="002A7022" w:rsidP="002A7022">
      <w:pPr>
        <w:pStyle w:val="Heading1"/>
        <w:shd w:val="clear" w:color="auto" w:fill="D9D9D9" w:themeFill="background1" w:themeFillShade="D9"/>
        <w:rPr>
          <w:rFonts w:ascii="Arial Narrow" w:hAnsi="Arial Narrow"/>
          <w:color w:val="auto"/>
          <w:sz w:val="22"/>
          <w:szCs w:val="22"/>
        </w:rPr>
      </w:pPr>
      <w:bookmarkStart w:id="16" w:name="_Toc50576913"/>
      <w:r w:rsidRPr="001619AC">
        <w:rPr>
          <w:rFonts w:ascii="Arial Narrow" w:hAnsi="Arial Narrow"/>
          <w:color w:val="auto"/>
          <w:sz w:val="22"/>
          <w:szCs w:val="22"/>
        </w:rPr>
        <w:t>3</w:t>
      </w:r>
      <w:r w:rsidR="00E676AD" w:rsidRPr="001619AC">
        <w:rPr>
          <w:rFonts w:ascii="Arial Narrow" w:hAnsi="Arial Narrow"/>
          <w:color w:val="auto"/>
          <w:sz w:val="22"/>
          <w:szCs w:val="22"/>
        </w:rPr>
        <w:tab/>
      </w:r>
      <w:r w:rsidR="00600AFA" w:rsidRPr="001619AC">
        <w:rPr>
          <w:rFonts w:ascii="Arial Narrow" w:hAnsi="Arial Narrow"/>
          <w:color w:val="auto"/>
          <w:sz w:val="22"/>
          <w:szCs w:val="22"/>
        </w:rPr>
        <w:t xml:space="preserve">OVERSIGHT ON </w:t>
      </w:r>
      <w:r w:rsidR="00D74068" w:rsidRPr="001619AC">
        <w:rPr>
          <w:rFonts w:ascii="Arial Narrow" w:hAnsi="Arial Narrow"/>
          <w:color w:val="auto"/>
          <w:sz w:val="22"/>
          <w:szCs w:val="22"/>
        </w:rPr>
        <w:t>DEPARTMENT / ENTITY</w:t>
      </w:r>
      <w:r w:rsidR="00E676AD" w:rsidRPr="001619AC">
        <w:rPr>
          <w:rFonts w:ascii="Arial Narrow" w:hAnsi="Arial Narrow"/>
          <w:color w:val="auto"/>
          <w:sz w:val="22"/>
          <w:szCs w:val="22"/>
        </w:rPr>
        <w:t xml:space="preserve"> PROJECT MANAGEMENT</w:t>
      </w:r>
      <w:bookmarkEnd w:id="16"/>
    </w:p>
    <w:p w14:paraId="46CFA532" w14:textId="27014FF9" w:rsidR="00E676AD" w:rsidRPr="001619AC" w:rsidRDefault="00E676AD" w:rsidP="008E4FFD">
      <w:pPr>
        <w:spacing w:after="200" w:line="240"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600AFA" w:rsidRPr="00D74068" w14:paraId="62325839" w14:textId="77777777" w:rsidTr="000F7DFB">
        <w:trPr>
          <w:tblHeader/>
        </w:trPr>
        <w:tc>
          <w:tcPr>
            <w:tcW w:w="14459" w:type="dxa"/>
            <w:shd w:val="clear" w:color="auto" w:fill="D6E3BC" w:themeFill="accent3" w:themeFillTint="66"/>
          </w:tcPr>
          <w:p w14:paraId="28E13170" w14:textId="3021C471" w:rsidR="00600AFA" w:rsidRPr="00563DB2" w:rsidRDefault="00600AFA" w:rsidP="00C93E82">
            <w:pPr>
              <w:pStyle w:val="ListParagraph"/>
              <w:numPr>
                <w:ilvl w:val="0"/>
                <w:numId w:val="5"/>
              </w:numPr>
              <w:rPr>
                <w:rFonts w:ascii="Arial Narrow" w:hAnsi="Arial Narrow"/>
                <w:b/>
              </w:rPr>
            </w:pPr>
            <w:r w:rsidRPr="00563DB2">
              <w:rPr>
                <w:rFonts w:ascii="Arial Narrow" w:hAnsi="Arial Narrow"/>
                <w:b/>
              </w:rPr>
              <w:t>THE DETAILS ON [</w:t>
            </w:r>
            <w:r w:rsidR="00D74068" w:rsidRPr="00563DB2">
              <w:rPr>
                <w:rFonts w:ascii="Arial Narrow" w:hAnsi="Arial Narrow"/>
                <w:b/>
              </w:rPr>
              <w:t>DEPARTMENT / ENTITY</w:t>
            </w:r>
            <w:r w:rsidRPr="00563DB2">
              <w:rPr>
                <w:rFonts w:ascii="Arial Narrow" w:hAnsi="Arial Narrow"/>
                <w:b/>
              </w:rPr>
              <w:t xml:space="preserve"> PROJECT MANAGEMENT]</w:t>
            </w:r>
          </w:p>
        </w:tc>
      </w:tr>
      <w:tr w:rsidR="00600AFA" w:rsidRPr="001619AC" w14:paraId="3C4B2C65" w14:textId="77777777" w:rsidTr="000F7DFB">
        <w:tc>
          <w:tcPr>
            <w:tcW w:w="14459" w:type="dxa"/>
            <w:shd w:val="clear" w:color="auto" w:fill="FFFFFF" w:themeFill="background1"/>
          </w:tcPr>
          <w:p w14:paraId="29EADF3A" w14:textId="617D18A2" w:rsidR="00E0484D" w:rsidRPr="001619AC" w:rsidRDefault="00563DB2" w:rsidP="00E0484D">
            <w:pPr>
              <w:spacing w:line="276" w:lineRule="auto"/>
              <w:rPr>
                <w:rFonts w:ascii="Arial Narrow" w:hAnsi="Arial Narrow" w:cs="Arial"/>
                <w:bCs/>
              </w:rPr>
            </w:pPr>
            <w:r w:rsidRPr="001619AC">
              <w:rPr>
                <w:rFonts w:ascii="Arial Narrow" w:hAnsi="Arial Narrow" w:cs="Arial"/>
                <w:bCs/>
              </w:rPr>
              <w:t xml:space="preserve">The </w:t>
            </w:r>
            <w:r w:rsidR="00E0484D" w:rsidRPr="001619AC">
              <w:rPr>
                <w:rFonts w:ascii="Arial Narrow" w:hAnsi="Arial Narrow" w:cs="Arial"/>
                <w:bCs/>
              </w:rPr>
              <w:t>Department submitted a project for 4</w:t>
            </w:r>
            <w:r w:rsidR="00E0484D" w:rsidRPr="001619AC">
              <w:rPr>
                <w:rFonts w:ascii="Arial Narrow" w:hAnsi="Arial Narrow" w:cs="Arial"/>
                <w:bCs/>
                <w:vertAlign w:val="superscript"/>
              </w:rPr>
              <w:t>th</w:t>
            </w:r>
            <w:r w:rsidR="00E0484D" w:rsidRPr="001619AC">
              <w:rPr>
                <w:rFonts w:ascii="Arial Narrow" w:hAnsi="Arial Narrow" w:cs="Arial"/>
                <w:bCs/>
              </w:rPr>
              <w:t xml:space="preserve"> quarter as per the Business Plan.</w:t>
            </w:r>
          </w:p>
          <w:p w14:paraId="707B1114" w14:textId="43A93A79" w:rsidR="00600AFA" w:rsidRPr="001619AC" w:rsidRDefault="00600AFA" w:rsidP="00F81DCB">
            <w:pPr>
              <w:spacing w:line="276" w:lineRule="auto"/>
              <w:rPr>
                <w:rFonts w:ascii="Arial Narrow" w:hAnsi="Arial Narrow" w:cs="Arial"/>
                <w:bCs/>
              </w:rPr>
            </w:pPr>
          </w:p>
        </w:tc>
      </w:tr>
    </w:tbl>
    <w:p w14:paraId="0800ACC4" w14:textId="19E52778" w:rsidR="00E676AD" w:rsidRPr="001619AC" w:rsidRDefault="002A7022" w:rsidP="00E676AD">
      <w:pPr>
        <w:pStyle w:val="Heading1"/>
        <w:shd w:val="clear" w:color="auto" w:fill="D9D9D9" w:themeFill="background1" w:themeFillShade="D9"/>
        <w:rPr>
          <w:rFonts w:ascii="Arial Narrow" w:hAnsi="Arial Narrow"/>
          <w:color w:val="auto"/>
          <w:sz w:val="22"/>
          <w:szCs w:val="22"/>
        </w:rPr>
      </w:pPr>
      <w:bookmarkStart w:id="17" w:name="_Toc50576914"/>
      <w:r w:rsidRPr="001619AC">
        <w:rPr>
          <w:rFonts w:ascii="Arial Narrow" w:hAnsi="Arial Narrow"/>
          <w:color w:val="auto"/>
          <w:sz w:val="22"/>
          <w:szCs w:val="22"/>
        </w:rPr>
        <w:lastRenderedPageBreak/>
        <w:t>4</w:t>
      </w:r>
      <w:r w:rsidR="00E676AD" w:rsidRPr="001619AC">
        <w:rPr>
          <w:rFonts w:ascii="Arial Narrow" w:hAnsi="Arial Narrow"/>
          <w:color w:val="auto"/>
          <w:sz w:val="22"/>
          <w:szCs w:val="22"/>
        </w:rPr>
        <w:tab/>
      </w:r>
      <w:r w:rsidR="00600AFA" w:rsidRPr="001619AC">
        <w:rPr>
          <w:rFonts w:ascii="Arial Narrow" w:hAnsi="Arial Narrow"/>
          <w:color w:val="auto"/>
          <w:sz w:val="22"/>
          <w:szCs w:val="22"/>
        </w:rPr>
        <w:t xml:space="preserve">OVERSIGHT ON </w:t>
      </w:r>
      <w:r w:rsidR="00D74068" w:rsidRPr="001619AC">
        <w:rPr>
          <w:rFonts w:ascii="Arial Narrow" w:hAnsi="Arial Narrow"/>
          <w:color w:val="auto"/>
          <w:sz w:val="22"/>
          <w:szCs w:val="22"/>
        </w:rPr>
        <w:t>DEPARTMENT / ENTITY</w:t>
      </w:r>
      <w:r w:rsidR="00E676AD" w:rsidRPr="001619AC">
        <w:rPr>
          <w:rFonts w:ascii="Arial Narrow" w:hAnsi="Arial Narrow"/>
          <w:color w:val="auto"/>
          <w:sz w:val="22"/>
          <w:szCs w:val="22"/>
        </w:rPr>
        <w:t xml:space="preserve"> FINANCIAL PERFORMANCE</w:t>
      </w:r>
      <w:bookmarkEnd w:id="17"/>
    </w:p>
    <w:tbl>
      <w:tblPr>
        <w:tblStyle w:val="TableGrid"/>
        <w:tblW w:w="13057" w:type="dxa"/>
        <w:tblInd w:w="-5" w:type="dxa"/>
        <w:tblLook w:val="04A0" w:firstRow="1" w:lastRow="0" w:firstColumn="1" w:lastColumn="0" w:noHBand="0" w:noVBand="1"/>
      </w:tblPr>
      <w:tblGrid>
        <w:gridCol w:w="13057"/>
      </w:tblGrid>
      <w:tr w:rsidR="00663ABA" w:rsidRPr="001619AC" w14:paraId="147BE7F6" w14:textId="77777777" w:rsidTr="004F3780">
        <w:trPr>
          <w:tblHeader/>
        </w:trPr>
        <w:tc>
          <w:tcPr>
            <w:tcW w:w="13057" w:type="dxa"/>
            <w:shd w:val="clear" w:color="auto" w:fill="D6E3BC" w:themeFill="accent3" w:themeFillTint="66"/>
          </w:tcPr>
          <w:p w14:paraId="2932949C" w14:textId="7A4D0294" w:rsidR="00663ABA" w:rsidRPr="001619AC" w:rsidRDefault="00663ABA" w:rsidP="002A7022">
            <w:pPr>
              <w:rPr>
                <w:rFonts w:ascii="Arial Narrow" w:hAnsi="Arial Narrow"/>
                <w:b/>
              </w:rPr>
            </w:pPr>
            <w:r w:rsidRPr="001619AC">
              <w:rPr>
                <w:rFonts w:ascii="Arial Narrow" w:hAnsi="Arial Narrow"/>
                <w:b/>
              </w:rPr>
              <w:t>4 THE DETAILS ON DEPARTMENT / ENTITY FINANCIAL PERFORMANCE</w:t>
            </w:r>
          </w:p>
        </w:tc>
      </w:tr>
      <w:tr w:rsidR="00663ABA" w:rsidRPr="001619AC" w14:paraId="400897A4" w14:textId="77777777" w:rsidTr="004F3780">
        <w:tc>
          <w:tcPr>
            <w:tcW w:w="13057" w:type="dxa"/>
            <w:shd w:val="clear" w:color="auto" w:fill="D9D9D9" w:themeFill="background1" w:themeFillShade="D9"/>
          </w:tcPr>
          <w:p w14:paraId="707E8030" w14:textId="4127718C" w:rsidR="00663ABA" w:rsidRPr="001619AC" w:rsidRDefault="00663ABA" w:rsidP="000F7DFB">
            <w:pPr>
              <w:rPr>
                <w:rFonts w:ascii="Arial Narrow" w:hAnsi="Arial Narrow"/>
                <w:b/>
                <w:bCs/>
              </w:rPr>
            </w:pPr>
            <w:r w:rsidRPr="001619AC">
              <w:rPr>
                <w:rFonts w:ascii="Arial Narrow" w:hAnsi="Arial Narrow"/>
                <w:b/>
                <w:bCs/>
              </w:rPr>
              <w:t xml:space="preserve">Actual amount (in Rands) allocated to the Department  budget for this entire Financial Year </w:t>
            </w:r>
          </w:p>
        </w:tc>
      </w:tr>
      <w:tr w:rsidR="00663ABA" w:rsidRPr="001619AC" w14:paraId="4BB89294" w14:textId="77777777" w:rsidTr="004F3780">
        <w:tc>
          <w:tcPr>
            <w:tcW w:w="13057" w:type="dxa"/>
          </w:tcPr>
          <w:p w14:paraId="24AE3F21" w14:textId="50AF0F2C" w:rsidR="00663ABA" w:rsidRPr="001619AC" w:rsidRDefault="00BF3BE5" w:rsidP="000F7DFB">
            <w:pPr>
              <w:rPr>
                <w:rFonts w:ascii="Arial Narrow" w:hAnsi="Arial Narrow" w:cs="Arial"/>
              </w:rPr>
            </w:pPr>
            <w:r>
              <w:rPr>
                <w:rFonts w:ascii="Arial Narrow" w:hAnsi="Arial Narrow" w:cs="Arial"/>
              </w:rPr>
              <w:t>R</w:t>
            </w:r>
            <w:r w:rsidR="00254DAF" w:rsidRPr="00254DAF">
              <w:rPr>
                <w:rFonts w:ascii="Arial Narrow" w:hAnsi="Arial Narrow" w:cs="Arial"/>
              </w:rPr>
              <w:t>592</w:t>
            </w:r>
            <w:r w:rsidR="008C1C42">
              <w:rPr>
                <w:rFonts w:ascii="Arial Narrow" w:hAnsi="Arial Narrow" w:cs="Arial"/>
              </w:rPr>
              <w:t> </w:t>
            </w:r>
            <w:r w:rsidR="00254DAF" w:rsidRPr="00254DAF">
              <w:rPr>
                <w:rFonts w:ascii="Arial Narrow" w:hAnsi="Arial Narrow" w:cs="Arial"/>
              </w:rPr>
              <w:t>072</w:t>
            </w:r>
            <w:r w:rsidR="008C1C42">
              <w:rPr>
                <w:rFonts w:ascii="Arial Narrow" w:hAnsi="Arial Narrow" w:cs="Arial"/>
              </w:rPr>
              <w:t xml:space="preserve"> </w:t>
            </w:r>
            <w:r w:rsidR="00877B21" w:rsidRPr="001619AC">
              <w:rPr>
                <w:rFonts w:ascii="Arial Narrow" w:hAnsi="Arial Narrow" w:cs="Arial"/>
              </w:rPr>
              <w:t>000.00</w:t>
            </w:r>
          </w:p>
        </w:tc>
      </w:tr>
      <w:tr w:rsidR="00663ABA" w:rsidRPr="001619AC" w14:paraId="5162648C" w14:textId="77777777" w:rsidTr="004F3780">
        <w:tc>
          <w:tcPr>
            <w:tcW w:w="13057" w:type="dxa"/>
            <w:shd w:val="clear" w:color="auto" w:fill="D9D9D9" w:themeFill="background1" w:themeFillShade="D9"/>
          </w:tcPr>
          <w:p w14:paraId="02DC1D73" w14:textId="04A93DFD" w:rsidR="00663ABA" w:rsidRPr="001619AC" w:rsidRDefault="00663ABA" w:rsidP="000F7DFB">
            <w:pPr>
              <w:rPr>
                <w:rFonts w:ascii="Arial Narrow" w:hAnsi="Arial Narrow"/>
                <w:b/>
                <w:bCs/>
                <w:i/>
              </w:rPr>
            </w:pPr>
            <w:r w:rsidRPr="001619AC">
              <w:rPr>
                <w:rFonts w:ascii="Arial Narrow" w:hAnsi="Arial Narrow"/>
                <w:b/>
                <w:bCs/>
              </w:rPr>
              <w:t xml:space="preserve">Actual amount projected by the Department </w:t>
            </w:r>
            <w:r w:rsidR="00BA69E7">
              <w:rPr>
                <w:rFonts w:ascii="Arial Narrow" w:hAnsi="Arial Narrow"/>
                <w:b/>
                <w:bCs/>
              </w:rPr>
              <w:t xml:space="preserve"> </w:t>
            </w:r>
            <w:r w:rsidRPr="001619AC">
              <w:rPr>
                <w:rFonts w:ascii="Arial Narrow" w:hAnsi="Arial Narrow"/>
                <w:b/>
                <w:bCs/>
              </w:rPr>
              <w:t>to be spent only during the Q under review</w:t>
            </w:r>
          </w:p>
        </w:tc>
      </w:tr>
      <w:tr w:rsidR="00663ABA" w:rsidRPr="001619AC" w14:paraId="221542AB" w14:textId="77777777" w:rsidTr="004F3780">
        <w:tc>
          <w:tcPr>
            <w:tcW w:w="13057" w:type="dxa"/>
          </w:tcPr>
          <w:p w14:paraId="46B8294D" w14:textId="4F93B5AA" w:rsidR="00663ABA" w:rsidRPr="001619AC" w:rsidRDefault="001B79BF" w:rsidP="008712F0">
            <w:pPr>
              <w:rPr>
                <w:rFonts w:ascii="Arial Narrow" w:hAnsi="Arial Narrow"/>
              </w:rPr>
            </w:pPr>
            <w:r w:rsidRPr="001619AC">
              <w:rPr>
                <w:rFonts w:ascii="Arial Narrow" w:hAnsi="Arial Narrow"/>
              </w:rPr>
              <w:t>R</w:t>
            </w:r>
            <w:r w:rsidR="006B55B6" w:rsidRPr="006B55B6">
              <w:rPr>
                <w:rFonts w:ascii="Arial Narrow" w:hAnsi="Arial Narrow"/>
              </w:rPr>
              <w:t>127</w:t>
            </w:r>
            <w:r w:rsidR="006B55B6">
              <w:rPr>
                <w:rFonts w:ascii="Arial Narrow" w:hAnsi="Arial Narrow"/>
              </w:rPr>
              <w:t xml:space="preserve"> </w:t>
            </w:r>
            <w:r w:rsidR="006B55B6" w:rsidRPr="006B55B6">
              <w:rPr>
                <w:rFonts w:ascii="Arial Narrow" w:hAnsi="Arial Narrow"/>
              </w:rPr>
              <w:t>823</w:t>
            </w:r>
            <w:r w:rsidR="006B55B6">
              <w:rPr>
                <w:rFonts w:ascii="Arial Narrow" w:hAnsi="Arial Narrow"/>
              </w:rPr>
              <w:t xml:space="preserve"> </w:t>
            </w:r>
            <w:r w:rsidRPr="001619AC">
              <w:rPr>
                <w:rFonts w:ascii="Arial Narrow" w:hAnsi="Arial Narrow"/>
              </w:rPr>
              <w:t>000.00</w:t>
            </w:r>
          </w:p>
        </w:tc>
      </w:tr>
      <w:tr w:rsidR="00663ABA" w:rsidRPr="001619AC" w14:paraId="5FEE5D26" w14:textId="77777777" w:rsidTr="004F3780">
        <w:tc>
          <w:tcPr>
            <w:tcW w:w="13057" w:type="dxa"/>
            <w:shd w:val="clear" w:color="auto" w:fill="D9D9D9" w:themeFill="background1" w:themeFillShade="D9"/>
          </w:tcPr>
          <w:p w14:paraId="24AB6FD7" w14:textId="7727C6C7" w:rsidR="00663ABA" w:rsidRPr="001619AC" w:rsidRDefault="00663ABA" w:rsidP="000F7DFB">
            <w:pPr>
              <w:rPr>
                <w:rFonts w:ascii="Arial Narrow" w:hAnsi="Arial Narrow"/>
                <w:b/>
                <w:bCs/>
                <w:i/>
              </w:rPr>
            </w:pPr>
            <w:r w:rsidRPr="001619AC">
              <w:rPr>
                <w:rFonts w:ascii="Arial Narrow" w:hAnsi="Arial Narrow"/>
                <w:b/>
                <w:bCs/>
              </w:rPr>
              <w:t>Actual amount (in Rands) spent by the Department only during the Q under review</w:t>
            </w:r>
          </w:p>
        </w:tc>
      </w:tr>
      <w:tr w:rsidR="00663ABA" w:rsidRPr="001619AC" w14:paraId="667B7440" w14:textId="77777777" w:rsidTr="004F3780">
        <w:tc>
          <w:tcPr>
            <w:tcW w:w="13057" w:type="dxa"/>
          </w:tcPr>
          <w:p w14:paraId="56787709" w14:textId="3EE4E9D4" w:rsidR="00663ABA" w:rsidRPr="001619AC" w:rsidRDefault="001B79BF" w:rsidP="000F7DFB">
            <w:pPr>
              <w:rPr>
                <w:rFonts w:ascii="Arial Narrow" w:hAnsi="Arial Narrow" w:cs="Arial"/>
              </w:rPr>
            </w:pPr>
            <w:r w:rsidRPr="001619AC">
              <w:rPr>
                <w:rFonts w:ascii="Arial Narrow" w:hAnsi="Arial Narrow" w:cs="Arial"/>
              </w:rPr>
              <w:t>R</w:t>
            </w:r>
            <w:r w:rsidR="00233567" w:rsidRPr="00233567">
              <w:rPr>
                <w:rFonts w:ascii="Arial Narrow" w:hAnsi="Arial Narrow" w:cs="Arial"/>
              </w:rPr>
              <w:t>111</w:t>
            </w:r>
            <w:r w:rsidR="00233567">
              <w:rPr>
                <w:rFonts w:ascii="Arial Narrow" w:hAnsi="Arial Narrow" w:cs="Arial"/>
              </w:rPr>
              <w:t xml:space="preserve"> </w:t>
            </w:r>
            <w:r w:rsidR="00233567" w:rsidRPr="00233567">
              <w:rPr>
                <w:rFonts w:ascii="Arial Narrow" w:hAnsi="Arial Narrow" w:cs="Arial"/>
              </w:rPr>
              <w:t>999</w:t>
            </w:r>
            <w:r w:rsidR="00233567">
              <w:rPr>
                <w:rFonts w:ascii="Arial Narrow" w:hAnsi="Arial Narrow" w:cs="Arial"/>
              </w:rPr>
              <w:t xml:space="preserve"> </w:t>
            </w:r>
            <w:r w:rsidRPr="001619AC">
              <w:rPr>
                <w:rFonts w:ascii="Arial Narrow" w:hAnsi="Arial Narrow" w:cs="Arial"/>
              </w:rPr>
              <w:t>000.00</w:t>
            </w:r>
          </w:p>
        </w:tc>
      </w:tr>
      <w:tr w:rsidR="00663ABA" w:rsidRPr="001619AC" w14:paraId="727A97E4" w14:textId="77777777" w:rsidTr="004F3780">
        <w:tc>
          <w:tcPr>
            <w:tcW w:w="13057" w:type="dxa"/>
            <w:shd w:val="clear" w:color="auto" w:fill="D9D9D9" w:themeFill="background1" w:themeFillShade="D9"/>
          </w:tcPr>
          <w:p w14:paraId="2927AF3E" w14:textId="22B5C2EB" w:rsidR="00663ABA" w:rsidRPr="001619AC" w:rsidRDefault="00663ABA" w:rsidP="000F7DFB">
            <w:pPr>
              <w:rPr>
                <w:rFonts w:ascii="Arial Narrow" w:hAnsi="Arial Narrow"/>
                <w:b/>
                <w:bCs/>
                <w:i/>
              </w:rPr>
            </w:pPr>
            <w:r w:rsidRPr="001619AC">
              <w:rPr>
                <w:rFonts w:ascii="Arial Narrow" w:hAnsi="Arial Narrow"/>
                <w:b/>
                <w:bCs/>
              </w:rPr>
              <w:t xml:space="preserve">Total actual amount (in Rands) spent by the Department / (Year to Date), </w:t>
            </w:r>
            <w:r w:rsidR="00141B32" w:rsidRPr="001619AC">
              <w:rPr>
                <w:rFonts w:ascii="Arial Narrow" w:hAnsi="Arial Narrow"/>
                <w:b/>
                <w:bCs/>
              </w:rPr>
              <w:t>i.e.,</w:t>
            </w:r>
            <w:r w:rsidRPr="001619AC">
              <w:rPr>
                <w:rFonts w:ascii="Arial Narrow" w:hAnsi="Arial Narrow"/>
                <w:b/>
                <w:bCs/>
              </w:rPr>
              <w:t xml:space="preserve"> from the beginning of this FY to the end of this Q under review</w:t>
            </w:r>
          </w:p>
        </w:tc>
      </w:tr>
      <w:tr w:rsidR="00663ABA" w:rsidRPr="001619AC" w14:paraId="056B73F8" w14:textId="77777777" w:rsidTr="004F3780">
        <w:tc>
          <w:tcPr>
            <w:tcW w:w="13057" w:type="dxa"/>
          </w:tcPr>
          <w:p w14:paraId="6421F2C6" w14:textId="7B68BE43" w:rsidR="00663ABA" w:rsidRPr="001619AC" w:rsidRDefault="001B79BF" w:rsidP="00403483">
            <w:pPr>
              <w:rPr>
                <w:rFonts w:ascii="Arial Narrow" w:hAnsi="Arial Narrow" w:cs="Arial"/>
              </w:rPr>
            </w:pPr>
            <w:r w:rsidRPr="001619AC">
              <w:rPr>
                <w:rFonts w:ascii="Arial Narrow" w:hAnsi="Arial Narrow" w:cs="Arial"/>
              </w:rPr>
              <w:t>R</w:t>
            </w:r>
            <w:r w:rsidR="008A5DD8" w:rsidRPr="008A5DD8">
              <w:rPr>
                <w:rFonts w:ascii="Arial Narrow" w:hAnsi="Arial Narrow" w:cs="Arial"/>
              </w:rPr>
              <w:t>576</w:t>
            </w:r>
            <w:r w:rsidR="008A5DD8">
              <w:rPr>
                <w:rFonts w:ascii="Arial Narrow" w:hAnsi="Arial Narrow" w:cs="Arial"/>
              </w:rPr>
              <w:t> </w:t>
            </w:r>
            <w:r w:rsidR="008A5DD8" w:rsidRPr="008A5DD8">
              <w:rPr>
                <w:rFonts w:ascii="Arial Narrow" w:hAnsi="Arial Narrow" w:cs="Arial"/>
              </w:rPr>
              <w:t>252</w:t>
            </w:r>
            <w:r w:rsidR="008A5DD8">
              <w:rPr>
                <w:rFonts w:ascii="Arial Narrow" w:hAnsi="Arial Narrow" w:cs="Arial"/>
              </w:rPr>
              <w:t xml:space="preserve"> </w:t>
            </w:r>
            <w:r w:rsidRPr="001619AC">
              <w:rPr>
                <w:rFonts w:ascii="Arial Narrow" w:hAnsi="Arial Narrow" w:cs="Arial"/>
              </w:rPr>
              <w:t>000.00</w:t>
            </w:r>
          </w:p>
        </w:tc>
      </w:tr>
      <w:tr w:rsidR="00663ABA" w:rsidRPr="001619AC" w14:paraId="4515E96D" w14:textId="77777777" w:rsidTr="004F3780">
        <w:tc>
          <w:tcPr>
            <w:tcW w:w="13057" w:type="dxa"/>
            <w:shd w:val="clear" w:color="auto" w:fill="D9D9D9" w:themeFill="background1" w:themeFillShade="D9"/>
          </w:tcPr>
          <w:p w14:paraId="064CA300" w14:textId="77777777" w:rsidR="00663ABA" w:rsidRPr="001619AC" w:rsidRDefault="00663ABA" w:rsidP="000F7DFB">
            <w:pPr>
              <w:rPr>
                <w:rFonts w:ascii="Arial Narrow" w:hAnsi="Arial Narrow"/>
                <w:b/>
                <w:bCs/>
                <w:i/>
              </w:rPr>
            </w:pPr>
            <w:r w:rsidRPr="001619AC">
              <w:rPr>
                <w:rFonts w:ascii="Arial Narrow" w:hAnsi="Arial Narrow"/>
                <w:b/>
                <w:bCs/>
              </w:rPr>
              <w:t>Percentage (% of total budget allocation) of budget expenditure for this Q under Review only</w:t>
            </w:r>
          </w:p>
        </w:tc>
      </w:tr>
      <w:tr w:rsidR="00663ABA" w:rsidRPr="001619AC" w14:paraId="0D51EE32" w14:textId="77777777" w:rsidTr="004F3780">
        <w:tc>
          <w:tcPr>
            <w:tcW w:w="13057" w:type="dxa"/>
          </w:tcPr>
          <w:p w14:paraId="74A8DDCD" w14:textId="74AEC67A" w:rsidR="00663ABA" w:rsidRPr="001619AC" w:rsidRDefault="00223A43" w:rsidP="000F7DFB">
            <w:pPr>
              <w:rPr>
                <w:rFonts w:ascii="Arial Narrow" w:hAnsi="Arial Narrow" w:cs="Arial"/>
              </w:rPr>
            </w:pPr>
            <w:r>
              <w:rPr>
                <w:rFonts w:ascii="Arial Narrow" w:hAnsi="Arial Narrow" w:cs="Arial"/>
              </w:rPr>
              <w:t>88</w:t>
            </w:r>
            <w:r w:rsidR="00492B96" w:rsidRPr="00492B96">
              <w:rPr>
                <w:rFonts w:ascii="Arial Narrow" w:hAnsi="Arial Narrow" w:cs="Arial"/>
              </w:rPr>
              <w:t>%</w:t>
            </w:r>
          </w:p>
        </w:tc>
      </w:tr>
      <w:tr w:rsidR="00663ABA" w:rsidRPr="001619AC" w14:paraId="7806EB00" w14:textId="77777777" w:rsidTr="004F3780">
        <w:tc>
          <w:tcPr>
            <w:tcW w:w="13057" w:type="dxa"/>
            <w:shd w:val="clear" w:color="auto" w:fill="D9D9D9" w:themeFill="background1" w:themeFillShade="D9"/>
          </w:tcPr>
          <w:p w14:paraId="1B2BBD39" w14:textId="323517CA" w:rsidR="00663ABA" w:rsidRPr="001619AC" w:rsidRDefault="00663ABA" w:rsidP="000F7DFB">
            <w:pPr>
              <w:rPr>
                <w:rFonts w:ascii="Arial Narrow" w:hAnsi="Arial Narrow"/>
                <w:b/>
                <w:bCs/>
                <w:i/>
              </w:rPr>
            </w:pPr>
            <w:r w:rsidRPr="001619AC">
              <w:rPr>
                <w:rFonts w:ascii="Arial Narrow" w:hAnsi="Arial Narrow"/>
                <w:b/>
                <w:bCs/>
              </w:rPr>
              <w:t xml:space="preserve">Percentage (% of total budget allocation) of budget expenditure (Year to Date), </w:t>
            </w:r>
            <w:r w:rsidR="00141B32" w:rsidRPr="001619AC">
              <w:rPr>
                <w:rFonts w:ascii="Arial Narrow" w:hAnsi="Arial Narrow"/>
                <w:b/>
                <w:bCs/>
              </w:rPr>
              <w:t>i.e.,</w:t>
            </w:r>
            <w:r w:rsidRPr="001619AC">
              <w:rPr>
                <w:rFonts w:ascii="Arial Narrow" w:hAnsi="Arial Narrow"/>
                <w:b/>
                <w:bCs/>
              </w:rPr>
              <w:t xml:space="preserve"> from the beginning of this FY to the end of this Q under review</w:t>
            </w:r>
          </w:p>
        </w:tc>
      </w:tr>
      <w:tr w:rsidR="00663ABA" w:rsidRPr="001619AC" w14:paraId="0B05DC47" w14:textId="77777777" w:rsidTr="004F3780">
        <w:tc>
          <w:tcPr>
            <w:tcW w:w="13057" w:type="dxa"/>
          </w:tcPr>
          <w:p w14:paraId="3C726127" w14:textId="5B28327E" w:rsidR="00663ABA" w:rsidRPr="001619AC" w:rsidRDefault="00FC48FF" w:rsidP="000F7DFB">
            <w:pPr>
              <w:rPr>
                <w:rFonts w:ascii="Arial Narrow" w:hAnsi="Arial Narrow" w:cs="Arial"/>
              </w:rPr>
            </w:pPr>
            <w:r w:rsidRPr="001619AC">
              <w:rPr>
                <w:rFonts w:ascii="Arial Narrow" w:hAnsi="Arial Narrow" w:cs="Arial"/>
              </w:rPr>
              <w:t>9</w:t>
            </w:r>
            <w:r w:rsidR="009A675D">
              <w:rPr>
                <w:rFonts w:ascii="Arial Narrow" w:hAnsi="Arial Narrow" w:cs="Arial"/>
              </w:rPr>
              <w:t>7</w:t>
            </w:r>
            <w:r w:rsidR="00663ABA" w:rsidRPr="001619AC">
              <w:rPr>
                <w:rFonts w:ascii="Arial Narrow" w:hAnsi="Arial Narrow" w:cs="Arial"/>
              </w:rPr>
              <w:t>%</w:t>
            </w:r>
          </w:p>
        </w:tc>
      </w:tr>
      <w:tr w:rsidR="00663ABA" w:rsidRPr="001619AC" w14:paraId="0AAC46C8" w14:textId="77777777" w:rsidTr="004F3780">
        <w:tc>
          <w:tcPr>
            <w:tcW w:w="13057" w:type="dxa"/>
            <w:shd w:val="clear" w:color="auto" w:fill="D9D9D9" w:themeFill="background1" w:themeFillShade="D9"/>
          </w:tcPr>
          <w:p w14:paraId="7AE051BA" w14:textId="77777777" w:rsidR="00663ABA" w:rsidRPr="001619AC" w:rsidRDefault="00663ABA" w:rsidP="000F7DFB">
            <w:pPr>
              <w:rPr>
                <w:rFonts w:ascii="Arial Narrow" w:hAnsi="Arial Narrow"/>
                <w:b/>
                <w:bCs/>
                <w:i/>
              </w:rPr>
            </w:pPr>
            <w:r w:rsidRPr="001619AC">
              <w:rPr>
                <w:rFonts w:ascii="Arial Narrow" w:hAnsi="Arial Narrow"/>
                <w:b/>
                <w:bCs/>
              </w:rPr>
              <w:t>An analysis of how the % budget expenditure compares with the % APP achievement</w:t>
            </w:r>
          </w:p>
        </w:tc>
      </w:tr>
      <w:tr w:rsidR="00663ABA" w:rsidRPr="001619AC" w14:paraId="1B86CAF4" w14:textId="77777777" w:rsidTr="004F3780">
        <w:tc>
          <w:tcPr>
            <w:tcW w:w="13057" w:type="dxa"/>
          </w:tcPr>
          <w:p w14:paraId="0E242407" w14:textId="10A21A19" w:rsidR="00663ABA" w:rsidRPr="001619AC" w:rsidRDefault="00663ABA" w:rsidP="00024DEA">
            <w:pPr>
              <w:rPr>
                <w:rFonts w:ascii="Arial Narrow" w:hAnsi="Arial Narrow" w:cs="Arial"/>
              </w:rPr>
            </w:pPr>
            <w:r w:rsidRPr="001619AC">
              <w:rPr>
                <w:rFonts w:ascii="Arial Narrow" w:hAnsi="Arial Narrow" w:cs="Arial"/>
                <w:bCs/>
              </w:rPr>
              <w:t xml:space="preserve">Budget expenditure is at </w:t>
            </w:r>
            <w:r w:rsidR="006B127E">
              <w:rPr>
                <w:rFonts w:ascii="Arial Narrow" w:hAnsi="Arial Narrow" w:cs="Arial"/>
                <w:bCs/>
              </w:rPr>
              <w:t>88</w:t>
            </w:r>
            <w:r w:rsidRPr="001619AC">
              <w:rPr>
                <w:rFonts w:ascii="Arial Narrow" w:hAnsi="Arial Narrow" w:cs="Arial"/>
                <w:bCs/>
              </w:rPr>
              <w:t>% and APP achievement is at</w:t>
            </w:r>
            <w:r w:rsidRPr="006C3E18">
              <w:rPr>
                <w:rFonts w:ascii="Arial Narrow" w:hAnsi="Arial Narrow" w:cs="Arial"/>
                <w:bCs/>
                <w:color w:val="FF0000"/>
              </w:rPr>
              <w:t xml:space="preserve"> </w:t>
            </w:r>
            <w:r w:rsidRPr="006C3E18">
              <w:rPr>
                <w:rFonts w:ascii="Arial Narrow" w:hAnsi="Arial Narrow" w:cs="Arial"/>
                <w:bCs/>
              </w:rPr>
              <w:t>7</w:t>
            </w:r>
            <w:r w:rsidR="00302A31">
              <w:rPr>
                <w:rFonts w:ascii="Arial Narrow" w:hAnsi="Arial Narrow" w:cs="Arial"/>
                <w:bCs/>
              </w:rPr>
              <w:t>6</w:t>
            </w:r>
            <w:r w:rsidRPr="006C3E18">
              <w:rPr>
                <w:rFonts w:ascii="Arial Narrow" w:hAnsi="Arial Narrow" w:cs="Arial"/>
                <w:bCs/>
              </w:rPr>
              <w:t>%</w:t>
            </w:r>
          </w:p>
        </w:tc>
      </w:tr>
      <w:tr w:rsidR="00663ABA" w:rsidRPr="001619AC" w14:paraId="26ABA908" w14:textId="77777777" w:rsidTr="004F3780">
        <w:tc>
          <w:tcPr>
            <w:tcW w:w="13057" w:type="dxa"/>
            <w:shd w:val="clear" w:color="auto" w:fill="D9D9D9" w:themeFill="background1" w:themeFillShade="D9"/>
          </w:tcPr>
          <w:p w14:paraId="1D24C524" w14:textId="77777777" w:rsidR="00663ABA" w:rsidRPr="001619AC" w:rsidRDefault="00663ABA" w:rsidP="000F7DFB">
            <w:pPr>
              <w:rPr>
                <w:rFonts w:ascii="Arial Narrow" w:hAnsi="Arial Narrow"/>
                <w:b/>
                <w:bCs/>
              </w:rPr>
            </w:pPr>
            <w:r w:rsidRPr="001619AC">
              <w:rPr>
                <w:rFonts w:ascii="Arial Narrow" w:hAnsi="Arial Narrow"/>
                <w:b/>
                <w:bCs/>
              </w:rPr>
              <w:t>If there was over / under spending of greater than 3% of projection, what were the main challenges that led to the over / under spending</w:t>
            </w:r>
          </w:p>
        </w:tc>
      </w:tr>
      <w:tr w:rsidR="00663ABA" w:rsidRPr="001619AC" w14:paraId="31CF9E22" w14:textId="77777777" w:rsidTr="004F3780">
        <w:tc>
          <w:tcPr>
            <w:tcW w:w="13057" w:type="dxa"/>
          </w:tcPr>
          <w:p w14:paraId="22805F2A" w14:textId="6B26A944" w:rsidR="00663ABA" w:rsidRPr="001619AC" w:rsidRDefault="00084648" w:rsidP="00F81DCB">
            <w:pPr>
              <w:spacing w:line="276" w:lineRule="auto"/>
              <w:rPr>
                <w:rFonts w:ascii="Arial Narrow" w:hAnsi="Arial Narrow" w:cs="Arial"/>
              </w:rPr>
            </w:pPr>
            <w:r w:rsidRPr="00084648">
              <w:rPr>
                <w:rFonts w:ascii="Arial Narrow" w:hAnsi="Arial Narrow" w:cs="Arial"/>
              </w:rPr>
              <w:t>The department reported an under expenditure of 12% in the period under review, due to the delay in the appointment of vacant positions and payment for performance bonus in the 2021/22 financial year.</w:t>
            </w:r>
          </w:p>
        </w:tc>
      </w:tr>
      <w:tr w:rsidR="00663ABA" w:rsidRPr="001619AC" w14:paraId="5E0BFA0B" w14:textId="77777777" w:rsidTr="004F3780">
        <w:tc>
          <w:tcPr>
            <w:tcW w:w="13057" w:type="dxa"/>
            <w:shd w:val="clear" w:color="auto" w:fill="D9D9D9" w:themeFill="background1" w:themeFillShade="D9"/>
          </w:tcPr>
          <w:p w14:paraId="04F249F5" w14:textId="02C07AEB" w:rsidR="00663ABA" w:rsidRPr="001619AC" w:rsidRDefault="00663ABA" w:rsidP="00F81DCB">
            <w:pPr>
              <w:rPr>
                <w:rFonts w:ascii="Arial Narrow" w:hAnsi="Arial Narrow"/>
                <w:b/>
                <w:bCs/>
              </w:rPr>
            </w:pPr>
            <w:r w:rsidRPr="001619AC">
              <w:rPr>
                <w:rFonts w:ascii="Arial Narrow" w:hAnsi="Arial Narrow"/>
                <w:b/>
                <w:bCs/>
              </w:rPr>
              <w:t>Mitigating measures by the Department / Entity to remedy over / under expenditure</w:t>
            </w:r>
          </w:p>
        </w:tc>
      </w:tr>
      <w:tr w:rsidR="00663ABA" w:rsidRPr="001619AC" w14:paraId="4D8EB608" w14:textId="77777777" w:rsidTr="004F3780">
        <w:tc>
          <w:tcPr>
            <w:tcW w:w="13057" w:type="dxa"/>
          </w:tcPr>
          <w:p w14:paraId="0C846120" w14:textId="0D543C75" w:rsidR="00663ABA" w:rsidRPr="001619AC" w:rsidRDefault="00817A45" w:rsidP="0052650A">
            <w:pPr>
              <w:rPr>
                <w:rFonts w:ascii="Arial Narrow" w:hAnsi="Arial Narrow"/>
              </w:rPr>
            </w:pPr>
            <w:r w:rsidRPr="00817A45">
              <w:rPr>
                <w:rFonts w:ascii="Arial Narrow" w:hAnsi="Arial Narrow"/>
              </w:rPr>
              <w:t>The department will surrender funds to the provincial revenue fund and also ensure that all critical positions are filled in the near future.</w:t>
            </w:r>
          </w:p>
        </w:tc>
      </w:tr>
      <w:tr w:rsidR="00663ABA" w:rsidRPr="001619AC" w14:paraId="10E3EE26" w14:textId="77777777" w:rsidTr="004F3780">
        <w:tc>
          <w:tcPr>
            <w:tcW w:w="13057" w:type="dxa"/>
            <w:shd w:val="clear" w:color="auto" w:fill="D9D9D9" w:themeFill="background1" w:themeFillShade="D9"/>
          </w:tcPr>
          <w:p w14:paraId="76EA2D97" w14:textId="2D6D13CA" w:rsidR="00663ABA" w:rsidRPr="001619AC" w:rsidRDefault="00663ABA" w:rsidP="000F7DFB">
            <w:pPr>
              <w:rPr>
                <w:rFonts w:ascii="Arial Narrow" w:hAnsi="Arial Narrow"/>
                <w:b/>
                <w:bCs/>
              </w:rPr>
            </w:pPr>
            <w:r w:rsidRPr="001619AC">
              <w:rPr>
                <w:rFonts w:ascii="Arial Narrow" w:hAnsi="Arial Narrow"/>
                <w:b/>
                <w:bCs/>
              </w:rPr>
              <w:t>The Department achievement with respect to GEYODI responsive budgeting / procurement for the period under review</w:t>
            </w:r>
          </w:p>
        </w:tc>
      </w:tr>
      <w:tr w:rsidR="00663ABA" w:rsidRPr="001619AC" w14:paraId="46E63109" w14:textId="77777777" w:rsidTr="004F3780">
        <w:tc>
          <w:tcPr>
            <w:tcW w:w="13057" w:type="dxa"/>
          </w:tcPr>
          <w:p w14:paraId="1333D7B0" w14:textId="3E896C77" w:rsidR="00663ABA" w:rsidRPr="00527105" w:rsidRDefault="00663ABA" w:rsidP="00527105">
            <w:pPr>
              <w:rPr>
                <w:rFonts w:ascii="Arial Narrow" w:hAnsi="Arial Narrow"/>
              </w:rPr>
            </w:pPr>
            <w:r w:rsidRPr="00527105">
              <w:rPr>
                <w:rFonts w:ascii="Arial Narrow" w:hAnsi="Arial Narrow"/>
                <w:lang w:val="en-GB"/>
              </w:rPr>
              <w:t xml:space="preserve">The Department </w:t>
            </w:r>
            <w:r w:rsidR="00840003" w:rsidRPr="00840003">
              <w:rPr>
                <w:rFonts w:ascii="Arial Narrow" w:hAnsi="Arial Narrow"/>
                <w:lang w:val="en-GB"/>
              </w:rPr>
              <w:t>4,24%</w:t>
            </w:r>
            <w:r w:rsidR="002B278E">
              <w:rPr>
                <w:rFonts w:ascii="Arial Narrow" w:hAnsi="Arial Narrow"/>
                <w:lang w:val="en-GB"/>
              </w:rPr>
              <w:t xml:space="preserve"> </w:t>
            </w:r>
            <w:r w:rsidR="00514F3F" w:rsidRPr="00514F3F">
              <w:rPr>
                <w:rFonts w:ascii="Arial Narrow" w:hAnsi="Arial Narrow"/>
                <w:lang w:val="en-GB"/>
              </w:rPr>
              <w:t>achievement with respect to GEYODI responsive budgeting / procurement for the period under review</w:t>
            </w:r>
          </w:p>
        </w:tc>
      </w:tr>
      <w:tr w:rsidR="00663ABA" w:rsidRPr="001619AC" w14:paraId="3789BA46" w14:textId="77777777" w:rsidTr="004F3780">
        <w:tc>
          <w:tcPr>
            <w:tcW w:w="13057" w:type="dxa"/>
            <w:shd w:val="clear" w:color="auto" w:fill="D9D9D9" w:themeFill="background1" w:themeFillShade="D9"/>
          </w:tcPr>
          <w:p w14:paraId="07F405A8" w14:textId="7A19BB83" w:rsidR="00663ABA" w:rsidRPr="001619AC" w:rsidRDefault="00663ABA" w:rsidP="003F0993">
            <w:pPr>
              <w:spacing w:line="276" w:lineRule="auto"/>
              <w:rPr>
                <w:rFonts w:ascii="Arial Narrow" w:hAnsi="Arial Narrow"/>
                <w:b/>
                <w:bCs/>
              </w:rPr>
            </w:pPr>
            <w:r w:rsidRPr="001619AC">
              <w:rPr>
                <w:rFonts w:ascii="Arial Narrow" w:hAnsi="Arial Narrow"/>
                <w:b/>
                <w:bCs/>
              </w:rPr>
              <w:t>The Department  achievement with respect to township economy / SMME / local procurement for the period under review</w:t>
            </w:r>
          </w:p>
        </w:tc>
      </w:tr>
      <w:tr w:rsidR="00663ABA" w:rsidRPr="001619AC" w14:paraId="792A4B26" w14:textId="77777777" w:rsidTr="004F3780">
        <w:tc>
          <w:tcPr>
            <w:tcW w:w="13057" w:type="dxa"/>
          </w:tcPr>
          <w:p w14:paraId="1F2DFDED" w14:textId="35EDDAAB" w:rsidR="0052650A" w:rsidRPr="001619AC" w:rsidRDefault="0052650A" w:rsidP="00FB3E64">
            <w:pPr>
              <w:spacing w:line="276" w:lineRule="auto"/>
              <w:rPr>
                <w:rFonts w:ascii="Arial Narrow" w:hAnsi="Arial Narrow"/>
              </w:rPr>
            </w:pPr>
            <w:r w:rsidRPr="001619AC">
              <w:rPr>
                <w:rFonts w:ascii="Arial Narrow" w:hAnsi="Arial Narrow"/>
                <w:lang w:val="en-GB"/>
              </w:rPr>
              <w:t xml:space="preserve">The Department </w:t>
            </w:r>
            <w:r w:rsidR="00FB3E64">
              <w:rPr>
                <w:rFonts w:ascii="Arial Narrow" w:hAnsi="Arial Narrow"/>
                <w:lang w:val="en-GB"/>
              </w:rPr>
              <w:t xml:space="preserve">achieved </w:t>
            </w:r>
            <w:r w:rsidR="002B278E" w:rsidRPr="002B278E">
              <w:rPr>
                <w:rFonts w:ascii="Arial Narrow" w:hAnsi="Arial Narrow"/>
                <w:lang w:val="en-GB"/>
              </w:rPr>
              <w:t>0.5%</w:t>
            </w:r>
            <w:r w:rsidR="00FB3E64">
              <w:rPr>
                <w:rFonts w:ascii="Arial Narrow" w:hAnsi="Arial Narrow"/>
                <w:lang w:val="en-GB"/>
              </w:rPr>
              <w:t xml:space="preserve"> </w:t>
            </w:r>
            <w:r w:rsidR="00FB3E64" w:rsidRPr="00FB3E64">
              <w:rPr>
                <w:rFonts w:ascii="Arial Narrow" w:hAnsi="Arial Narrow"/>
                <w:lang w:val="en-GB"/>
              </w:rPr>
              <w:t xml:space="preserve"> with respect to township economy / SMME / local procurement for the period under review</w:t>
            </w:r>
          </w:p>
          <w:p w14:paraId="39BBEAC5" w14:textId="08EDB1D4" w:rsidR="00B20477" w:rsidRPr="001619AC" w:rsidRDefault="00B20477" w:rsidP="00BE454E">
            <w:pPr>
              <w:spacing w:line="276" w:lineRule="auto"/>
              <w:rPr>
                <w:rFonts w:ascii="Arial Narrow" w:hAnsi="Arial Narrow"/>
                <w:b/>
                <w:bCs/>
                <w:highlight w:val="green"/>
              </w:rPr>
            </w:pPr>
          </w:p>
        </w:tc>
      </w:tr>
      <w:tr w:rsidR="00663ABA" w:rsidRPr="001619AC" w14:paraId="06EBF615" w14:textId="77777777" w:rsidTr="004F3780">
        <w:tc>
          <w:tcPr>
            <w:tcW w:w="13057" w:type="dxa"/>
            <w:shd w:val="clear" w:color="auto" w:fill="D9D9D9" w:themeFill="background1" w:themeFillShade="D9"/>
          </w:tcPr>
          <w:p w14:paraId="6691EADC" w14:textId="77777777" w:rsidR="00663ABA" w:rsidRPr="001619AC" w:rsidRDefault="00663ABA" w:rsidP="000F7DFB">
            <w:pPr>
              <w:rPr>
                <w:rFonts w:ascii="Arial Narrow" w:hAnsi="Arial Narrow"/>
                <w:b/>
                <w:bCs/>
              </w:rPr>
            </w:pPr>
            <w:r w:rsidRPr="001619AC">
              <w:rPr>
                <w:rFonts w:ascii="Arial Narrow" w:hAnsi="Arial Narrow"/>
                <w:b/>
                <w:bCs/>
              </w:rPr>
              <w:lastRenderedPageBreak/>
              <w:t>A summary for the period under review with respect to payment of service providers within 15-30 days</w:t>
            </w:r>
          </w:p>
        </w:tc>
      </w:tr>
      <w:tr w:rsidR="00663ABA" w:rsidRPr="001619AC" w14:paraId="77CB39E6" w14:textId="77777777" w:rsidTr="00310DE6">
        <w:tc>
          <w:tcPr>
            <w:tcW w:w="13057" w:type="dxa"/>
            <w:shd w:val="clear" w:color="auto" w:fill="auto"/>
          </w:tcPr>
          <w:p w14:paraId="254C3648" w14:textId="6156C977" w:rsidR="00663ABA" w:rsidRPr="001619AC" w:rsidRDefault="00663ABA" w:rsidP="000454D7">
            <w:pPr>
              <w:spacing w:line="276" w:lineRule="auto"/>
              <w:rPr>
                <w:rFonts w:ascii="Arial Narrow" w:hAnsi="Arial Narrow"/>
              </w:rPr>
            </w:pPr>
            <w:r w:rsidRPr="001619AC">
              <w:rPr>
                <w:rFonts w:ascii="Arial Narrow" w:hAnsi="Arial Narrow"/>
              </w:rPr>
              <w:t xml:space="preserve"> </w:t>
            </w:r>
            <w:r w:rsidR="006D3915">
              <w:rPr>
                <w:rFonts w:ascii="Arial Narrow" w:hAnsi="Arial Narrow"/>
              </w:rPr>
              <w:t>T</w:t>
            </w:r>
            <w:r w:rsidR="001157BD" w:rsidRPr="001157BD">
              <w:rPr>
                <w:rFonts w:ascii="Arial Narrow" w:hAnsi="Arial Narrow"/>
              </w:rPr>
              <w:t xml:space="preserve">he Department paid 97% of invoices for the quarter under review. </w:t>
            </w:r>
          </w:p>
        </w:tc>
      </w:tr>
      <w:tr w:rsidR="00663ABA" w:rsidRPr="001619AC" w14:paraId="26B0F50C" w14:textId="77777777" w:rsidTr="004F3780">
        <w:tc>
          <w:tcPr>
            <w:tcW w:w="13057" w:type="dxa"/>
            <w:shd w:val="clear" w:color="auto" w:fill="D9D9D9" w:themeFill="background1" w:themeFillShade="D9"/>
          </w:tcPr>
          <w:p w14:paraId="4A793347" w14:textId="77777777" w:rsidR="00663ABA" w:rsidRPr="001619AC" w:rsidRDefault="00663ABA" w:rsidP="000F7DFB">
            <w:pPr>
              <w:rPr>
                <w:rFonts w:ascii="Arial Narrow" w:hAnsi="Arial Narrow"/>
                <w:b/>
                <w:bCs/>
              </w:rPr>
            </w:pPr>
            <w:r w:rsidRPr="001619AC">
              <w:rPr>
                <w:rFonts w:ascii="Arial Narrow" w:hAnsi="Arial Narrow"/>
                <w:b/>
                <w:bCs/>
              </w:rPr>
              <w:t>A summary for the period under review with respect to fruitless, wasteful and irregular expenditure</w:t>
            </w:r>
          </w:p>
        </w:tc>
      </w:tr>
      <w:tr w:rsidR="00663ABA" w:rsidRPr="001619AC" w14:paraId="6CE4C0CF" w14:textId="77777777" w:rsidTr="004F3780">
        <w:tc>
          <w:tcPr>
            <w:tcW w:w="13057" w:type="dxa"/>
          </w:tcPr>
          <w:p w14:paraId="6DB5A76C" w14:textId="6ECD53BC" w:rsidR="00663ABA" w:rsidRPr="0065271A" w:rsidRDefault="0045306F" w:rsidP="0065271A">
            <w:pPr>
              <w:spacing w:line="276" w:lineRule="auto"/>
              <w:rPr>
                <w:rFonts w:ascii="Arial Narrow" w:hAnsi="Arial Narrow"/>
                <w:bCs/>
              </w:rPr>
            </w:pPr>
            <w:r w:rsidRPr="0045306F">
              <w:rPr>
                <w:rFonts w:ascii="Arial Narrow" w:hAnsi="Arial Narrow"/>
                <w:bCs/>
              </w:rPr>
              <w:t>The department has not incurred fruitless, wasteful and irregular expenditure in the period under review.</w:t>
            </w:r>
          </w:p>
        </w:tc>
      </w:tr>
      <w:tr w:rsidR="00663ABA" w:rsidRPr="001619AC" w14:paraId="224A2827" w14:textId="77777777" w:rsidTr="004F3780">
        <w:tc>
          <w:tcPr>
            <w:tcW w:w="13057" w:type="dxa"/>
            <w:shd w:val="clear" w:color="auto" w:fill="D9D9D9" w:themeFill="background1" w:themeFillShade="D9"/>
          </w:tcPr>
          <w:p w14:paraId="1EC5B8AB" w14:textId="77777777" w:rsidR="00663ABA" w:rsidRPr="001619AC" w:rsidRDefault="00663ABA" w:rsidP="00F81DCB">
            <w:pPr>
              <w:spacing w:line="276" w:lineRule="auto"/>
              <w:rPr>
                <w:rFonts w:ascii="Arial Narrow" w:hAnsi="Arial Narrow"/>
                <w:b/>
                <w:bCs/>
              </w:rPr>
            </w:pPr>
            <w:r w:rsidRPr="001619AC">
              <w:rPr>
                <w:rFonts w:ascii="Arial Narrow" w:hAnsi="Arial Narrow"/>
                <w:b/>
                <w:bCs/>
              </w:rPr>
              <w:t>A summary for the period under review with respect to efficiency / value for money in all SCM / procurement processes</w:t>
            </w:r>
          </w:p>
        </w:tc>
      </w:tr>
      <w:tr w:rsidR="00663ABA" w:rsidRPr="001619AC" w14:paraId="37C0B608" w14:textId="77777777" w:rsidTr="004F3780">
        <w:tc>
          <w:tcPr>
            <w:tcW w:w="13057" w:type="dxa"/>
          </w:tcPr>
          <w:p w14:paraId="49AE1671" w14:textId="1FCD1E5B" w:rsidR="00506F59" w:rsidRPr="001619AC" w:rsidRDefault="00663ABA" w:rsidP="00F81DCB">
            <w:pPr>
              <w:spacing w:line="276" w:lineRule="auto"/>
              <w:rPr>
                <w:rFonts w:ascii="Arial Narrow" w:hAnsi="Arial Narrow"/>
                <w:lang w:val="en-GB"/>
              </w:rPr>
            </w:pPr>
            <w:r w:rsidRPr="001619AC">
              <w:rPr>
                <w:rFonts w:ascii="Arial Narrow" w:hAnsi="Arial Narrow"/>
                <w:lang w:val="en-GB"/>
              </w:rPr>
              <w:t>The Department report</w:t>
            </w:r>
            <w:r w:rsidR="00506F59" w:rsidRPr="001619AC">
              <w:rPr>
                <w:rFonts w:ascii="Arial Narrow" w:hAnsi="Arial Narrow"/>
                <w:lang w:val="en-GB"/>
              </w:rPr>
              <w:t xml:space="preserve"> did not report on </w:t>
            </w:r>
            <w:r w:rsidR="001445F3">
              <w:rPr>
                <w:rFonts w:ascii="Arial Narrow" w:hAnsi="Arial Narrow"/>
                <w:lang w:val="en-GB"/>
              </w:rPr>
              <w:t>SCM and or procurement processes</w:t>
            </w:r>
            <w:r w:rsidR="00506F59" w:rsidRPr="001619AC">
              <w:rPr>
                <w:rFonts w:ascii="Arial Narrow" w:hAnsi="Arial Narrow"/>
                <w:lang w:val="en-GB"/>
              </w:rPr>
              <w:t>.</w:t>
            </w:r>
          </w:p>
          <w:p w14:paraId="11F32435" w14:textId="369FC3BE" w:rsidR="00663ABA" w:rsidRPr="001619AC" w:rsidRDefault="00663ABA" w:rsidP="00F81DCB">
            <w:pPr>
              <w:spacing w:line="276" w:lineRule="auto"/>
              <w:rPr>
                <w:rFonts w:ascii="Arial Narrow" w:hAnsi="Arial Narrow"/>
                <w:lang w:val="en-GB"/>
              </w:rPr>
            </w:pPr>
          </w:p>
        </w:tc>
      </w:tr>
      <w:tr w:rsidR="00663ABA" w:rsidRPr="001619AC" w14:paraId="5D25C2A2" w14:textId="77777777" w:rsidTr="004F3780">
        <w:tc>
          <w:tcPr>
            <w:tcW w:w="13057" w:type="dxa"/>
            <w:shd w:val="clear" w:color="auto" w:fill="D9D9D9" w:themeFill="background1" w:themeFillShade="D9"/>
          </w:tcPr>
          <w:p w14:paraId="77143442" w14:textId="77777777" w:rsidR="00663ABA" w:rsidRPr="001619AC" w:rsidRDefault="00663ABA" w:rsidP="000F7DFB">
            <w:pPr>
              <w:rPr>
                <w:rFonts w:ascii="Arial Narrow" w:hAnsi="Arial Narrow"/>
                <w:b/>
                <w:bCs/>
              </w:rPr>
            </w:pPr>
            <w:r w:rsidRPr="001619AC">
              <w:rPr>
                <w:rFonts w:ascii="Arial Narrow" w:hAnsi="Arial Narrow"/>
                <w:b/>
                <w:bCs/>
              </w:rPr>
              <w:t>A summary for the period under review with respect to reduction of fraud and corruption in all SCM / procurement processes</w:t>
            </w:r>
          </w:p>
        </w:tc>
      </w:tr>
      <w:tr w:rsidR="00663ABA" w:rsidRPr="001619AC" w14:paraId="3D42F2F4" w14:textId="77777777" w:rsidTr="004F3780">
        <w:tc>
          <w:tcPr>
            <w:tcW w:w="13057" w:type="dxa"/>
          </w:tcPr>
          <w:p w14:paraId="0CA8A808" w14:textId="5991CD9C" w:rsidR="00663ABA" w:rsidRPr="001619AC" w:rsidRDefault="001445F3" w:rsidP="000F7DFB">
            <w:pPr>
              <w:rPr>
                <w:rFonts w:ascii="Arial Narrow" w:hAnsi="Arial Narrow"/>
              </w:rPr>
            </w:pPr>
            <w:r>
              <w:rPr>
                <w:rFonts w:ascii="Arial Narrow" w:hAnsi="Arial Narrow"/>
              </w:rPr>
              <w:t xml:space="preserve">The Department did not report on the </w:t>
            </w:r>
            <w:r w:rsidRPr="001445F3">
              <w:rPr>
                <w:rFonts w:ascii="Arial Narrow" w:hAnsi="Arial Narrow"/>
              </w:rPr>
              <w:t>reduction of fraud and corruption in all SCM / procurement processes</w:t>
            </w:r>
          </w:p>
        </w:tc>
      </w:tr>
      <w:tr w:rsidR="00663ABA" w:rsidRPr="001619AC" w14:paraId="65454D26" w14:textId="77777777" w:rsidTr="004F3780">
        <w:tc>
          <w:tcPr>
            <w:tcW w:w="13057" w:type="dxa"/>
            <w:shd w:val="clear" w:color="auto" w:fill="D9D9D9" w:themeFill="background1" w:themeFillShade="D9"/>
          </w:tcPr>
          <w:p w14:paraId="4C6F4F62" w14:textId="77777777" w:rsidR="00663ABA" w:rsidRPr="001619AC" w:rsidRDefault="00663ABA" w:rsidP="000F7DFB">
            <w:pPr>
              <w:rPr>
                <w:rFonts w:ascii="Arial Narrow" w:hAnsi="Arial Narrow"/>
                <w:b/>
                <w:bCs/>
              </w:rPr>
            </w:pPr>
            <w:r w:rsidRPr="001619AC">
              <w:rPr>
                <w:rFonts w:ascii="Arial Narrow" w:hAnsi="Arial Narrow"/>
                <w:b/>
                <w:bCs/>
              </w:rPr>
              <w:t>A summary for the period under review with respect to ongoing clean audits</w:t>
            </w:r>
          </w:p>
        </w:tc>
      </w:tr>
      <w:tr w:rsidR="00663ABA" w:rsidRPr="001619AC" w14:paraId="5375AC37" w14:textId="77777777" w:rsidTr="004F3780">
        <w:tc>
          <w:tcPr>
            <w:tcW w:w="13057" w:type="dxa"/>
          </w:tcPr>
          <w:p w14:paraId="2EAD8FE2" w14:textId="7CF8B12B" w:rsidR="00663ABA" w:rsidRPr="001619AC" w:rsidRDefault="00DB6D19" w:rsidP="000F7DFB">
            <w:pPr>
              <w:rPr>
                <w:rFonts w:ascii="Arial Narrow" w:hAnsi="Arial Narrow"/>
              </w:rPr>
            </w:pPr>
            <w:r>
              <w:rPr>
                <w:rFonts w:ascii="Arial Narrow" w:hAnsi="Arial Narrow"/>
              </w:rPr>
              <w:t xml:space="preserve">The Department did not report on the </w:t>
            </w:r>
            <w:r w:rsidR="00AE13CE" w:rsidRPr="00AE13CE">
              <w:rPr>
                <w:rFonts w:ascii="Arial Narrow" w:hAnsi="Arial Narrow"/>
              </w:rPr>
              <w:t>summary for the period under review with respect to ongoing clean audits</w:t>
            </w:r>
          </w:p>
        </w:tc>
      </w:tr>
      <w:tr w:rsidR="00663ABA" w:rsidRPr="001619AC" w14:paraId="4DE7B93D" w14:textId="77777777" w:rsidTr="004F3780">
        <w:tc>
          <w:tcPr>
            <w:tcW w:w="13057" w:type="dxa"/>
            <w:shd w:val="clear" w:color="auto" w:fill="D9D9D9" w:themeFill="background1" w:themeFillShade="D9"/>
          </w:tcPr>
          <w:p w14:paraId="645C8F06" w14:textId="77777777" w:rsidR="00663ABA" w:rsidRPr="001619AC" w:rsidRDefault="00663ABA" w:rsidP="000F7DFB">
            <w:pPr>
              <w:rPr>
                <w:rFonts w:ascii="Arial Narrow" w:hAnsi="Arial Narrow"/>
                <w:b/>
                <w:bCs/>
              </w:rPr>
            </w:pPr>
            <w:r w:rsidRPr="001619AC">
              <w:rPr>
                <w:rFonts w:ascii="Arial Narrow" w:hAnsi="Arial Narrow"/>
                <w:b/>
                <w:bCs/>
              </w:rPr>
              <w:t>A summary for the period under review with respect to spending on conditional grants (where applicable)</w:t>
            </w:r>
          </w:p>
        </w:tc>
      </w:tr>
      <w:tr w:rsidR="00663ABA" w:rsidRPr="001619AC" w14:paraId="7A7A21B9" w14:textId="77777777" w:rsidTr="004F3780">
        <w:tc>
          <w:tcPr>
            <w:tcW w:w="13057" w:type="dxa"/>
          </w:tcPr>
          <w:p w14:paraId="4DBA2DC1" w14:textId="180130B5" w:rsidR="00663ABA" w:rsidRPr="001619AC" w:rsidRDefault="001D11E1" w:rsidP="00F81DCB">
            <w:pPr>
              <w:spacing w:line="276" w:lineRule="auto"/>
              <w:rPr>
                <w:rFonts w:ascii="Arial Narrow" w:hAnsi="Arial Narrow"/>
                <w:lang w:val="en-US"/>
              </w:rPr>
            </w:pPr>
            <w:r w:rsidRPr="001D11E1">
              <w:rPr>
                <w:rFonts w:ascii="Arial Narrow" w:hAnsi="Arial Narrow"/>
              </w:rPr>
              <w:t>The department transferred all the conditional grants to identified Municipalities within the Province during the second and third quarter of the 2021/22 financial year to them to create job opportunities in their respective communities.</w:t>
            </w:r>
          </w:p>
        </w:tc>
      </w:tr>
      <w:tr w:rsidR="00663ABA" w:rsidRPr="001619AC" w14:paraId="74CA4C7B" w14:textId="77777777" w:rsidTr="004F3780">
        <w:tc>
          <w:tcPr>
            <w:tcW w:w="13057" w:type="dxa"/>
            <w:shd w:val="clear" w:color="auto" w:fill="D9D9D9" w:themeFill="background1" w:themeFillShade="D9"/>
          </w:tcPr>
          <w:p w14:paraId="3A6CA387" w14:textId="77777777" w:rsidR="00663ABA" w:rsidRPr="001619AC" w:rsidRDefault="00663ABA" w:rsidP="000F7DFB">
            <w:pPr>
              <w:rPr>
                <w:rFonts w:ascii="Arial Narrow" w:hAnsi="Arial Narrow"/>
                <w:b/>
                <w:bCs/>
              </w:rPr>
            </w:pPr>
            <w:r w:rsidRPr="001619AC">
              <w:rPr>
                <w:rFonts w:ascii="Arial Narrow" w:hAnsi="Arial Narrow"/>
                <w:b/>
                <w:bCs/>
              </w:rPr>
              <w:t>Program / Sub Programme level financial performance</w:t>
            </w:r>
          </w:p>
        </w:tc>
      </w:tr>
      <w:tr w:rsidR="00663ABA" w:rsidRPr="001619AC" w14:paraId="5C814A98" w14:textId="77777777" w:rsidTr="00B20477">
        <w:trPr>
          <w:trHeight w:val="222"/>
        </w:trPr>
        <w:tc>
          <w:tcPr>
            <w:tcW w:w="13057" w:type="dxa"/>
          </w:tcPr>
          <w:p w14:paraId="333E27E8" w14:textId="3F928A5F" w:rsidR="00663ABA" w:rsidRPr="001619AC" w:rsidRDefault="00663ABA" w:rsidP="00B20477">
            <w:pPr>
              <w:rPr>
                <w:rFonts w:ascii="Arial Narrow" w:hAnsi="Arial Narrow"/>
              </w:rPr>
            </w:pPr>
            <w:r w:rsidRPr="001619AC">
              <w:rPr>
                <w:rFonts w:ascii="Arial Narrow" w:hAnsi="Arial Narrow"/>
              </w:rPr>
              <w:t xml:space="preserve">Programme </w:t>
            </w:r>
            <w:r w:rsidR="00B6453F" w:rsidRPr="001619AC">
              <w:rPr>
                <w:rFonts w:ascii="Arial Narrow" w:hAnsi="Arial Narrow"/>
              </w:rPr>
              <w:t>1: Quarter</w:t>
            </w:r>
            <w:r w:rsidRPr="001619AC">
              <w:rPr>
                <w:rFonts w:ascii="Arial Narrow" w:hAnsi="Arial Narrow"/>
              </w:rPr>
              <w:t xml:space="preserve"> Expenditure </w:t>
            </w:r>
            <w:r w:rsidR="004F3780" w:rsidRPr="001619AC">
              <w:rPr>
                <w:rFonts w:ascii="Arial Narrow" w:hAnsi="Arial Narrow"/>
              </w:rPr>
              <w:t>–</w:t>
            </w:r>
            <w:r w:rsidRPr="001619AC">
              <w:rPr>
                <w:rFonts w:ascii="Arial Narrow" w:hAnsi="Arial Narrow"/>
              </w:rPr>
              <w:t xml:space="preserve"> </w:t>
            </w:r>
            <w:r w:rsidR="005715C0" w:rsidRPr="005715C0">
              <w:rPr>
                <w:rFonts w:ascii="Arial Narrow" w:hAnsi="Arial Narrow"/>
              </w:rPr>
              <w:t>R</w:t>
            </w:r>
            <w:r w:rsidR="008E44BB" w:rsidRPr="008E44BB">
              <w:rPr>
                <w:rFonts w:ascii="Arial Narrow" w:hAnsi="Arial Narrow"/>
              </w:rPr>
              <w:t>153</w:t>
            </w:r>
            <w:r w:rsidR="008E44BB">
              <w:rPr>
                <w:rFonts w:ascii="Arial Narrow" w:hAnsi="Arial Narrow"/>
              </w:rPr>
              <w:t xml:space="preserve"> </w:t>
            </w:r>
            <w:r w:rsidR="008E44BB" w:rsidRPr="008E44BB">
              <w:rPr>
                <w:rFonts w:ascii="Arial Narrow" w:hAnsi="Arial Narrow"/>
              </w:rPr>
              <w:t>508</w:t>
            </w:r>
            <w:r w:rsidR="008E44BB">
              <w:rPr>
                <w:rFonts w:ascii="Arial Narrow" w:hAnsi="Arial Narrow"/>
              </w:rPr>
              <w:t xml:space="preserve"> </w:t>
            </w:r>
            <w:r w:rsidR="005715C0" w:rsidRPr="005715C0">
              <w:rPr>
                <w:rFonts w:ascii="Arial Narrow" w:hAnsi="Arial Narrow"/>
              </w:rPr>
              <w:t>000. 00 (</w:t>
            </w:r>
            <w:r w:rsidR="00C30192">
              <w:rPr>
                <w:rFonts w:ascii="Arial Narrow" w:hAnsi="Arial Narrow"/>
              </w:rPr>
              <w:t>98</w:t>
            </w:r>
            <w:r w:rsidR="005715C0" w:rsidRPr="005715C0">
              <w:rPr>
                <w:rFonts w:ascii="Arial Narrow" w:hAnsi="Arial Narrow"/>
              </w:rPr>
              <w:t>%).</w:t>
            </w:r>
          </w:p>
          <w:p w14:paraId="728DAAFF" w14:textId="464ED309" w:rsidR="00663ABA" w:rsidRPr="001619AC" w:rsidRDefault="00663ABA" w:rsidP="00B20477">
            <w:pPr>
              <w:rPr>
                <w:rFonts w:ascii="Arial Narrow" w:hAnsi="Arial Narrow"/>
              </w:rPr>
            </w:pPr>
            <w:r w:rsidRPr="001619AC">
              <w:rPr>
                <w:rFonts w:ascii="Arial Narrow" w:hAnsi="Arial Narrow"/>
              </w:rPr>
              <w:t>Programme 2: Quarter Expenditure –</w:t>
            </w:r>
            <w:r w:rsidR="00591937">
              <w:t xml:space="preserve"> </w:t>
            </w:r>
            <w:r w:rsidR="00591937" w:rsidRPr="00591937">
              <w:rPr>
                <w:rFonts w:ascii="Arial Narrow" w:hAnsi="Arial Narrow"/>
              </w:rPr>
              <w:t>R</w:t>
            </w:r>
            <w:r w:rsidR="005B46AD" w:rsidRPr="005B46AD">
              <w:rPr>
                <w:rFonts w:ascii="Arial Narrow" w:hAnsi="Arial Narrow"/>
              </w:rPr>
              <w:t>281</w:t>
            </w:r>
            <w:r w:rsidR="005B46AD">
              <w:rPr>
                <w:rFonts w:ascii="Arial Narrow" w:hAnsi="Arial Narrow"/>
              </w:rPr>
              <w:t xml:space="preserve"> </w:t>
            </w:r>
            <w:r w:rsidR="005B46AD" w:rsidRPr="005B46AD">
              <w:rPr>
                <w:rFonts w:ascii="Arial Narrow" w:hAnsi="Arial Narrow"/>
              </w:rPr>
              <w:t>994</w:t>
            </w:r>
            <w:r w:rsidR="005B46AD">
              <w:rPr>
                <w:rFonts w:ascii="Arial Narrow" w:hAnsi="Arial Narrow"/>
              </w:rPr>
              <w:t xml:space="preserve"> </w:t>
            </w:r>
            <w:r w:rsidR="00591937" w:rsidRPr="00591937">
              <w:rPr>
                <w:rFonts w:ascii="Arial Narrow" w:hAnsi="Arial Narrow"/>
              </w:rPr>
              <w:t>000. 00 (9</w:t>
            </w:r>
            <w:r w:rsidR="005B46AD">
              <w:rPr>
                <w:rFonts w:ascii="Arial Narrow" w:hAnsi="Arial Narrow"/>
              </w:rPr>
              <w:t>6</w:t>
            </w:r>
            <w:r w:rsidR="00591937" w:rsidRPr="00591937">
              <w:rPr>
                <w:rFonts w:ascii="Arial Narrow" w:hAnsi="Arial Narrow"/>
              </w:rPr>
              <w:t>%)</w:t>
            </w:r>
          </w:p>
          <w:p w14:paraId="2859ECBB" w14:textId="173135D1" w:rsidR="00663ABA" w:rsidRPr="001619AC" w:rsidRDefault="00663ABA" w:rsidP="00B20477">
            <w:pPr>
              <w:rPr>
                <w:rFonts w:ascii="Arial Narrow" w:hAnsi="Arial Narrow"/>
              </w:rPr>
            </w:pPr>
            <w:r w:rsidRPr="001619AC">
              <w:rPr>
                <w:rFonts w:ascii="Arial Narrow" w:hAnsi="Arial Narrow"/>
              </w:rPr>
              <w:t xml:space="preserve">Programme 3: Quarter Expenditure </w:t>
            </w:r>
            <w:r w:rsidR="004F3780" w:rsidRPr="001619AC">
              <w:rPr>
                <w:rFonts w:ascii="Arial Narrow" w:hAnsi="Arial Narrow"/>
              </w:rPr>
              <w:t>–</w:t>
            </w:r>
            <w:r w:rsidR="00CF7775">
              <w:t xml:space="preserve"> </w:t>
            </w:r>
            <w:r w:rsidR="00CF7775" w:rsidRPr="00CF7775">
              <w:rPr>
                <w:rFonts w:ascii="Arial Narrow" w:hAnsi="Arial Narrow"/>
              </w:rPr>
              <w:t>R</w:t>
            </w:r>
            <w:r w:rsidR="00F17BDD" w:rsidRPr="00F17BDD">
              <w:rPr>
                <w:rFonts w:ascii="Arial Narrow" w:hAnsi="Arial Narrow"/>
              </w:rPr>
              <w:t>127</w:t>
            </w:r>
            <w:r w:rsidR="00F17BDD">
              <w:rPr>
                <w:rFonts w:ascii="Arial Narrow" w:hAnsi="Arial Narrow"/>
              </w:rPr>
              <w:t xml:space="preserve"> </w:t>
            </w:r>
            <w:r w:rsidR="00F17BDD" w:rsidRPr="00F17BDD">
              <w:rPr>
                <w:rFonts w:ascii="Arial Narrow" w:hAnsi="Arial Narrow"/>
              </w:rPr>
              <w:t>746</w:t>
            </w:r>
            <w:r w:rsidR="00F17BDD">
              <w:rPr>
                <w:rFonts w:ascii="Arial Narrow" w:hAnsi="Arial Narrow"/>
              </w:rPr>
              <w:t xml:space="preserve"> </w:t>
            </w:r>
            <w:r w:rsidR="00CF7775" w:rsidRPr="00CF7775">
              <w:rPr>
                <w:rFonts w:ascii="Arial Narrow" w:hAnsi="Arial Narrow"/>
              </w:rPr>
              <w:t>000. 00 (1</w:t>
            </w:r>
            <w:r w:rsidR="00CE3490">
              <w:rPr>
                <w:rFonts w:ascii="Arial Narrow" w:hAnsi="Arial Narrow"/>
              </w:rPr>
              <w:t>00</w:t>
            </w:r>
            <w:r w:rsidR="00CF7775" w:rsidRPr="00CF7775">
              <w:rPr>
                <w:rFonts w:ascii="Arial Narrow" w:hAnsi="Arial Narrow"/>
              </w:rPr>
              <w:t>%).</w:t>
            </w:r>
          </w:p>
          <w:p w14:paraId="0FE4EDBE" w14:textId="726E0567" w:rsidR="00562F87" w:rsidRPr="001619AC" w:rsidRDefault="007D5475" w:rsidP="00B20477">
            <w:pPr>
              <w:rPr>
                <w:rFonts w:ascii="Arial Narrow" w:hAnsi="Arial Narrow"/>
              </w:rPr>
            </w:pPr>
            <w:r w:rsidRPr="001619AC">
              <w:rPr>
                <w:rFonts w:ascii="Arial Narrow" w:hAnsi="Arial Narrow"/>
              </w:rPr>
              <w:t>Programme</w:t>
            </w:r>
            <w:r w:rsidR="00562F87" w:rsidRPr="001619AC">
              <w:rPr>
                <w:rFonts w:ascii="Arial Narrow" w:hAnsi="Arial Narrow"/>
              </w:rPr>
              <w:t xml:space="preserve"> 4: Quarter Expenditure – </w:t>
            </w:r>
            <w:r w:rsidR="00AC7BFB" w:rsidRPr="00AC7BFB">
              <w:rPr>
                <w:rFonts w:ascii="Arial Narrow" w:hAnsi="Arial Narrow"/>
              </w:rPr>
              <w:t>R</w:t>
            </w:r>
            <w:r w:rsidR="00452484" w:rsidRPr="00452484">
              <w:rPr>
                <w:rFonts w:ascii="Arial Narrow" w:hAnsi="Arial Narrow"/>
              </w:rPr>
              <w:t>13</w:t>
            </w:r>
            <w:r w:rsidR="00452484">
              <w:rPr>
                <w:rFonts w:ascii="Arial Narrow" w:hAnsi="Arial Narrow"/>
              </w:rPr>
              <w:t xml:space="preserve"> </w:t>
            </w:r>
            <w:r w:rsidR="00452484" w:rsidRPr="00452484">
              <w:rPr>
                <w:rFonts w:ascii="Arial Narrow" w:hAnsi="Arial Narrow"/>
              </w:rPr>
              <w:t>004</w:t>
            </w:r>
            <w:r w:rsidR="00452484">
              <w:rPr>
                <w:rFonts w:ascii="Arial Narrow" w:hAnsi="Arial Narrow"/>
              </w:rPr>
              <w:t xml:space="preserve"> </w:t>
            </w:r>
            <w:r w:rsidR="00AC7BFB" w:rsidRPr="00AC7BFB">
              <w:rPr>
                <w:rFonts w:ascii="Arial Narrow" w:hAnsi="Arial Narrow"/>
              </w:rPr>
              <w:t>000. 00 (</w:t>
            </w:r>
            <w:r w:rsidR="00452484">
              <w:rPr>
                <w:rFonts w:ascii="Arial Narrow" w:hAnsi="Arial Narrow"/>
              </w:rPr>
              <w:t>87</w:t>
            </w:r>
            <w:r w:rsidR="00AC7BFB" w:rsidRPr="00AC7BFB">
              <w:rPr>
                <w:rFonts w:ascii="Arial Narrow" w:hAnsi="Arial Narrow"/>
              </w:rPr>
              <w:t>%)</w:t>
            </w:r>
          </w:p>
        </w:tc>
      </w:tr>
    </w:tbl>
    <w:p w14:paraId="6C4F37F3" w14:textId="1C6EDE3C" w:rsidR="008E0B97" w:rsidRPr="001619AC" w:rsidRDefault="008E0B97" w:rsidP="008E0B97">
      <w:pPr>
        <w:pStyle w:val="Heading1"/>
        <w:shd w:val="clear" w:color="auto" w:fill="D9D9D9" w:themeFill="background1" w:themeFillShade="D9"/>
        <w:rPr>
          <w:rFonts w:ascii="Arial Narrow" w:hAnsi="Arial Narrow"/>
          <w:color w:val="auto"/>
          <w:sz w:val="22"/>
          <w:szCs w:val="22"/>
        </w:rPr>
      </w:pPr>
      <w:bookmarkStart w:id="18" w:name="_Toc50576915"/>
      <w:r w:rsidRPr="001619AC">
        <w:rPr>
          <w:rFonts w:ascii="Arial Narrow" w:hAnsi="Arial Narrow"/>
          <w:color w:val="auto"/>
          <w:sz w:val="22"/>
          <w:szCs w:val="22"/>
        </w:rPr>
        <w:t>5</w:t>
      </w:r>
      <w:r w:rsidRPr="001619AC">
        <w:rPr>
          <w:rFonts w:ascii="Arial Narrow" w:hAnsi="Arial Narrow"/>
          <w:color w:val="auto"/>
          <w:sz w:val="22"/>
          <w:szCs w:val="22"/>
        </w:rPr>
        <w:tab/>
      </w:r>
      <w:r w:rsidR="00B839BB" w:rsidRPr="001619AC">
        <w:rPr>
          <w:rFonts w:ascii="Arial Narrow" w:hAnsi="Arial Narrow"/>
          <w:color w:val="auto"/>
          <w:sz w:val="22"/>
          <w:szCs w:val="22"/>
        </w:rPr>
        <w:t xml:space="preserve">OVERSIGHT ON </w:t>
      </w:r>
      <w:r w:rsidR="00D74068" w:rsidRPr="001619AC">
        <w:rPr>
          <w:rFonts w:ascii="Arial Narrow" w:hAnsi="Arial Narrow"/>
          <w:color w:val="auto"/>
          <w:sz w:val="22"/>
          <w:szCs w:val="22"/>
        </w:rPr>
        <w:t>DEPARTMENT / ENTITY</w:t>
      </w:r>
      <w:r w:rsidRPr="001619AC">
        <w:rPr>
          <w:rFonts w:ascii="Arial Narrow" w:hAnsi="Arial Narrow"/>
          <w:color w:val="auto"/>
          <w:sz w:val="22"/>
          <w:szCs w:val="22"/>
        </w:rPr>
        <w:t xml:space="preserve"> RESOLUTIONS AND PETITIONS MANAGEMENT</w:t>
      </w:r>
      <w:bookmarkEnd w:id="18"/>
    </w:p>
    <w:tbl>
      <w:tblPr>
        <w:tblStyle w:val="TableGrid"/>
        <w:tblW w:w="14034" w:type="dxa"/>
        <w:tblInd w:w="-5" w:type="dxa"/>
        <w:tblLook w:val="04A0" w:firstRow="1" w:lastRow="0" w:firstColumn="1" w:lastColumn="0" w:noHBand="0" w:noVBand="1"/>
      </w:tblPr>
      <w:tblGrid>
        <w:gridCol w:w="6944"/>
        <w:gridCol w:w="7090"/>
      </w:tblGrid>
      <w:tr w:rsidR="008E0B97" w:rsidRPr="001619AC" w14:paraId="020CDC3A" w14:textId="77777777" w:rsidTr="008E0B97">
        <w:tc>
          <w:tcPr>
            <w:tcW w:w="14034" w:type="dxa"/>
            <w:gridSpan w:val="2"/>
            <w:shd w:val="clear" w:color="auto" w:fill="D6E3BC" w:themeFill="accent3" w:themeFillTint="66"/>
          </w:tcPr>
          <w:p w14:paraId="6262C42D" w14:textId="6B49B8F5" w:rsidR="008E0B97" w:rsidRPr="001619AC" w:rsidRDefault="00600AFA" w:rsidP="00600AFA">
            <w:pPr>
              <w:rPr>
                <w:rFonts w:ascii="Arial Narrow" w:hAnsi="Arial Narrow"/>
                <w:b/>
              </w:rPr>
            </w:pPr>
            <w:r w:rsidRPr="001619AC">
              <w:rPr>
                <w:rFonts w:ascii="Arial Narrow" w:hAnsi="Arial Narrow"/>
                <w:b/>
              </w:rPr>
              <w:t xml:space="preserve">5.1 </w:t>
            </w:r>
            <w:r w:rsidR="008E0B97" w:rsidRPr="001619AC">
              <w:rPr>
                <w:rFonts w:ascii="Arial Narrow" w:hAnsi="Arial Narrow"/>
                <w:b/>
              </w:rPr>
              <w:t xml:space="preserve">THE DETAILS ON </w:t>
            </w:r>
            <w:r w:rsidR="00D74068" w:rsidRPr="001619AC">
              <w:rPr>
                <w:rFonts w:ascii="Arial Narrow" w:hAnsi="Arial Narrow"/>
                <w:b/>
              </w:rPr>
              <w:t>DEPARTMENT / ENTITY</w:t>
            </w:r>
            <w:r w:rsidR="008E0B97" w:rsidRPr="001619AC">
              <w:rPr>
                <w:rFonts w:ascii="Arial Narrow" w:hAnsi="Arial Narrow"/>
                <w:b/>
              </w:rPr>
              <w:t xml:space="preserve"> RESOLUTIONS MANAGEMENT</w:t>
            </w:r>
          </w:p>
        </w:tc>
      </w:tr>
      <w:tr w:rsidR="008E0B97" w:rsidRPr="001619AC" w14:paraId="2D4DDAEF" w14:textId="77777777" w:rsidTr="008E0B97">
        <w:tc>
          <w:tcPr>
            <w:tcW w:w="6944" w:type="dxa"/>
            <w:shd w:val="clear" w:color="auto" w:fill="D9D9D9" w:themeFill="background1" w:themeFillShade="D9"/>
          </w:tcPr>
          <w:p w14:paraId="4269436F" w14:textId="4E443ECB" w:rsidR="008E0B97" w:rsidRPr="001619AC" w:rsidRDefault="008E0B97" w:rsidP="000F7DFB">
            <w:pPr>
              <w:jc w:val="left"/>
              <w:rPr>
                <w:rFonts w:ascii="Arial Narrow" w:hAnsi="Arial Narrow" w:cs="Arial Narrow"/>
                <w:b/>
                <w:bCs/>
                <w:iCs/>
              </w:rPr>
            </w:pPr>
            <w:r w:rsidRPr="001619AC">
              <w:rPr>
                <w:rFonts w:ascii="Arial Narrow" w:hAnsi="Arial Narrow" w:cs="Arial Narrow"/>
                <w:b/>
                <w:bCs/>
                <w:iCs/>
              </w:rPr>
              <w:t xml:space="preserve">How many Responses / Actions to Resolutions were due by the </w:t>
            </w:r>
            <w:r w:rsidR="00D74068" w:rsidRPr="001619AC">
              <w:rPr>
                <w:rFonts w:ascii="Arial Narrow" w:hAnsi="Arial Narrow" w:cs="Arial Narrow"/>
                <w:b/>
                <w:bCs/>
                <w:iCs/>
              </w:rPr>
              <w:t>Department / Entity</w:t>
            </w:r>
            <w:r w:rsidRPr="001619AC">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1619AC" w:rsidRDefault="008E0B97" w:rsidP="000F7DFB">
            <w:pPr>
              <w:jc w:val="left"/>
              <w:rPr>
                <w:rFonts w:ascii="Arial Narrow" w:hAnsi="Arial Narrow" w:cs="Arial Narrow"/>
                <w:b/>
                <w:bCs/>
                <w:iCs/>
              </w:rPr>
            </w:pPr>
            <w:r w:rsidRPr="001619AC">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1619AC">
              <w:rPr>
                <w:rFonts w:ascii="Arial Narrow" w:hAnsi="Arial Narrow" w:cs="Arial Narrow"/>
                <w:b/>
                <w:bCs/>
                <w:iCs/>
              </w:rPr>
              <w:t>Department / Entity</w:t>
            </w:r>
          </w:p>
        </w:tc>
      </w:tr>
      <w:tr w:rsidR="008E0B97" w:rsidRPr="001619AC" w14:paraId="71C6C83C" w14:textId="77777777" w:rsidTr="000F7DFB">
        <w:tc>
          <w:tcPr>
            <w:tcW w:w="6944" w:type="dxa"/>
            <w:shd w:val="clear" w:color="auto" w:fill="auto"/>
          </w:tcPr>
          <w:p w14:paraId="1ED4D326" w14:textId="62583C5E" w:rsidR="008E0B97" w:rsidRPr="001619AC" w:rsidRDefault="00886A30" w:rsidP="000F7DFB">
            <w:pPr>
              <w:jc w:val="left"/>
              <w:rPr>
                <w:rFonts w:ascii="Arial Narrow" w:hAnsi="Arial Narrow" w:cs="Arial"/>
                <w:iCs/>
              </w:rPr>
            </w:pPr>
            <w:r>
              <w:rPr>
                <w:rFonts w:ascii="Arial Narrow" w:hAnsi="Arial Narrow" w:cs="Arial"/>
              </w:rPr>
              <w:lastRenderedPageBreak/>
              <w:t>14</w:t>
            </w:r>
            <w:r w:rsidR="00185025" w:rsidRPr="001619AC">
              <w:rPr>
                <w:rFonts w:ascii="Arial Narrow" w:hAnsi="Arial Narrow" w:cs="Arial"/>
              </w:rPr>
              <w:t xml:space="preserve"> </w:t>
            </w:r>
            <w:r w:rsidR="00DB10B6" w:rsidRPr="001619AC">
              <w:rPr>
                <w:rFonts w:ascii="Arial Narrow" w:hAnsi="Arial Narrow" w:cs="Arial"/>
              </w:rPr>
              <w:t xml:space="preserve"> Resolutions</w:t>
            </w:r>
            <w:r w:rsidR="00185025" w:rsidRPr="001619AC">
              <w:rPr>
                <w:rFonts w:ascii="Arial Narrow" w:hAnsi="Arial Narrow" w:cs="Arial"/>
              </w:rPr>
              <w:t xml:space="preserve"> </w:t>
            </w:r>
          </w:p>
        </w:tc>
        <w:tc>
          <w:tcPr>
            <w:tcW w:w="7090" w:type="dxa"/>
            <w:shd w:val="clear" w:color="auto" w:fill="auto"/>
          </w:tcPr>
          <w:p w14:paraId="65B527DA" w14:textId="709850AF" w:rsidR="008E0B97" w:rsidRPr="001619AC" w:rsidRDefault="0044750D" w:rsidP="000F7DFB">
            <w:pPr>
              <w:jc w:val="left"/>
              <w:rPr>
                <w:rFonts w:ascii="Arial Narrow" w:hAnsi="Arial Narrow" w:cs="Arial"/>
                <w:iCs/>
              </w:rPr>
            </w:pPr>
            <w:r>
              <w:rPr>
                <w:rFonts w:ascii="Arial Narrow" w:hAnsi="Arial Narrow" w:cs="Arial"/>
                <w:iCs/>
              </w:rPr>
              <w:t xml:space="preserve">The Department has responded to all resolutions. </w:t>
            </w:r>
            <w:r w:rsidR="00B14B03">
              <w:rPr>
                <w:rFonts w:ascii="Arial Narrow" w:hAnsi="Arial Narrow" w:cs="Arial"/>
                <w:iCs/>
              </w:rPr>
              <w:t xml:space="preserve">The Portfolio Committee is analysing the </w:t>
            </w:r>
            <w:r w:rsidR="00DB10B6" w:rsidRPr="001619AC">
              <w:rPr>
                <w:rFonts w:ascii="Arial Narrow" w:hAnsi="Arial Narrow" w:cs="Arial"/>
                <w:iCs/>
              </w:rPr>
              <w:t xml:space="preserve">resolutions </w:t>
            </w:r>
            <w:r w:rsidR="00B14B03">
              <w:rPr>
                <w:rFonts w:ascii="Arial Narrow" w:hAnsi="Arial Narrow" w:cs="Arial"/>
                <w:iCs/>
              </w:rPr>
              <w:t xml:space="preserve">and a report will be presented to the Portfolio Committee </w:t>
            </w:r>
            <w:r w:rsidR="00836ED3">
              <w:rPr>
                <w:rFonts w:ascii="Arial Narrow" w:hAnsi="Arial Narrow" w:cs="Arial"/>
                <w:iCs/>
              </w:rPr>
              <w:t>whether the resolutions where adequately responded to</w:t>
            </w:r>
            <w:r w:rsidR="00DB10B6" w:rsidRPr="001619AC">
              <w:rPr>
                <w:rFonts w:ascii="Arial Narrow" w:hAnsi="Arial Narrow" w:cs="Arial"/>
                <w:iCs/>
              </w:rPr>
              <w:t>.</w:t>
            </w:r>
          </w:p>
        </w:tc>
      </w:tr>
      <w:tr w:rsidR="008E0B97" w:rsidRPr="001619AC" w14:paraId="015A03B4" w14:textId="77777777" w:rsidTr="008E0B97">
        <w:tc>
          <w:tcPr>
            <w:tcW w:w="14034" w:type="dxa"/>
            <w:gridSpan w:val="2"/>
            <w:shd w:val="clear" w:color="auto" w:fill="D9D9D9" w:themeFill="background1" w:themeFillShade="D9"/>
          </w:tcPr>
          <w:p w14:paraId="71FC912B" w14:textId="4B1D86CE" w:rsidR="008E0B97" w:rsidRPr="001619AC" w:rsidRDefault="008E0B97" w:rsidP="000F7DFB">
            <w:pPr>
              <w:jc w:val="left"/>
              <w:rPr>
                <w:rFonts w:ascii="Arial Narrow" w:hAnsi="Arial Narrow" w:cs="Arial Narrow"/>
                <w:b/>
                <w:bCs/>
                <w:iCs/>
              </w:rPr>
            </w:pPr>
            <w:r w:rsidRPr="001619AC">
              <w:rPr>
                <w:rFonts w:ascii="Arial Narrow" w:hAnsi="Arial Narrow" w:cs="Arial Narrow"/>
                <w:b/>
                <w:bCs/>
                <w:iCs/>
              </w:rPr>
              <w:t xml:space="preserve">What is the Committees perception of the Quality and Timeliness of </w:t>
            </w:r>
            <w:r w:rsidR="00D74068" w:rsidRPr="001619AC">
              <w:rPr>
                <w:rFonts w:ascii="Arial Narrow" w:hAnsi="Arial Narrow" w:cs="Arial Narrow"/>
                <w:b/>
                <w:bCs/>
                <w:iCs/>
              </w:rPr>
              <w:t>Department / Entity</w:t>
            </w:r>
            <w:r w:rsidRPr="001619AC">
              <w:rPr>
                <w:rFonts w:ascii="Arial Narrow" w:hAnsi="Arial Narrow" w:cs="Arial Narrow"/>
                <w:b/>
                <w:bCs/>
                <w:iCs/>
              </w:rPr>
              <w:t xml:space="preserve"> responses to Committee Resolutions</w:t>
            </w:r>
          </w:p>
        </w:tc>
      </w:tr>
      <w:tr w:rsidR="008E0B97" w:rsidRPr="001619AC" w14:paraId="1D36AAFF" w14:textId="77777777" w:rsidTr="000F7DFB">
        <w:tc>
          <w:tcPr>
            <w:tcW w:w="14034" w:type="dxa"/>
            <w:gridSpan w:val="2"/>
          </w:tcPr>
          <w:p w14:paraId="754CC536" w14:textId="01A46B81" w:rsidR="008E0B97" w:rsidRPr="001619AC" w:rsidRDefault="003A2549" w:rsidP="000F7DFB">
            <w:pPr>
              <w:jc w:val="left"/>
              <w:rPr>
                <w:rFonts w:ascii="Arial Narrow" w:hAnsi="Arial Narrow" w:cs="Arial Narrow"/>
                <w:bCs/>
              </w:rPr>
            </w:pPr>
            <w:r>
              <w:rPr>
                <w:rFonts w:ascii="Arial Narrow" w:hAnsi="Arial Narrow" w:cs="Arial Narrow"/>
                <w:bCs/>
              </w:rPr>
              <w:t>The Portfolio Committee take</w:t>
            </w:r>
            <w:r w:rsidR="0062422E">
              <w:rPr>
                <w:rFonts w:ascii="Arial Narrow" w:hAnsi="Arial Narrow" w:cs="Arial Narrow"/>
                <w:bCs/>
              </w:rPr>
              <w:t xml:space="preserve"> seriously on the quality and timeliness of the Department when responding to the resolutions. Where the Committee is not satisfied with how the Department </w:t>
            </w:r>
            <w:r w:rsidR="004F12B8">
              <w:rPr>
                <w:rFonts w:ascii="Arial Narrow" w:hAnsi="Arial Narrow" w:cs="Arial Narrow"/>
                <w:bCs/>
              </w:rPr>
              <w:t xml:space="preserve">has responded, the Portfolio Committee will request </w:t>
            </w:r>
            <w:r w:rsidR="00F70067">
              <w:rPr>
                <w:rFonts w:ascii="Arial Narrow" w:hAnsi="Arial Narrow" w:cs="Arial Narrow"/>
                <w:bCs/>
              </w:rPr>
              <w:t>further information that is adequate.</w:t>
            </w:r>
          </w:p>
        </w:tc>
      </w:tr>
      <w:tr w:rsidR="008E0B97" w:rsidRPr="001619AC" w14:paraId="2EC4CEAC" w14:textId="77777777" w:rsidTr="008E0B97">
        <w:tc>
          <w:tcPr>
            <w:tcW w:w="14034" w:type="dxa"/>
            <w:gridSpan w:val="2"/>
            <w:shd w:val="clear" w:color="auto" w:fill="D9D9D9" w:themeFill="background1" w:themeFillShade="D9"/>
          </w:tcPr>
          <w:p w14:paraId="554AB9C0" w14:textId="35BC485C" w:rsidR="008E0B97" w:rsidRPr="001619AC" w:rsidRDefault="008E0B97" w:rsidP="000F7DFB">
            <w:pPr>
              <w:jc w:val="left"/>
              <w:rPr>
                <w:rFonts w:ascii="Arial Narrow" w:hAnsi="Arial Narrow" w:cs="Arial Narrow"/>
                <w:b/>
                <w:bCs/>
              </w:rPr>
            </w:pPr>
            <w:r w:rsidRPr="001619AC">
              <w:rPr>
                <w:rFonts w:ascii="Arial Narrow" w:hAnsi="Arial Narrow" w:cs="Arial Narrow"/>
                <w:b/>
                <w:bCs/>
                <w:iCs/>
              </w:rPr>
              <w:t xml:space="preserve">With respect to the Resolutions / Action due during the Quarter under review but still overdue, what reasons have been provided by the </w:t>
            </w:r>
            <w:r w:rsidR="00D74068" w:rsidRPr="001619AC">
              <w:rPr>
                <w:rFonts w:ascii="Arial Narrow" w:hAnsi="Arial Narrow" w:cs="Arial Narrow"/>
                <w:b/>
                <w:bCs/>
                <w:iCs/>
              </w:rPr>
              <w:t>Department / Entity</w:t>
            </w:r>
            <w:r w:rsidRPr="001619AC">
              <w:rPr>
                <w:rFonts w:ascii="Arial Narrow" w:hAnsi="Arial Narrow" w:cs="Arial Narrow"/>
                <w:b/>
                <w:bCs/>
                <w:iCs/>
              </w:rPr>
              <w:t xml:space="preserve"> [with mitigating measures to submission]</w:t>
            </w:r>
          </w:p>
        </w:tc>
      </w:tr>
      <w:tr w:rsidR="008E0B97" w:rsidRPr="001619AC" w14:paraId="67414511" w14:textId="77777777" w:rsidTr="000F7DFB">
        <w:tc>
          <w:tcPr>
            <w:tcW w:w="14034" w:type="dxa"/>
            <w:gridSpan w:val="2"/>
          </w:tcPr>
          <w:p w14:paraId="4F3960BE" w14:textId="357CB792" w:rsidR="008E0B97" w:rsidRPr="001619AC" w:rsidRDefault="001538B0" w:rsidP="000F7DFB">
            <w:pPr>
              <w:jc w:val="left"/>
              <w:rPr>
                <w:rFonts w:ascii="Arial Narrow" w:hAnsi="Arial Narrow" w:cs="Arial"/>
                <w:bCs/>
              </w:rPr>
            </w:pPr>
            <w:r>
              <w:rPr>
                <w:rFonts w:ascii="Arial Narrow" w:hAnsi="Arial Narrow" w:cs="Arial"/>
              </w:rPr>
              <w:t>The Department has submitted responses to resolutions and the Portfolio Committee Researcher is analysing them.</w:t>
            </w:r>
          </w:p>
        </w:tc>
      </w:tr>
    </w:tbl>
    <w:p w14:paraId="7062B1F7" w14:textId="16A8C85D" w:rsidR="008E0B97" w:rsidRPr="001619AC" w:rsidRDefault="008E0B97" w:rsidP="00A203BF">
      <w:pPr>
        <w:spacing w:after="200" w:line="240"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D74068" w14:paraId="46AD2E2D" w14:textId="77777777" w:rsidTr="008E0B97">
        <w:tc>
          <w:tcPr>
            <w:tcW w:w="14034"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8E0B97">
        <w:tc>
          <w:tcPr>
            <w:tcW w:w="6944" w:type="dxa"/>
            <w:shd w:val="clear" w:color="auto" w:fill="D9D9D9" w:themeFill="background1" w:themeFillShade="D9"/>
          </w:tcPr>
          <w:p w14:paraId="7CD141BF" w14:textId="4F2AF61F" w:rsidR="008E0B97" w:rsidRPr="00D74068" w:rsidRDefault="008E0B97" w:rsidP="000F7DFB">
            <w:pPr>
              <w:jc w:val="left"/>
              <w:rPr>
                <w:rFonts w:ascii="Arial Narrow" w:hAnsi="Arial Narrow" w:cs="Arial Narrow"/>
                <w:b/>
                <w:bCs/>
                <w:iCs/>
              </w:rPr>
            </w:pPr>
            <w:r w:rsidRPr="00D74068">
              <w:rPr>
                <w:rFonts w:ascii="Arial Narrow" w:hAnsi="Arial Narrow" w:cs="Arial Narrow"/>
                <w:b/>
                <w:bCs/>
                <w:iCs/>
              </w:rPr>
              <w:t xml:space="preserve">How many Responses / Actions to Petitions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02D42E95" w14:textId="74347964" w:rsidR="008E0B97" w:rsidRPr="00D74068" w:rsidRDefault="008E0B97" w:rsidP="000F7DFB">
            <w:pPr>
              <w:jc w:val="left"/>
              <w:rPr>
                <w:rFonts w:ascii="Arial Narrow" w:hAnsi="Arial Narrow" w:cs="Arial Narrow"/>
                <w:b/>
                <w:bCs/>
                <w:iCs/>
              </w:rPr>
            </w:pPr>
            <w:r w:rsidRPr="00D74068">
              <w:rPr>
                <w:rFonts w:ascii="Arial Narrow" w:hAnsi="Arial Narrow" w:cs="Arial Narrow"/>
                <w:b/>
                <w:bCs/>
                <w:iCs/>
              </w:rPr>
              <w:t xml:space="preserve">With respect to any and all Petitions that were due in the Quarter under review, how many Petitions have been successfully responded to by the </w:t>
            </w:r>
            <w:r w:rsidR="00D74068" w:rsidRPr="00D74068">
              <w:rPr>
                <w:rFonts w:ascii="Arial Narrow" w:hAnsi="Arial Narrow" w:cs="Arial Narrow"/>
                <w:b/>
                <w:bCs/>
                <w:iCs/>
              </w:rPr>
              <w:t>Department / Entity</w:t>
            </w:r>
          </w:p>
        </w:tc>
      </w:tr>
      <w:tr w:rsidR="008E0B97" w:rsidRPr="006C3E18" w14:paraId="064FAD46" w14:textId="77777777" w:rsidTr="000F7DFB">
        <w:tc>
          <w:tcPr>
            <w:tcW w:w="6944" w:type="dxa"/>
            <w:shd w:val="clear" w:color="auto" w:fill="auto"/>
          </w:tcPr>
          <w:p w14:paraId="596D40E1" w14:textId="795E2C1A" w:rsidR="008E0B97" w:rsidRPr="006C3E18" w:rsidRDefault="0098247F" w:rsidP="00A203BF">
            <w:pPr>
              <w:spacing w:line="276" w:lineRule="auto"/>
              <w:jc w:val="left"/>
              <w:rPr>
                <w:rFonts w:ascii="Arial Narrow" w:hAnsi="Arial Narrow" w:cs="Arial"/>
                <w:iCs/>
                <w:highlight w:val="yellow"/>
              </w:rPr>
            </w:pPr>
            <w:r w:rsidRPr="0098247F">
              <w:rPr>
                <w:rFonts w:ascii="Arial Narrow" w:hAnsi="Arial Narrow" w:cs="Arial"/>
                <w:iCs/>
              </w:rPr>
              <w:t>The Department did not report on Petitions Management</w:t>
            </w:r>
          </w:p>
        </w:tc>
        <w:tc>
          <w:tcPr>
            <w:tcW w:w="7090" w:type="dxa"/>
            <w:shd w:val="clear" w:color="auto" w:fill="auto"/>
          </w:tcPr>
          <w:p w14:paraId="4F5EE3A2" w14:textId="5F8963A2" w:rsidR="008E0B97" w:rsidRPr="006C3E18" w:rsidRDefault="008E0B97" w:rsidP="000F7DFB">
            <w:pPr>
              <w:jc w:val="left"/>
              <w:rPr>
                <w:rFonts w:ascii="Arial Narrow" w:hAnsi="Arial Narrow" w:cs="Arial"/>
                <w:iCs/>
                <w:highlight w:val="yellow"/>
              </w:rPr>
            </w:pPr>
          </w:p>
        </w:tc>
      </w:tr>
      <w:tr w:rsidR="008E0B97" w:rsidRPr="006C3E18" w14:paraId="3E96745C" w14:textId="77777777" w:rsidTr="008E0B97">
        <w:tc>
          <w:tcPr>
            <w:tcW w:w="14034" w:type="dxa"/>
            <w:gridSpan w:val="2"/>
            <w:shd w:val="clear" w:color="auto" w:fill="D9D9D9" w:themeFill="background1" w:themeFillShade="D9"/>
          </w:tcPr>
          <w:p w14:paraId="39B70DBA" w14:textId="59CC27BA" w:rsidR="008E0B97" w:rsidRPr="006C3E18" w:rsidRDefault="008E0B97" w:rsidP="000F7DFB">
            <w:pPr>
              <w:jc w:val="left"/>
              <w:rPr>
                <w:rFonts w:ascii="Arial Narrow" w:hAnsi="Arial Narrow" w:cs="Arial Narrow"/>
                <w:b/>
                <w:bCs/>
                <w:iCs/>
              </w:rPr>
            </w:pPr>
            <w:r w:rsidRPr="006C3E18">
              <w:rPr>
                <w:rFonts w:ascii="Arial Narrow" w:hAnsi="Arial Narrow" w:cs="Arial Narrow"/>
                <w:b/>
                <w:bCs/>
                <w:iCs/>
              </w:rPr>
              <w:t xml:space="preserve">What is the Committees perception of the Quality and Timeliness of </w:t>
            </w:r>
            <w:r w:rsidR="00D74068" w:rsidRPr="006C3E18">
              <w:rPr>
                <w:rFonts w:ascii="Arial Narrow" w:hAnsi="Arial Narrow" w:cs="Arial Narrow"/>
                <w:b/>
                <w:bCs/>
                <w:iCs/>
              </w:rPr>
              <w:t>Department / Entity</w:t>
            </w:r>
            <w:r w:rsidRPr="006C3E18">
              <w:rPr>
                <w:rFonts w:ascii="Arial Narrow" w:hAnsi="Arial Narrow" w:cs="Arial Narrow"/>
                <w:b/>
                <w:bCs/>
                <w:iCs/>
              </w:rPr>
              <w:t xml:space="preserve"> responses to referred Petitions</w:t>
            </w:r>
          </w:p>
        </w:tc>
      </w:tr>
      <w:tr w:rsidR="008E0B97" w:rsidRPr="006C3E18" w14:paraId="28E9A779" w14:textId="77777777" w:rsidTr="000F7DFB">
        <w:tc>
          <w:tcPr>
            <w:tcW w:w="14034" w:type="dxa"/>
            <w:gridSpan w:val="2"/>
          </w:tcPr>
          <w:p w14:paraId="2CFAB475" w14:textId="6D388C23" w:rsidR="008E0B97" w:rsidRPr="006C3E18" w:rsidRDefault="008D387F" w:rsidP="000F7DFB">
            <w:pPr>
              <w:jc w:val="left"/>
              <w:rPr>
                <w:rFonts w:ascii="Arial Narrow" w:hAnsi="Arial Narrow" w:cs="Arial"/>
                <w:bCs/>
                <w:highlight w:val="yellow"/>
              </w:rPr>
            </w:pPr>
            <w:r w:rsidRPr="008D387F">
              <w:rPr>
                <w:rFonts w:ascii="Arial Narrow" w:hAnsi="Arial Narrow" w:cs="Arial"/>
                <w:bCs/>
              </w:rPr>
              <w:t>The Department did not report on Petitions Management</w:t>
            </w:r>
          </w:p>
        </w:tc>
      </w:tr>
      <w:tr w:rsidR="008E0B97" w:rsidRPr="006C3E18" w14:paraId="4725D504" w14:textId="77777777" w:rsidTr="008E0B97">
        <w:tc>
          <w:tcPr>
            <w:tcW w:w="14034" w:type="dxa"/>
            <w:gridSpan w:val="2"/>
            <w:shd w:val="clear" w:color="auto" w:fill="D9D9D9" w:themeFill="background1" w:themeFillShade="D9"/>
          </w:tcPr>
          <w:p w14:paraId="26CAA4ED" w14:textId="04FD4DEA" w:rsidR="008E0B97" w:rsidRPr="006C3E18" w:rsidRDefault="008E0B97" w:rsidP="000F7DFB">
            <w:pPr>
              <w:jc w:val="left"/>
              <w:rPr>
                <w:rFonts w:ascii="Arial Narrow" w:hAnsi="Arial Narrow" w:cs="Arial Narrow"/>
                <w:b/>
                <w:bCs/>
              </w:rPr>
            </w:pPr>
            <w:r w:rsidRPr="006C3E18">
              <w:rPr>
                <w:rFonts w:ascii="Arial Narrow" w:hAnsi="Arial Narrow" w:cs="Arial Narrow"/>
                <w:b/>
                <w:bCs/>
                <w:iCs/>
              </w:rPr>
              <w:t xml:space="preserve">With respect to the Petitions / Action due during the Quarter under review but not yet responded to by the </w:t>
            </w:r>
            <w:r w:rsidR="00D74068" w:rsidRPr="006C3E18">
              <w:rPr>
                <w:rFonts w:ascii="Arial Narrow" w:hAnsi="Arial Narrow" w:cs="Arial Narrow"/>
                <w:b/>
                <w:bCs/>
                <w:iCs/>
              </w:rPr>
              <w:t>Department / Entity</w:t>
            </w:r>
            <w:r w:rsidRPr="006C3E18">
              <w:rPr>
                <w:rFonts w:ascii="Arial Narrow" w:hAnsi="Arial Narrow" w:cs="Arial Narrow"/>
                <w:b/>
                <w:bCs/>
                <w:iCs/>
              </w:rPr>
              <w:t xml:space="preserve">, what reasons have been provided by the </w:t>
            </w:r>
            <w:r w:rsidR="00D74068" w:rsidRPr="006C3E18">
              <w:rPr>
                <w:rFonts w:ascii="Arial Narrow" w:hAnsi="Arial Narrow" w:cs="Arial Narrow"/>
                <w:b/>
                <w:bCs/>
                <w:iCs/>
              </w:rPr>
              <w:t>Department / Entity</w:t>
            </w:r>
            <w:r w:rsidRPr="006C3E18">
              <w:rPr>
                <w:rFonts w:ascii="Arial Narrow" w:hAnsi="Arial Narrow" w:cs="Arial Narrow"/>
                <w:b/>
                <w:bCs/>
                <w:iCs/>
              </w:rPr>
              <w:t xml:space="preserve"> [with mitigating measures to submission]</w:t>
            </w:r>
          </w:p>
        </w:tc>
      </w:tr>
      <w:tr w:rsidR="008E0B97" w:rsidRPr="006C3E18" w14:paraId="22220884" w14:textId="77777777" w:rsidTr="000F7DFB">
        <w:tc>
          <w:tcPr>
            <w:tcW w:w="14034" w:type="dxa"/>
            <w:gridSpan w:val="2"/>
          </w:tcPr>
          <w:p w14:paraId="1169C7C8" w14:textId="7592158F" w:rsidR="008E0B97" w:rsidRPr="006C3E18" w:rsidRDefault="008D387F" w:rsidP="00061E69">
            <w:pPr>
              <w:tabs>
                <w:tab w:val="left" w:pos="796"/>
              </w:tabs>
              <w:jc w:val="left"/>
              <w:rPr>
                <w:rFonts w:ascii="Arial Narrow" w:hAnsi="Arial Narrow" w:cs="Arial"/>
                <w:bCs/>
              </w:rPr>
            </w:pPr>
            <w:r w:rsidRPr="008D387F">
              <w:rPr>
                <w:rFonts w:ascii="Arial Narrow" w:hAnsi="Arial Narrow" w:cs="Arial"/>
                <w:bCs/>
              </w:rPr>
              <w:t>The Department did not report on Petitions Management</w:t>
            </w:r>
          </w:p>
        </w:tc>
      </w:tr>
    </w:tbl>
    <w:p w14:paraId="3A021D71" w14:textId="2E3DB799" w:rsidR="00B839BB" w:rsidRPr="006C3E18" w:rsidRDefault="00B839BB" w:rsidP="00B839BB">
      <w:pPr>
        <w:pStyle w:val="Heading1"/>
        <w:shd w:val="clear" w:color="auto" w:fill="D9D9D9" w:themeFill="background1" w:themeFillShade="D9"/>
        <w:rPr>
          <w:rFonts w:ascii="Arial Narrow" w:hAnsi="Arial Narrow"/>
          <w:color w:val="auto"/>
          <w:sz w:val="22"/>
          <w:szCs w:val="22"/>
        </w:rPr>
      </w:pPr>
      <w:bookmarkStart w:id="19" w:name="_Toc50576916"/>
      <w:r w:rsidRPr="006C3E18">
        <w:rPr>
          <w:rFonts w:ascii="Arial Narrow" w:hAnsi="Arial Narrow"/>
          <w:color w:val="auto"/>
          <w:sz w:val="22"/>
          <w:szCs w:val="22"/>
        </w:rPr>
        <w:t>6</w:t>
      </w:r>
      <w:r w:rsidRPr="006C3E18">
        <w:rPr>
          <w:rFonts w:ascii="Arial Narrow" w:hAnsi="Arial Narrow"/>
          <w:color w:val="auto"/>
          <w:sz w:val="22"/>
          <w:szCs w:val="22"/>
        </w:rPr>
        <w:tab/>
        <w:t xml:space="preserve">OVERSIGHT ON </w:t>
      </w:r>
      <w:r w:rsidR="00D74068" w:rsidRPr="006C3E18">
        <w:rPr>
          <w:rFonts w:ascii="Arial Narrow" w:hAnsi="Arial Narrow"/>
          <w:color w:val="auto"/>
          <w:sz w:val="22"/>
          <w:szCs w:val="22"/>
        </w:rPr>
        <w:t>DEPARTMENT / ENTITY</w:t>
      </w:r>
      <w:r w:rsidRPr="006C3E18">
        <w:rPr>
          <w:rFonts w:ascii="Arial Narrow" w:hAnsi="Arial Narrow"/>
          <w:color w:val="auto"/>
          <w:sz w:val="22"/>
          <w:szCs w:val="22"/>
        </w:rPr>
        <w:t xml:space="preserve"> PUBLIC ENGAGEMENT</w:t>
      </w:r>
      <w:bookmarkEnd w:id="19"/>
    </w:p>
    <w:p w14:paraId="563E95B5" w14:textId="77777777" w:rsidR="00B839BB" w:rsidRPr="006C3E18" w:rsidRDefault="00B839BB" w:rsidP="00FA3D60">
      <w:pPr>
        <w:spacing w:after="200" w:line="240"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B839BB" w:rsidRPr="00D74068" w14:paraId="7B18AA80" w14:textId="77777777" w:rsidTr="00B839BB">
        <w:tc>
          <w:tcPr>
            <w:tcW w:w="14034" w:type="dxa"/>
            <w:shd w:val="clear" w:color="auto" w:fill="D6E3BC" w:themeFill="accent3" w:themeFillTint="66"/>
          </w:tcPr>
          <w:p w14:paraId="2A2C2874" w14:textId="54C5ABED" w:rsidR="00B839BB" w:rsidRPr="00D74068" w:rsidRDefault="00600AFA" w:rsidP="00600AFA">
            <w:pPr>
              <w:rPr>
                <w:rFonts w:ascii="Arial Narrow" w:hAnsi="Arial Narrow"/>
                <w:b/>
              </w:rPr>
            </w:pPr>
            <w:r w:rsidRPr="00D74068">
              <w:rPr>
                <w:rFonts w:ascii="Arial Narrow" w:hAnsi="Arial Narrow"/>
                <w:b/>
              </w:rPr>
              <w:t xml:space="preserve">6. </w:t>
            </w:r>
            <w:r w:rsidR="00B839BB" w:rsidRPr="00D74068">
              <w:rPr>
                <w:rFonts w:ascii="Arial Narrow" w:hAnsi="Arial Narrow"/>
                <w:b/>
              </w:rPr>
              <w:t xml:space="preserve">THE DETAILS ON </w:t>
            </w:r>
            <w:r w:rsidR="00D74068" w:rsidRPr="00D74068">
              <w:rPr>
                <w:rFonts w:ascii="Arial Narrow" w:hAnsi="Arial Narrow"/>
                <w:b/>
              </w:rPr>
              <w:t>DEPARTMENT / ENTITY</w:t>
            </w:r>
            <w:r w:rsidR="00B839BB" w:rsidRPr="00D74068">
              <w:rPr>
                <w:rFonts w:ascii="Arial Narrow" w:hAnsi="Arial Narrow"/>
                <w:b/>
              </w:rPr>
              <w:t xml:space="preserve"> PUBLIC ENGAGEMENTS</w:t>
            </w:r>
          </w:p>
        </w:tc>
      </w:tr>
      <w:tr w:rsidR="00B839BB" w:rsidRPr="00D74068" w14:paraId="6EB71945" w14:textId="77777777" w:rsidTr="00B839BB">
        <w:tc>
          <w:tcPr>
            <w:tcW w:w="14034" w:type="dxa"/>
            <w:shd w:val="clear" w:color="auto" w:fill="D9D9D9" w:themeFill="background1" w:themeFillShade="D9"/>
          </w:tcPr>
          <w:p w14:paraId="7C51F1D3" w14:textId="040B46F1" w:rsidR="00B839BB" w:rsidRPr="00D74068" w:rsidRDefault="00B839BB" w:rsidP="000F7DFB">
            <w:pPr>
              <w:rPr>
                <w:rFonts w:ascii="Arial Narrow" w:hAnsi="Arial Narrow"/>
                <w:b/>
              </w:rPr>
            </w:pPr>
            <w:r w:rsidRPr="00D74068">
              <w:rPr>
                <w:rFonts w:ascii="Arial Narrow" w:hAnsi="Arial Narrow"/>
                <w:b/>
              </w:rPr>
              <w:lastRenderedPageBreak/>
              <w:t xml:space="preserve">The steps / measures the </w:t>
            </w:r>
            <w:r w:rsidR="00D74068" w:rsidRPr="00D74068">
              <w:rPr>
                <w:rFonts w:ascii="Arial Narrow" w:hAnsi="Arial Narrow"/>
                <w:b/>
              </w:rPr>
              <w:t xml:space="preserve">Department </w:t>
            </w:r>
            <w:r w:rsidRPr="00D74068">
              <w:rPr>
                <w:rFonts w:ascii="Arial Narrow" w:hAnsi="Arial Narrow"/>
                <w:b/>
              </w:rPr>
              <w:t>has taken to meaningfully involve the public / stakeholders in the course of its work / service delivery, during the period under review</w:t>
            </w:r>
          </w:p>
        </w:tc>
      </w:tr>
      <w:tr w:rsidR="00CD35BD" w:rsidRPr="006C3E18" w14:paraId="2A37F5E3" w14:textId="77777777" w:rsidTr="000F7DFB">
        <w:tc>
          <w:tcPr>
            <w:tcW w:w="14034" w:type="dxa"/>
          </w:tcPr>
          <w:p w14:paraId="5B2C875E" w14:textId="1849D81A" w:rsidR="001F0FB5" w:rsidRPr="006C3E18" w:rsidRDefault="00E260A0" w:rsidP="00512FD0">
            <w:pPr>
              <w:spacing w:line="276" w:lineRule="auto"/>
              <w:rPr>
                <w:rFonts w:ascii="Arial Narrow" w:hAnsi="Arial Narrow" w:cs="Arial"/>
                <w:lang w:eastAsia="en-GB"/>
              </w:rPr>
            </w:pPr>
            <w:r>
              <w:rPr>
                <w:rFonts w:ascii="Arial Narrow" w:hAnsi="Arial Narrow" w:cs="Arial"/>
                <w:lang w:eastAsia="en-GB"/>
              </w:rPr>
              <w:t xml:space="preserve">The Department did not report on </w:t>
            </w:r>
            <w:r w:rsidR="004877BF">
              <w:rPr>
                <w:rFonts w:ascii="Arial Narrow" w:hAnsi="Arial Narrow" w:cs="Arial"/>
                <w:lang w:eastAsia="en-GB"/>
              </w:rPr>
              <w:t>Public Engagements</w:t>
            </w:r>
          </w:p>
          <w:p w14:paraId="01516262" w14:textId="56521955" w:rsidR="00CD35BD" w:rsidRPr="006C3E18" w:rsidRDefault="00CD35BD" w:rsidP="001F0FB5">
            <w:pPr>
              <w:spacing w:line="276" w:lineRule="auto"/>
              <w:ind w:left="720"/>
              <w:rPr>
                <w:rFonts w:ascii="Arial Narrow" w:hAnsi="Arial Narrow"/>
                <w:bCs/>
                <w:lang w:val="en-GB"/>
              </w:rPr>
            </w:pPr>
          </w:p>
        </w:tc>
      </w:tr>
      <w:tr w:rsidR="00CD35BD" w:rsidRPr="006C3E18" w14:paraId="2D265B94" w14:textId="77777777" w:rsidTr="00B839BB">
        <w:tc>
          <w:tcPr>
            <w:tcW w:w="14034" w:type="dxa"/>
            <w:shd w:val="clear" w:color="auto" w:fill="D9D9D9" w:themeFill="background1" w:themeFillShade="D9"/>
          </w:tcPr>
          <w:p w14:paraId="3FE0C65B" w14:textId="1F81933E" w:rsidR="00CD35BD" w:rsidRPr="006C3E18" w:rsidRDefault="00CD35BD" w:rsidP="00CD35BD">
            <w:pPr>
              <w:rPr>
                <w:rFonts w:ascii="Arial Narrow" w:hAnsi="Arial Narrow"/>
                <w:b/>
              </w:rPr>
            </w:pPr>
            <w:r w:rsidRPr="006C3E18">
              <w:rPr>
                <w:rFonts w:ascii="Arial Narrow" w:hAnsi="Arial Narrow"/>
                <w:b/>
              </w:rPr>
              <w:t xml:space="preserve">Summary of Public Education programmes of the Department </w:t>
            </w:r>
            <w:r w:rsidR="008E7082">
              <w:rPr>
                <w:rFonts w:ascii="Arial Narrow" w:hAnsi="Arial Narrow"/>
                <w:b/>
              </w:rPr>
              <w:t xml:space="preserve"> </w:t>
            </w:r>
            <w:r w:rsidRPr="006C3E18">
              <w:rPr>
                <w:rFonts w:ascii="Arial Narrow" w:hAnsi="Arial Narrow"/>
                <w:b/>
              </w:rPr>
              <w:t>during the period under review</w:t>
            </w:r>
          </w:p>
        </w:tc>
      </w:tr>
      <w:tr w:rsidR="00CD35BD" w:rsidRPr="006C3E18" w14:paraId="4E4622C1" w14:textId="77777777" w:rsidTr="000F7DFB">
        <w:tc>
          <w:tcPr>
            <w:tcW w:w="14034" w:type="dxa"/>
          </w:tcPr>
          <w:p w14:paraId="68F09B1D" w14:textId="49AFE961" w:rsidR="001F0FB5" w:rsidRPr="006C3E18" w:rsidRDefault="00CD35BD" w:rsidP="00F81DCB">
            <w:pPr>
              <w:spacing w:line="276" w:lineRule="auto"/>
              <w:rPr>
                <w:rFonts w:ascii="Arial Narrow" w:hAnsi="Arial Narrow" w:cs="Arial"/>
                <w:lang w:val="en-GB"/>
              </w:rPr>
            </w:pPr>
            <w:r w:rsidRPr="006C3E18">
              <w:rPr>
                <w:rFonts w:ascii="Arial Narrow" w:hAnsi="Arial Narrow" w:cs="Arial"/>
                <w:lang w:val="en-GB"/>
              </w:rPr>
              <w:t xml:space="preserve">The </w:t>
            </w:r>
            <w:r w:rsidR="00512FD0">
              <w:rPr>
                <w:rFonts w:ascii="Arial Narrow" w:hAnsi="Arial Narrow" w:cs="Arial"/>
                <w:lang w:val="en-GB"/>
              </w:rPr>
              <w:t xml:space="preserve">Department did not report on </w:t>
            </w:r>
            <w:r w:rsidR="008E7082">
              <w:rPr>
                <w:rFonts w:ascii="Arial Narrow" w:hAnsi="Arial Narrow" w:cs="Arial"/>
                <w:lang w:val="en-GB"/>
              </w:rPr>
              <w:t>Public Education</w:t>
            </w:r>
          </w:p>
          <w:p w14:paraId="3393F5B6" w14:textId="51D80D5A" w:rsidR="00CD35BD" w:rsidRPr="006C3E18" w:rsidRDefault="00CD35BD" w:rsidP="00F81DCB">
            <w:pPr>
              <w:spacing w:line="276" w:lineRule="auto"/>
              <w:rPr>
                <w:rFonts w:ascii="Arial Narrow" w:hAnsi="Arial Narrow" w:cs="Arial"/>
              </w:rPr>
            </w:pPr>
          </w:p>
        </w:tc>
      </w:tr>
      <w:tr w:rsidR="00CD35BD" w:rsidRPr="006C3E18" w14:paraId="479E3B9D" w14:textId="77777777" w:rsidTr="00B839BB">
        <w:tc>
          <w:tcPr>
            <w:tcW w:w="14034" w:type="dxa"/>
            <w:shd w:val="clear" w:color="auto" w:fill="D9D9D9" w:themeFill="background1" w:themeFillShade="D9"/>
          </w:tcPr>
          <w:p w14:paraId="73B02592" w14:textId="496E735D" w:rsidR="00CD35BD" w:rsidRPr="006C3E18" w:rsidRDefault="00CD35BD" w:rsidP="00CD35BD">
            <w:pPr>
              <w:rPr>
                <w:rFonts w:ascii="Arial Narrow" w:hAnsi="Arial Narrow"/>
                <w:b/>
              </w:rPr>
            </w:pPr>
            <w:r w:rsidRPr="006C3E18">
              <w:rPr>
                <w:rFonts w:ascii="Arial Narrow" w:hAnsi="Arial Narrow"/>
                <w:b/>
              </w:rPr>
              <w:t xml:space="preserve">Feedback sessions conducted by the Department </w:t>
            </w:r>
            <w:r w:rsidR="008E7082">
              <w:rPr>
                <w:rFonts w:ascii="Arial Narrow" w:hAnsi="Arial Narrow"/>
                <w:b/>
              </w:rPr>
              <w:t xml:space="preserve"> </w:t>
            </w:r>
            <w:r w:rsidRPr="006C3E18">
              <w:rPr>
                <w:rFonts w:ascii="Arial Narrow" w:hAnsi="Arial Narrow"/>
                <w:b/>
              </w:rPr>
              <w:t>during the period under review</w:t>
            </w:r>
          </w:p>
        </w:tc>
      </w:tr>
      <w:tr w:rsidR="00CD35BD" w:rsidRPr="006C3E18" w14:paraId="6F0EDA71" w14:textId="77777777" w:rsidTr="000F7DFB">
        <w:tc>
          <w:tcPr>
            <w:tcW w:w="14034" w:type="dxa"/>
          </w:tcPr>
          <w:p w14:paraId="601E550A" w14:textId="027391B6" w:rsidR="001F0FB5" w:rsidRPr="006C3E18" w:rsidRDefault="008E7082" w:rsidP="00F81DCB">
            <w:pPr>
              <w:spacing w:line="276" w:lineRule="auto"/>
              <w:rPr>
                <w:rFonts w:ascii="Arial Narrow" w:hAnsi="Arial Narrow"/>
                <w:lang w:val="en-GB"/>
              </w:rPr>
            </w:pPr>
            <w:r>
              <w:rPr>
                <w:rFonts w:ascii="Arial Narrow" w:hAnsi="Arial Narrow"/>
                <w:lang w:val="en-GB"/>
              </w:rPr>
              <w:t xml:space="preserve">The Department did not report on Feedback sessions </w:t>
            </w:r>
          </w:p>
          <w:p w14:paraId="1C61CD54" w14:textId="06B149E9" w:rsidR="00CD35BD" w:rsidRPr="006C3E18" w:rsidRDefault="00CD35BD" w:rsidP="00F81DCB">
            <w:pPr>
              <w:spacing w:line="276" w:lineRule="auto"/>
              <w:rPr>
                <w:rFonts w:ascii="Arial Narrow" w:hAnsi="Arial Narrow" w:cs="Arial"/>
                <w:lang w:val="en-GB"/>
              </w:rPr>
            </w:pPr>
          </w:p>
        </w:tc>
      </w:tr>
    </w:tbl>
    <w:p w14:paraId="1C4A7426" w14:textId="1DBFE0C3" w:rsidR="00DD4DD9" w:rsidRPr="006C3E18" w:rsidRDefault="00DD4DD9" w:rsidP="00DD4DD9">
      <w:pPr>
        <w:pStyle w:val="Heading1"/>
        <w:shd w:val="clear" w:color="auto" w:fill="D9D9D9" w:themeFill="background1" w:themeFillShade="D9"/>
        <w:rPr>
          <w:rFonts w:ascii="Arial Narrow" w:hAnsi="Arial Narrow"/>
          <w:color w:val="auto"/>
          <w:sz w:val="22"/>
          <w:szCs w:val="22"/>
        </w:rPr>
      </w:pPr>
      <w:bookmarkStart w:id="20" w:name="_Toc50576917"/>
      <w:r w:rsidRPr="006C3E18">
        <w:rPr>
          <w:rFonts w:ascii="Arial Narrow" w:hAnsi="Arial Narrow"/>
          <w:color w:val="auto"/>
          <w:sz w:val="22"/>
          <w:szCs w:val="22"/>
        </w:rPr>
        <w:t>7</w:t>
      </w:r>
      <w:r w:rsidRPr="006C3E18">
        <w:rPr>
          <w:rFonts w:ascii="Arial Narrow" w:hAnsi="Arial Narrow"/>
          <w:color w:val="auto"/>
          <w:sz w:val="22"/>
          <w:szCs w:val="22"/>
        </w:rPr>
        <w:tab/>
        <w:t xml:space="preserve">OVERSIGHT ON </w:t>
      </w:r>
      <w:r w:rsidR="00B23D68" w:rsidRPr="006C3E18">
        <w:rPr>
          <w:rFonts w:ascii="Arial Narrow" w:hAnsi="Arial Narrow"/>
          <w:color w:val="auto"/>
          <w:sz w:val="22"/>
          <w:szCs w:val="22"/>
        </w:rPr>
        <w:t>INTERNATIONAL TREATISE / AGREEMENTS</w:t>
      </w:r>
      <w:bookmarkEnd w:id="20"/>
    </w:p>
    <w:tbl>
      <w:tblPr>
        <w:tblStyle w:val="TableGrid"/>
        <w:tblW w:w="14454" w:type="dxa"/>
        <w:tblLayout w:type="fixed"/>
        <w:tblLook w:val="04A0" w:firstRow="1" w:lastRow="0" w:firstColumn="1" w:lastColumn="0" w:noHBand="0" w:noVBand="1"/>
      </w:tblPr>
      <w:tblGrid>
        <w:gridCol w:w="14454"/>
      </w:tblGrid>
      <w:tr w:rsidR="00B23D68" w:rsidRPr="006C3E18" w14:paraId="26EBB0AE" w14:textId="77777777" w:rsidTr="00B23D68">
        <w:trPr>
          <w:tblHeader/>
        </w:trPr>
        <w:tc>
          <w:tcPr>
            <w:tcW w:w="14454" w:type="dxa"/>
            <w:shd w:val="clear" w:color="auto" w:fill="D6E3BC" w:themeFill="accent3" w:themeFillTint="66"/>
          </w:tcPr>
          <w:p w14:paraId="1285827D" w14:textId="5FAD4A28" w:rsidR="00B23D68" w:rsidRPr="006C3E18" w:rsidRDefault="00600AFA" w:rsidP="000F7DFB">
            <w:pPr>
              <w:rPr>
                <w:rFonts w:ascii="Arial Narrow" w:hAnsi="Arial Narrow" w:cs="Arial"/>
                <w:b/>
                <w:bCs/>
                <w:lang w:val="en-US"/>
              </w:rPr>
            </w:pPr>
            <w:r w:rsidRPr="006C3E18">
              <w:rPr>
                <w:rFonts w:ascii="Arial Narrow" w:hAnsi="Arial Narrow" w:cs="Arial"/>
                <w:b/>
                <w:bCs/>
                <w:lang w:val="en-US"/>
              </w:rPr>
              <w:t xml:space="preserve">7. </w:t>
            </w:r>
            <w:r w:rsidR="00B23D68" w:rsidRPr="006C3E18">
              <w:rPr>
                <w:rFonts w:ascii="Arial Narrow" w:hAnsi="Arial Narrow" w:cs="Arial"/>
                <w:b/>
                <w:bCs/>
                <w:lang w:val="en-US"/>
              </w:rPr>
              <w:t>DETAILS ON IMPLEMENTATION OF INTERNATIONAL AGREEMENTS / TREATIES [</w:t>
            </w:r>
            <w:r w:rsidR="00B23D68" w:rsidRPr="00FD6BD8">
              <w:rPr>
                <w:rFonts w:ascii="Arial Narrow" w:hAnsi="Arial Narrow" w:cs="Arial"/>
                <w:b/>
                <w:bCs/>
                <w:lang w:val="en-US"/>
              </w:rPr>
              <w:t xml:space="preserve">Applicable only to OCPOL / </w:t>
            </w:r>
            <w:proofErr w:type="spellStart"/>
            <w:r w:rsidR="00B23D68" w:rsidRPr="00FD6BD8">
              <w:rPr>
                <w:rFonts w:ascii="Arial Narrow" w:hAnsi="Arial Narrow" w:cs="Arial"/>
                <w:b/>
                <w:bCs/>
                <w:lang w:val="en-US"/>
              </w:rPr>
              <w:t>OoP</w:t>
            </w:r>
            <w:proofErr w:type="spellEnd"/>
            <w:r w:rsidR="00B23D68" w:rsidRPr="00FD6BD8">
              <w:rPr>
                <w:rFonts w:ascii="Arial Narrow" w:hAnsi="Arial Narrow" w:cs="Arial"/>
                <w:b/>
                <w:bCs/>
                <w:lang w:val="en-US"/>
              </w:rPr>
              <w:t>]</w:t>
            </w:r>
          </w:p>
        </w:tc>
      </w:tr>
      <w:tr w:rsidR="00B23D68" w:rsidRPr="006C3E18" w14:paraId="3EE40366" w14:textId="77777777" w:rsidTr="000F7DFB">
        <w:tblPrEx>
          <w:jc w:val="center"/>
        </w:tblPrEx>
        <w:trPr>
          <w:trHeight w:val="70"/>
          <w:jc w:val="center"/>
        </w:trPr>
        <w:tc>
          <w:tcPr>
            <w:tcW w:w="14454" w:type="dxa"/>
            <w:shd w:val="clear" w:color="auto" w:fill="auto"/>
          </w:tcPr>
          <w:p w14:paraId="62D2751F" w14:textId="75B9C319" w:rsidR="00B23D68" w:rsidRPr="006C3E18" w:rsidRDefault="00B23D68" w:rsidP="006144E1">
            <w:pPr>
              <w:rPr>
                <w:rFonts w:ascii="Arial Narrow" w:hAnsi="Arial Narrow" w:cs="Arial"/>
              </w:rPr>
            </w:pPr>
            <w:r w:rsidRPr="006C3E18">
              <w:rPr>
                <w:rFonts w:ascii="Arial Narrow" w:hAnsi="Arial Narrow" w:cs="Arial"/>
              </w:rPr>
              <w:t>[</w:t>
            </w:r>
            <w:r w:rsidR="004C6A38" w:rsidRPr="006C3E18">
              <w:rPr>
                <w:rFonts w:ascii="Arial Narrow" w:hAnsi="Arial Narrow" w:cs="Arial"/>
              </w:rPr>
              <w:t>The Department did not report anything on this line item</w:t>
            </w:r>
            <w:r w:rsidRPr="006C3E18">
              <w:rPr>
                <w:rFonts w:ascii="Arial Narrow" w:hAnsi="Arial Narrow" w:cs="Arial"/>
              </w:rPr>
              <w:t>]</w:t>
            </w:r>
          </w:p>
        </w:tc>
      </w:tr>
    </w:tbl>
    <w:p w14:paraId="5AEF6D28" w14:textId="47338941" w:rsidR="00B23D68" w:rsidRPr="006C3E18" w:rsidRDefault="00B23D68" w:rsidP="00B23D68">
      <w:pPr>
        <w:pStyle w:val="Heading1"/>
        <w:shd w:val="clear" w:color="auto" w:fill="D9D9D9" w:themeFill="background1" w:themeFillShade="D9"/>
        <w:rPr>
          <w:rFonts w:ascii="Arial Narrow" w:hAnsi="Arial Narrow"/>
          <w:color w:val="auto"/>
          <w:sz w:val="22"/>
          <w:szCs w:val="22"/>
        </w:rPr>
      </w:pPr>
      <w:bookmarkStart w:id="21" w:name="_Toc50576918"/>
      <w:r w:rsidRPr="006C3E18">
        <w:rPr>
          <w:rFonts w:ascii="Arial Narrow" w:hAnsi="Arial Narrow"/>
          <w:color w:val="auto"/>
          <w:sz w:val="22"/>
          <w:szCs w:val="22"/>
        </w:rPr>
        <w:t>8</w:t>
      </w:r>
      <w:r w:rsidRPr="006C3E18">
        <w:rPr>
          <w:rFonts w:ascii="Arial Narrow" w:hAnsi="Arial Narrow"/>
          <w:color w:val="auto"/>
          <w:sz w:val="22"/>
          <w:szCs w:val="22"/>
        </w:rPr>
        <w:tab/>
        <w:t xml:space="preserve">OVERSIGHT ON </w:t>
      </w:r>
      <w:r w:rsidR="00D74068" w:rsidRPr="006C3E18">
        <w:rPr>
          <w:rFonts w:ascii="Arial Narrow" w:hAnsi="Arial Narrow"/>
          <w:color w:val="auto"/>
          <w:sz w:val="22"/>
          <w:szCs w:val="22"/>
        </w:rPr>
        <w:t>DEPARTMENT / ENTITY</w:t>
      </w:r>
      <w:r w:rsidRPr="006C3E18">
        <w:rPr>
          <w:rFonts w:ascii="Arial Narrow" w:hAnsi="Arial Narrow"/>
          <w:color w:val="auto"/>
          <w:sz w:val="22"/>
          <w:szCs w:val="22"/>
        </w:rPr>
        <w:t xml:space="preserve"> GEYODI EMPOWERMENT</w:t>
      </w:r>
      <w:bookmarkEnd w:id="21"/>
    </w:p>
    <w:tbl>
      <w:tblPr>
        <w:tblStyle w:val="TableGrid"/>
        <w:tblW w:w="14459" w:type="dxa"/>
        <w:tblInd w:w="-5" w:type="dxa"/>
        <w:tblLook w:val="04A0" w:firstRow="1" w:lastRow="0" w:firstColumn="1" w:lastColumn="0" w:noHBand="0" w:noVBand="1"/>
      </w:tblPr>
      <w:tblGrid>
        <w:gridCol w:w="14459"/>
      </w:tblGrid>
      <w:tr w:rsidR="00B23D68" w:rsidRPr="006C3E18" w14:paraId="32ECA434" w14:textId="77777777" w:rsidTr="00E7590E">
        <w:trPr>
          <w:tblHeader/>
        </w:trPr>
        <w:tc>
          <w:tcPr>
            <w:tcW w:w="14459" w:type="dxa"/>
            <w:shd w:val="clear" w:color="auto" w:fill="D6E3BC" w:themeFill="accent3" w:themeFillTint="66"/>
          </w:tcPr>
          <w:p w14:paraId="7FB08BB5" w14:textId="4AF92941" w:rsidR="00B23D68" w:rsidRPr="006C3E18" w:rsidRDefault="00600AFA" w:rsidP="000F7DFB">
            <w:pPr>
              <w:rPr>
                <w:rFonts w:ascii="Arial Narrow" w:hAnsi="Arial Narrow" w:cs="Arial"/>
                <w:b/>
                <w:bCs/>
                <w:lang w:val="en-US"/>
              </w:rPr>
            </w:pPr>
            <w:r w:rsidRPr="006C3E18">
              <w:rPr>
                <w:rFonts w:ascii="Arial Narrow" w:hAnsi="Arial Narrow" w:cs="Arial"/>
                <w:b/>
                <w:bCs/>
                <w:lang w:val="en-US"/>
              </w:rPr>
              <w:t xml:space="preserve">8. </w:t>
            </w:r>
            <w:r w:rsidR="00B23D68" w:rsidRPr="006C3E18">
              <w:rPr>
                <w:rFonts w:ascii="Arial Narrow" w:hAnsi="Arial Narrow" w:cs="Arial"/>
                <w:b/>
                <w:bCs/>
                <w:lang w:val="en-US"/>
              </w:rPr>
              <w:t xml:space="preserve">DETAILS ON </w:t>
            </w:r>
            <w:r w:rsidR="00D74068" w:rsidRPr="006C3E18">
              <w:rPr>
                <w:rFonts w:ascii="Arial Narrow" w:hAnsi="Arial Narrow" w:cs="Arial"/>
                <w:b/>
                <w:bCs/>
                <w:lang w:val="en-US"/>
              </w:rPr>
              <w:t>DEPARTMENT / ENTITY</w:t>
            </w:r>
            <w:r w:rsidR="00B23D68" w:rsidRPr="006C3E18">
              <w:rPr>
                <w:rFonts w:ascii="Arial Narrow" w:hAnsi="Arial Narrow" w:cs="Arial"/>
                <w:b/>
                <w:bCs/>
                <w:lang w:val="en-US"/>
              </w:rPr>
              <w:t xml:space="preserve"> GEYODI EMPOWERMENT</w:t>
            </w:r>
          </w:p>
        </w:tc>
      </w:tr>
      <w:tr w:rsidR="006C3E18" w:rsidRPr="006C3E18" w14:paraId="0BDDDBC1" w14:textId="77777777" w:rsidTr="00E7590E">
        <w:tblPrEx>
          <w:jc w:val="center"/>
          <w:tblInd w:w="0" w:type="dxa"/>
        </w:tblPrEx>
        <w:trPr>
          <w:trHeight w:val="70"/>
          <w:jc w:val="center"/>
        </w:trPr>
        <w:tc>
          <w:tcPr>
            <w:tcW w:w="14459" w:type="dxa"/>
            <w:shd w:val="clear" w:color="auto" w:fill="auto"/>
          </w:tcPr>
          <w:p w14:paraId="49AFDCC2" w14:textId="0A7ED3C9" w:rsidR="00E80743" w:rsidRDefault="00E80743" w:rsidP="005A2C3F">
            <w:pPr>
              <w:spacing w:line="276" w:lineRule="auto"/>
              <w:rPr>
                <w:rFonts w:ascii="Arial Narrow" w:hAnsi="Arial Narrow" w:cs="Arial"/>
                <w:bCs/>
              </w:rPr>
            </w:pPr>
            <w:r>
              <w:rPr>
                <w:rFonts w:ascii="Arial Narrow" w:hAnsi="Arial Narrow" w:cs="Arial"/>
                <w:bCs/>
              </w:rPr>
              <w:t>The Department reported the following with regards, to GEYODI empowerment:</w:t>
            </w:r>
          </w:p>
          <w:p w14:paraId="2DE1D2B9" w14:textId="161BF5C2" w:rsidR="005A2C3F" w:rsidRPr="00E80743" w:rsidRDefault="005A2C3F" w:rsidP="00C93E82">
            <w:pPr>
              <w:pStyle w:val="ListParagraph"/>
              <w:numPr>
                <w:ilvl w:val="0"/>
                <w:numId w:val="11"/>
              </w:numPr>
              <w:rPr>
                <w:rFonts w:ascii="Arial Narrow" w:hAnsi="Arial Narrow" w:cs="Arial"/>
                <w:bCs/>
              </w:rPr>
            </w:pPr>
            <w:r w:rsidRPr="00E80743">
              <w:rPr>
                <w:rFonts w:ascii="Arial Narrow" w:hAnsi="Arial Narrow" w:cs="Arial"/>
                <w:bCs/>
              </w:rPr>
              <w:t xml:space="preserve">18 181 </w:t>
            </w:r>
            <w:r w:rsidRPr="00E80743">
              <w:rPr>
                <w:rFonts w:ascii="Arial Narrow" w:hAnsi="Arial Narrow" w:cs="Arial"/>
                <w:b/>
              </w:rPr>
              <w:t>Women</w:t>
            </w:r>
            <w:r w:rsidRPr="00E80743">
              <w:rPr>
                <w:rFonts w:ascii="Arial Narrow" w:hAnsi="Arial Narrow" w:cs="Arial"/>
                <w:bCs/>
              </w:rPr>
              <w:t xml:space="preserve"> empowered through CWP and EPWP Programmes</w:t>
            </w:r>
          </w:p>
          <w:p w14:paraId="4B5DD182" w14:textId="7931A90C" w:rsidR="005A2C3F" w:rsidRPr="00E80743" w:rsidRDefault="005A2C3F" w:rsidP="00C93E82">
            <w:pPr>
              <w:pStyle w:val="ListParagraph"/>
              <w:numPr>
                <w:ilvl w:val="0"/>
                <w:numId w:val="11"/>
              </w:numPr>
              <w:rPr>
                <w:rFonts w:ascii="Arial Narrow" w:hAnsi="Arial Narrow" w:cs="Arial"/>
                <w:bCs/>
              </w:rPr>
            </w:pPr>
            <w:r w:rsidRPr="00E80743">
              <w:rPr>
                <w:rFonts w:ascii="Arial Narrow" w:hAnsi="Arial Narrow" w:cs="Arial"/>
                <w:bCs/>
              </w:rPr>
              <w:t xml:space="preserve">855 </w:t>
            </w:r>
            <w:r w:rsidRPr="00E80743">
              <w:rPr>
                <w:rFonts w:ascii="Arial Narrow" w:hAnsi="Arial Narrow" w:cs="Arial"/>
                <w:b/>
              </w:rPr>
              <w:t>You</w:t>
            </w:r>
            <w:r w:rsidR="00E80743" w:rsidRPr="00E80743">
              <w:rPr>
                <w:rFonts w:ascii="Arial Narrow" w:hAnsi="Arial Narrow" w:cs="Arial"/>
                <w:b/>
              </w:rPr>
              <w:t>th</w:t>
            </w:r>
            <w:r w:rsidRPr="00E80743">
              <w:rPr>
                <w:rFonts w:ascii="Arial Narrow" w:hAnsi="Arial Narrow" w:cs="Arial"/>
                <w:b/>
              </w:rPr>
              <w:t xml:space="preserve"> </w:t>
            </w:r>
            <w:r w:rsidRPr="00E80743">
              <w:rPr>
                <w:rFonts w:ascii="Arial Narrow" w:hAnsi="Arial Narrow" w:cs="Arial"/>
                <w:bCs/>
              </w:rPr>
              <w:t>empowered through CWP and EPWP Programmes</w:t>
            </w:r>
          </w:p>
          <w:p w14:paraId="060F1679" w14:textId="693B3AF2" w:rsidR="009342C8" w:rsidRPr="00E80743" w:rsidRDefault="005A2C3F" w:rsidP="00C93E82">
            <w:pPr>
              <w:pStyle w:val="ListParagraph"/>
              <w:numPr>
                <w:ilvl w:val="0"/>
                <w:numId w:val="11"/>
              </w:numPr>
              <w:rPr>
                <w:rFonts w:ascii="Arial Narrow" w:hAnsi="Arial Narrow" w:cs="Arial"/>
              </w:rPr>
            </w:pPr>
            <w:r w:rsidRPr="00E80743">
              <w:rPr>
                <w:rFonts w:ascii="Arial Narrow" w:hAnsi="Arial Narrow" w:cs="Arial"/>
                <w:bCs/>
              </w:rPr>
              <w:t xml:space="preserve">507 </w:t>
            </w:r>
            <w:r w:rsidRPr="00E80743">
              <w:rPr>
                <w:rFonts w:ascii="Arial Narrow" w:hAnsi="Arial Narrow" w:cs="Arial"/>
                <w:b/>
              </w:rPr>
              <w:t>Persons with Disabilities</w:t>
            </w:r>
            <w:r w:rsidRPr="00E80743">
              <w:rPr>
                <w:rFonts w:ascii="Arial Narrow" w:hAnsi="Arial Narrow" w:cs="Arial"/>
                <w:bCs/>
              </w:rPr>
              <w:t xml:space="preserve"> empowered through CWP Programme</w:t>
            </w:r>
          </w:p>
        </w:tc>
      </w:tr>
    </w:tbl>
    <w:p w14:paraId="3ABF866D" w14:textId="348C40D9" w:rsidR="006E0C9A" w:rsidRPr="006C3E18" w:rsidRDefault="006E0C9A" w:rsidP="006E0C9A">
      <w:pPr>
        <w:pStyle w:val="Heading1"/>
        <w:shd w:val="clear" w:color="auto" w:fill="D9D9D9" w:themeFill="background1" w:themeFillShade="D9"/>
        <w:rPr>
          <w:rFonts w:ascii="Arial Narrow" w:hAnsi="Arial Narrow"/>
          <w:color w:val="auto"/>
          <w:sz w:val="22"/>
          <w:szCs w:val="22"/>
        </w:rPr>
      </w:pPr>
      <w:bookmarkStart w:id="22" w:name="_Toc50576919"/>
      <w:r w:rsidRPr="006C3E18">
        <w:rPr>
          <w:rFonts w:ascii="Arial Narrow" w:hAnsi="Arial Narrow"/>
          <w:color w:val="auto"/>
          <w:sz w:val="22"/>
          <w:szCs w:val="22"/>
        </w:rPr>
        <w:t>9</w:t>
      </w:r>
      <w:r w:rsidRPr="006C3E18">
        <w:rPr>
          <w:rFonts w:ascii="Arial Narrow" w:hAnsi="Arial Narrow"/>
          <w:color w:val="auto"/>
          <w:sz w:val="22"/>
          <w:szCs w:val="22"/>
        </w:rPr>
        <w:tab/>
        <w:t xml:space="preserve">OVERSIGHT ON </w:t>
      </w:r>
      <w:r w:rsidR="00D74068" w:rsidRPr="006C3E18">
        <w:rPr>
          <w:rFonts w:ascii="Arial Narrow" w:hAnsi="Arial Narrow"/>
          <w:color w:val="auto"/>
          <w:sz w:val="22"/>
          <w:szCs w:val="22"/>
        </w:rPr>
        <w:t>DEPARTMENT / ENTITY</w:t>
      </w:r>
      <w:r w:rsidRPr="006C3E18">
        <w:rPr>
          <w:rFonts w:ascii="Arial Narrow" w:hAnsi="Arial Narrow"/>
          <w:color w:val="auto"/>
          <w:sz w:val="22"/>
          <w:szCs w:val="22"/>
        </w:rPr>
        <w:t xml:space="preserve"> </w:t>
      </w:r>
      <w:r w:rsidR="007E5ECF" w:rsidRPr="006C3E18">
        <w:rPr>
          <w:rFonts w:ascii="Arial Narrow" w:hAnsi="Arial Narrow"/>
          <w:color w:val="auto"/>
          <w:sz w:val="22"/>
          <w:szCs w:val="22"/>
        </w:rPr>
        <w:t>COMPLIANCE WITH FIDUCIARY REQUIREMENTS</w:t>
      </w:r>
      <w:bookmarkEnd w:id="22"/>
    </w:p>
    <w:tbl>
      <w:tblPr>
        <w:tblStyle w:val="TableGrid"/>
        <w:tblW w:w="14459" w:type="dxa"/>
        <w:tblInd w:w="-5" w:type="dxa"/>
        <w:tblLook w:val="04A0" w:firstRow="1" w:lastRow="0" w:firstColumn="1" w:lastColumn="0" w:noHBand="0" w:noVBand="1"/>
      </w:tblPr>
      <w:tblGrid>
        <w:gridCol w:w="4105"/>
        <w:gridCol w:w="10354"/>
      </w:tblGrid>
      <w:tr w:rsidR="006E0C9A" w:rsidRPr="006C3E18" w14:paraId="26925960" w14:textId="77777777" w:rsidTr="006E0C9A">
        <w:trPr>
          <w:tblHeader/>
        </w:trPr>
        <w:tc>
          <w:tcPr>
            <w:tcW w:w="14459" w:type="dxa"/>
            <w:gridSpan w:val="2"/>
            <w:shd w:val="clear" w:color="auto" w:fill="D6E3BC" w:themeFill="accent3" w:themeFillTint="66"/>
          </w:tcPr>
          <w:p w14:paraId="7578639C" w14:textId="02878F42" w:rsidR="006E0C9A" w:rsidRPr="006C3E18" w:rsidRDefault="006E0C9A" w:rsidP="000F7DFB">
            <w:pPr>
              <w:rPr>
                <w:rFonts w:ascii="Arial Narrow" w:hAnsi="Arial Narrow"/>
                <w:b/>
              </w:rPr>
            </w:pPr>
            <w:r w:rsidRPr="006C3E18">
              <w:rPr>
                <w:rFonts w:ascii="Arial Narrow" w:hAnsi="Arial Narrow"/>
                <w:b/>
              </w:rPr>
              <w:t>9. [</w:t>
            </w:r>
            <w:r w:rsidR="00035362" w:rsidRPr="006C3E18">
              <w:rPr>
                <w:rFonts w:ascii="Arial Narrow" w:hAnsi="Arial Narrow"/>
                <w:b/>
              </w:rPr>
              <w:t xml:space="preserve">DETAILS ON </w:t>
            </w:r>
            <w:r w:rsidR="00D74068" w:rsidRPr="006C3E18">
              <w:rPr>
                <w:rFonts w:ascii="Arial Narrow" w:hAnsi="Arial Narrow"/>
                <w:b/>
              </w:rPr>
              <w:t>DEPARTMENT / ENTITY</w:t>
            </w:r>
            <w:r w:rsidRPr="006C3E18">
              <w:rPr>
                <w:rFonts w:ascii="Arial Narrow" w:hAnsi="Arial Narrow"/>
                <w:b/>
              </w:rPr>
              <w:t xml:space="preserve"> COMPLIANCE </w:t>
            </w:r>
            <w:r w:rsidR="007E5ECF" w:rsidRPr="006C3E18">
              <w:rPr>
                <w:rFonts w:ascii="Arial Narrow" w:hAnsi="Arial Narrow"/>
                <w:b/>
              </w:rPr>
              <w:t>WITH FIDUCIARY REQUIREMENTS</w:t>
            </w:r>
            <w:r w:rsidRPr="006C3E18">
              <w:rPr>
                <w:rFonts w:ascii="Arial Narrow" w:hAnsi="Arial Narrow"/>
                <w:b/>
              </w:rPr>
              <w:t>]</w:t>
            </w:r>
          </w:p>
        </w:tc>
      </w:tr>
      <w:tr w:rsidR="006144E1" w:rsidRPr="006C3E18" w14:paraId="54521CFC" w14:textId="77777777" w:rsidTr="006E0C9A">
        <w:tc>
          <w:tcPr>
            <w:tcW w:w="4105" w:type="dxa"/>
            <w:shd w:val="clear" w:color="auto" w:fill="D9D9D9" w:themeFill="background1" w:themeFillShade="D9"/>
          </w:tcPr>
          <w:p w14:paraId="5F356C8F" w14:textId="77777777" w:rsidR="006144E1" w:rsidRPr="006C3E18" w:rsidRDefault="006144E1" w:rsidP="006144E1">
            <w:pPr>
              <w:rPr>
                <w:rFonts w:ascii="Arial Narrow" w:hAnsi="Arial Narrow"/>
                <w:b/>
                <w:bCs/>
              </w:rPr>
            </w:pPr>
            <w:r w:rsidRPr="006C3E18">
              <w:rPr>
                <w:rFonts w:ascii="Arial Narrow" w:hAnsi="Arial Narrow"/>
                <w:b/>
                <w:bCs/>
              </w:rPr>
              <w:t>GPL</w:t>
            </w:r>
          </w:p>
        </w:tc>
        <w:tc>
          <w:tcPr>
            <w:tcW w:w="10354" w:type="dxa"/>
          </w:tcPr>
          <w:p w14:paraId="1F928DAE" w14:textId="1E2FB7B2" w:rsidR="006144E1" w:rsidRPr="006C3E18" w:rsidRDefault="006144E1" w:rsidP="00847733">
            <w:pPr>
              <w:spacing w:line="276" w:lineRule="auto"/>
              <w:rPr>
                <w:rFonts w:ascii="Arial Narrow" w:hAnsi="Arial Narrow" w:cs="Arial"/>
              </w:rPr>
            </w:pPr>
            <w:r w:rsidRPr="006C3E18">
              <w:rPr>
                <w:rFonts w:ascii="Arial Narrow" w:hAnsi="Arial Narrow" w:cs="Arial"/>
              </w:rPr>
              <w:t xml:space="preserve">The </w:t>
            </w:r>
            <w:r w:rsidR="007C4FF9" w:rsidRPr="006C3E18">
              <w:rPr>
                <w:rFonts w:ascii="Arial Narrow" w:hAnsi="Arial Narrow" w:cs="Arial"/>
              </w:rPr>
              <w:t>4</w:t>
            </w:r>
            <w:r w:rsidR="007C4FF9" w:rsidRPr="006C3E18">
              <w:rPr>
                <w:rFonts w:ascii="Arial Narrow" w:hAnsi="Arial Narrow" w:cs="Arial"/>
                <w:vertAlign w:val="superscript"/>
              </w:rPr>
              <w:t>th</w:t>
            </w:r>
            <w:r w:rsidR="007C4FF9" w:rsidRPr="006C3E18">
              <w:rPr>
                <w:rFonts w:ascii="Arial Narrow" w:hAnsi="Arial Narrow" w:cs="Arial"/>
              </w:rPr>
              <w:t xml:space="preserve"> </w:t>
            </w:r>
            <w:r w:rsidR="008F2347" w:rsidRPr="006C3E18">
              <w:rPr>
                <w:rFonts w:ascii="Arial Narrow" w:hAnsi="Arial Narrow" w:cs="Arial"/>
              </w:rPr>
              <w:t>Quarterly</w:t>
            </w:r>
            <w:r w:rsidRPr="006C3E18">
              <w:rPr>
                <w:rFonts w:ascii="Arial Narrow" w:hAnsi="Arial Narrow" w:cs="Arial"/>
              </w:rPr>
              <w:t xml:space="preserve"> Report for Vote </w:t>
            </w:r>
            <w:r w:rsidR="007C4FF9" w:rsidRPr="006C3E18">
              <w:rPr>
                <w:rFonts w:ascii="Arial Narrow" w:hAnsi="Arial Narrow" w:cs="Arial"/>
              </w:rPr>
              <w:t>8</w:t>
            </w:r>
            <w:r w:rsidRPr="006C3E18">
              <w:rPr>
                <w:rFonts w:ascii="Arial Narrow" w:hAnsi="Arial Narrow" w:cs="Arial"/>
              </w:rPr>
              <w:t xml:space="preserve"> was submitted to the GPL for further processing </w:t>
            </w:r>
          </w:p>
        </w:tc>
      </w:tr>
      <w:tr w:rsidR="008611B3" w:rsidRPr="006C3E18" w14:paraId="13273953" w14:textId="77777777" w:rsidTr="006E0C9A">
        <w:tc>
          <w:tcPr>
            <w:tcW w:w="4105" w:type="dxa"/>
            <w:shd w:val="clear" w:color="auto" w:fill="D9D9D9" w:themeFill="background1" w:themeFillShade="D9"/>
          </w:tcPr>
          <w:p w14:paraId="6D2EC20A" w14:textId="77777777" w:rsidR="008611B3" w:rsidRPr="006C3E18" w:rsidRDefault="008611B3" w:rsidP="008611B3">
            <w:pPr>
              <w:rPr>
                <w:rFonts w:ascii="Arial Narrow" w:hAnsi="Arial Narrow"/>
                <w:b/>
                <w:bCs/>
              </w:rPr>
            </w:pPr>
            <w:r w:rsidRPr="006C3E18">
              <w:rPr>
                <w:rFonts w:ascii="Arial Narrow" w:hAnsi="Arial Narrow"/>
                <w:b/>
                <w:bCs/>
              </w:rPr>
              <w:t>Auditor General (AGSA)</w:t>
            </w:r>
          </w:p>
        </w:tc>
        <w:tc>
          <w:tcPr>
            <w:tcW w:w="10354" w:type="dxa"/>
          </w:tcPr>
          <w:p w14:paraId="6CAFB19E" w14:textId="4A6289E6" w:rsidR="00A7400C" w:rsidRPr="006C3E18" w:rsidRDefault="00A7400C" w:rsidP="00A7400C">
            <w:pPr>
              <w:spacing w:line="276" w:lineRule="auto"/>
              <w:rPr>
                <w:rFonts w:ascii="Arial Narrow" w:hAnsi="Arial Narrow" w:cs="Arial"/>
              </w:rPr>
            </w:pPr>
            <w:r w:rsidRPr="006C3E18">
              <w:rPr>
                <w:rFonts w:ascii="Arial Narrow" w:hAnsi="Arial Narrow" w:cs="Arial"/>
              </w:rPr>
              <w:t>Total number of AGSA Requests for Information received from AGSA during this Quarter</w:t>
            </w:r>
            <w:r w:rsidRPr="006C3E18">
              <w:rPr>
                <w:rFonts w:ascii="Arial Narrow" w:hAnsi="Arial Narrow" w:cs="Arial"/>
              </w:rPr>
              <w:tab/>
            </w:r>
            <w:r w:rsidR="00373C5C">
              <w:rPr>
                <w:rFonts w:ascii="Arial Narrow" w:hAnsi="Arial Narrow" w:cs="Arial"/>
              </w:rPr>
              <w:t>0</w:t>
            </w:r>
          </w:p>
          <w:p w14:paraId="2B3DEF37" w14:textId="5FBAE804" w:rsidR="00A7400C" w:rsidRPr="006C3E18" w:rsidRDefault="00A7400C" w:rsidP="00A7400C">
            <w:pPr>
              <w:spacing w:line="276" w:lineRule="auto"/>
              <w:rPr>
                <w:rFonts w:ascii="Arial Narrow" w:hAnsi="Arial Narrow" w:cs="Arial"/>
              </w:rPr>
            </w:pPr>
            <w:r w:rsidRPr="006C3E18">
              <w:rPr>
                <w:rFonts w:ascii="Arial Narrow" w:hAnsi="Arial Narrow" w:cs="Arial"/>
              </w:rPr>
              <w:lastRenderedPageBreak/>
              <w:t>Total number of AGSA Requests for Information due during this Quarter</w:t>
            </w:r>
            <w:r w:rsidRPr="006C3E18">
              <w:rPr>
                <w:rFonts w:ascii="Arial Narrow" w:hAnsi="Arial Narrow" w:cs="Arial"/>
              </w:rPr>
              <w:tab/>
            </w:r>
            <w:r w:rsidR="00373C5C">
              <w:rPr>
                <w:rFonts w:ascii="Arial Narrow" w:hAnsi="Arial Narrow" w:cs="Arial"/>
              </w:rPr>
              <w:t>0</w:t>
            </w:r>
          </w:p>
          <w:p w14:paraId="35D6F950" w14:textId="141AB92E" w:rsidR="008611B3" w:rsidRPr="006C3E18" w:rsidRDefault="00A7400C" w:rsidP="00A7400C">
            <w:pPr>
              <w:spacing w:line="276" w:lineRule="auto"/>
              <w:rPr>
                <w:rFonts w:ascii="Arial Narrow" w:hAnsi="Arial Narrow" w:cs="Arial"/>
              </w:rPr>
            </w:pPr>
            <w:r w:rsidRPr="006C3E18">
              <w:rPr>
                <w:rFonts w:ascii="Arial Narrow" w:hAnsi="Arial Narrow" w:cs="Arial"/>
              </w:rPr>
              <w:t>Total number of AGSA Requests for Information responded to and submitted back to AGSA during this Quarter</w:t>
            </w:r>
            <w:r w:rsidR="00F825F5">
              <w:rPr>
                <w:rFonts w:ascii="Arial Narrow" w:hAnsi="Arial Narrow" w:cs="Arial"/>
              </w:rPr>
              <w:t xml:space="preserve"> </w:t>
            </w:r>
            <w:r w:rsidR="00CA42DC">
              <w:rPr>
                <w:rFonts w:ascii="Arial Narrow" w:hAnsi="Arial Narrow" w:cs="Arial"/>
              </w:rPr>
              <w:t>0</w:t>
            </w:r>
          </w:p>
        </w:tc>
      </w:tr>
      <w:tr w:rsidR="008611B3" w:rsidRPr="006C3E18" w14:paraId="1AB57CD4" w14:textId="77777777" w:rsidTr="006E0C9A">
        <w:tc>
          <w:tcPr>
            <w:tcW w:w="4105" w:type="dxa"/>
            <w:shd w:val="clear" w:color="auto" w:fill="D9D9D9" w:themeFill="background1" w:themeFillShade="D9"/>
          </w:tcPr>
          <w:p w14:paraId="62CECEA9" w14:textId="77777777" w:rsidR="008611B3" w:rsidRPr="006C3E18" w:rsidRDefault="008611B3" w:rsidP="008611B3">
            <w:pPr>
              <w:rPr>
                <w:rFonts w:ascii="Arial Narrow" w:hAnsi="Arial Narrow"/>
                <w:b/>
                <w:bCs/>
              </w:rPr>
            </w:pPr>
            <w:r w:rsidRPr="006C3E18">
              <w:rPr>
                <w:rFonts w:ascii="Arial Narrow" w:hAnsi="Arial Narrow"/>
                <w:b/>
                <w:bCs/>
              </w:rPr>
              <w:t>Public Service Commission (PSC)</w:t>
            </w:r>
          </w:p>
        </w:tc>
        <w:tc>
          <w:tcPr>
            <w:tcW w:w="10354" w:type="dxa"/>
          </w:tcPr>
          <w:p w14:paraId="4117435B" w14:textId="6AA3E8E5" w:rsidR="00A7400C" w:rsidRPr="006C3E18" w:rsidRDefault="00A7400C" w:rsidP="00A7400C">
            <w:pPr>
              <w:spacing w:line="276" w:lineRule="auto"/>
              <w:rPr>
                <w:rFonts w:ascii="Arial Narrow" w:hAnsi="Arial Narrow" w:cs="Arial"/>
              </w:rPr>
            </w:pPr>
            <w:r w:rsidRPr="006C3E18">
              <w:rPr>
                <w:rFonts w:ascii="Arial Narrow" w:hAnsi="Arial Narrow" w:cs="Arial"/>
              </w:rPr>
              <w:t>Total number of PSC Requests for Information received from the PSC during this Quarter</w:t>
            </w:r>
            <w:r w:rsidRPr="006C3E18">
              <w:rPr>
                <w:rFonts w:ascii="Arial Narrow" w:hAnsi="Arial Narrow" w:cs="Arial"/>
              </w:rPr>
              <w:tab/>
            </w:r>
            <w:r w:rsidR="00C57B7A">
              <w:rPr>
                <w:rFonts w:ascii="Arial Narrow" w:hAnsi="Arial Narrow" w:cs="Arial"/>
              </w:rPr>
              <w:t>0</w:t>
            </w:r>
          </w:p>
          <w:p w14:paraId="347FDD90" w14:textId="4854ED6D" w:rsidR="00A7400C" w:rsidRPr="006C3E18" w:rsidRDefault="00A7400C" w:rsidP="00A7400C">
            <w:pPr>
              <w:spacing w:line="276" w:lineRule="auto"/>
              <w:rPr>
                <w:rFonts w:ascii="Arial Narrow" w:hAnsi="Arial Narrow" w:cs="Arial"/>
              </w:rPr>
            </w:pPr>
            <w:r w:rsidRPr="006C3E18">
              <w:rPr>
                <w:rFonts w:ascii="Arial Narrow" w:hAnsi="Arial Narrow" w:cs="Arial"/>
              </w:rPr>
              <w:t>Total number of PSC Requests for Information due during this Quarter</w:t>
            </w:r>
            <w:r w:rsidRPr="006C3E18">
              <w:rPr>
                <w:rFonts w:ascii="Arial Narrow" w:hAnsi="Arial Narrow" w:cs="Arial"/>
              </w:rPr>
              <w:tab/>
            </w:r>
            <w:r w:rsidR="00C57B7A">
              <w:rPr>
                <w:rFonts w:ascii="Arial Narrow" w:hAnsi="Arial Narrow" w:cs="Arial"/>
              </w:rPr>
              <w:t>0</w:t>
            </w:r>
          </w:p>
          <w:p w14:paraId="32DB1B5D" w14:textId="7C2F2517" w:rsidR="008611B3" w:rsidRPr="006C3E18" w:rsidRDefault="00A7400C" w:rsidP="00A7400C">
            <w:pPr>
              <w:spacing w:line="276" w:lineRule="auto"/>
              <w:rPr>
                <w:rFonts w:ascii="Arial Narrow" w:hAnsi="Arial Narrow" w:cs="Arial"/>
              </w:rPr>
            </w:pPr>
            <w:r w:rsidRPr="006C3E18">
              <w:rPr>
                <w:rFonts w:ascii="Arial Narrow" w:hAnsi="Arial Narrow" w:cs="Arial"/>
              </w:rPr>
              <w:t xml:space="preserve">Total number of PSC Requests for Information responded to and submitted back to the PSC during this Quarter </w:t>
            </w:r>
            <w:r w:rsidR="00721006">
              <w:rPr>
                <w:rFonts w:ascii="Arial Narrow" w:hAnsi="Arial Narrow" w:cs="Arial"/>
              </w:rPr>
              <w:t>0</w:t>
            </w:r>
          </w:p>
        </w:tc>
      </w:tr>
      <w:tr w:rsidR="008611B3" w:rsidRPr="006C3E18" w14:paraId="3F3DFB80" w14:textId="77777777" w:rsidTr="006E0C9A">
        <w:tc>
          <w:tcPr>
            <w:tcW w:w="4105" w:type="dxa"/>
            <w:shd w:val="clear" w:color="auto" w:fill="D9D9D9" w:themeFill="background1" w:themeFillShade="D9"/>
          </w:tcPr>
          <w:p w14:paraId="3F8293C7" w14:textId="77777777" w:rsidR="008611B3" w:rsidRPr="006C3E18" w:rsidRDefault="008611B3" w:rsidP="008611B3">
            <w:pPr>
              <w:rPr>
                <w:rFonts w:ascii="Arial Narrow" w:hAnsi="Arial Narrow"/>
                <w:b/>
                <w:bCs/>
              </w:rPr>
            </w:pPr>
            <w:r w:rsidRPr="006C3E18">
              <w:rPr>
                <w:rFonts w:ascii="Arial Narrow" w:hAnsi="Arial Narrow"/>
                <w:b/>
                <w:bCs/>
              </w:rPr>
              <w:t>Compliance with relevant fiduciary Legislation [e.g. PFMA]</w:t>
            </w:r>
          </w:p>
        </w:tc>
        <w:tc>
          <w:tcPr>
            <w:tcW w:w="10354" w:type="dxa"/>
          </w:tcPr>
          <w:p w14:paraId="0F6C0D11" w14:textId="1BA8160A" w:rsidR="008611B3" w:rsidRPr="006C3E18" w:rsidRDefault="00CA42DC" w:rsidP="00847733">
            <w:pPr>
              <w:tabs>
                <w:tab w:val="left" w:pos="2220"/>
              </w:tabs>
              <w:spacing w:line="276" w:lineRule="auto"/>
              <w:rPr>
                <w:rFonts w:ascii="Arial Narrow" w:hAnsi="Arial Narrow" w:cs="Arial"/>
              </w:rPr>
            </w:pPr>
            <w:r>
              <w:rPr>
                <w:rFonts w:ascii="Arial Narrow" w:hAnsi="Arial Narrow" w:cs="Arial"/>
              </w:rPr>
              <w:t xml:space="preserve">The Department </w:t>
            </w:r>
            <w:r w:rsidR="00000B69">
              <w:rPr>
                <w:rFonts w:ascii="Arial Narrow" w:hAnsi="Arial Narrow" w:cs="Arial"/>
              </w:rPr>
              <w:t xml:space="preserve">is complaint with </w:t>
            </w:r>
            <w:r w:rsidR="007F2A57">
              <w:rPr>
                <w:rFonts w:ascii="Arial Narrow" w:hAnsi="Arial Narrow" w:cs="Arial"/>
              </w:rPr>
              <w:t xml:space="preserve">fiduciary </w:t>
            </w:r>
            <w:r w:rsidR="005C35D4">
              <w:rPr>
                <w:rFonts w:ascii="Arial Narrow" w:hAnsi="Arial Narrow" w:cs="Arial"/>
              </w:rPr>
              <w:t>legislation</w:t>
            </w:r>
          </w:p>
        </w:tc>
      </w:tr>
    </w:tbl>
    <w:p w14:paraId="759C8E8A" w14:textId="4228DBC8" w:rsidR="00EB0B54" w:rsidRPr="006C3E18" w:rsidRDefault="00EB0B54" w:rsidP="00EB0B54">
      <w:pPr>
        <w:pStyle w:val="Heading1"/>
        <w:shd w:val="clear" w:color="auto" w:fill="D9D9D9" w:themeFill="background1" w:themeFillShade="D9"/>
        <w:rPr>
          <w:rFonts w:ascii="Arial Narrow" w:hAnsi="Arial Narrow"/>
          <w:color w:val="auto"/>
          <w:sz w:val="22"/>
          <w:szCs w:val="22"/>
        </w:rPr>
      </w:pPr>
      <w:bookmarkStart w:id="23" w:name="_Toc50576920"/>
      <w:r w:rsidRPr="006C3E18">
        <w:rPr>
          <w:rFonts w:ascii="Arial Narrow" w:hAnsi="Arial Narrow"/>
          <w:color w:val="auto"/>
          <w:sz w:val="22"/>
          <w:szCs w:val="22"/>
        </w:rPr>
        <w:t>10</w:t>
      </w:r>
      <w:r w:rsidRPr="006C3E18">
        <w:rPr>
          <w:rFonts w:ascii="Arial Narrow" w:hAnsi="Arial Narrow"/>
          <w:color w:val="auto"/>
          <w:sz w:val="22"/>
          <w:szCs w:val="22"/>
        </w:rPr>
        <w:tab/>
        <w:t>OVERSIGHT ON A CAPACITATED PUBLIC SERVICE</w:t>
      </w:r>
      <w:bookmarkEnd w:id="23"/>
      <w:r w:rsidRPr="006C3E18">
        <w:rPr>
          <w:rFonts w:ascii="Arial Narrow" w:hAnsi="Arial Narrow"/>
          <w:color w:val="auto"/>
          <w:sz w:val="22"/>
          <w:szCs w:val="22"/>
        </w:rPr>
        <w:t xml:space="preserve"> </w:t>
      </w:r>
    </w:p>
    <w:tbl>
      <w:tblPr>
        <w:tblStyle w:val="TableGrid"/>
        <w:tblW w:w="14459" w:type="dxa"/>
        <w:tblInd w:w="-5" w:type="dxa"/>
        <w:tblLook w:val="04A0" w:firstRow="1" w:lastRow="0" w:firstColumn="1" w:lastColumn="0" w:noHBand="0" w:noVBand="1"/>
      </w:tblPr>
      <w:tblGrid>
        <w:gridCol w:w="14459"/>
      </w:tblGrid>
      <w:tr w:rsidR="00EB0B54" w:rsidRPr="006C3E18" w14:paraId="7FF52F04" w14:textId="77777777" w:rsidTr="00035362">
        <w:trPr>
          <w:tblHeader/>
        </w:trPr>
        <w:tc>
          <w:tcPr>
            <w:tcW w:w="14459" w:type="dxa"/>
            <w:shd w:val="clear" w:color="auto" w:fill="D6E3BC" w:themeFill="accent3" w:themeFillTint="66"/>
          </w:tcPr>
          <w:p w14:paraId="2D1E56D0" w14:textId="748A9BF4" w:rsidR="00EB0B54" w:rsidRPr="006C3E18" w:rsidRDefault="009B42A0" w:rsidP="009B42A0">
            <w:pPr>
              <w:tabs>
                <w:tab w:val="left" w:pos="4680"/>
                <w:tab w:val="center" w:pos="7121"/>
              </w:tabs>
              <w:jc w:val="left"/>
              <w:rPr>
                <w:rFonts w:ascii="Arial Narrow" w:hAnsi="Arial Narrow"/>
                <w:b/>
              </w:rPr>
            </w:pPr>
            <w:r w:rsidRPr="006C3E18">
              <w:rPr>
                <w:rFonts w:ascii="Arial Narrow" w:hAnsi="Arial Narrow"/>
                <w:b/>
              </w:rPr>
              <w:t xml:space="preserve">10. </w:t>
            </w:r>
            <w:r w:rsidR="00EB0B54" w:rsidRPr="006C3E18">
              <w:rPr>
                <w:rFonts w:ascii="Arial Narrow" w:hAnsi="Arial Narrow"/>
                <w:b/>
              </w:rPr>
              <w:t xml:space="preserve">THE DETAILS ON A CAPACITATED </w:t>
            </w:r>
            <w:r w:rsidR="00D74068" w:rsidRPr="006C3E18">
              <w:rPr>
                <w:rFonts w:ascii="Arial Narrow" w:hAnsi="Arial Narrow"/>
                <w:b/>
              </w:rPr>
              <w:t xml:space="preserve">DEPARTMENT </w:t>
            </w:r>
          </w:p>
        </w:tc>
      </w:tr>
      <w:tr w:rsidR="00EB0B54" w:rsidRPr="006C3E18" w14:paraId="58019A87" w14:textId="77777777" w:rsidTr="000F7DFB">
        <w:tc>
          <w:tcPr>
            <w:tcW w:w="14459" w:type="dxa"/>
            <w:shd w:val="clear" w:color="auto" w:fill="F2F2F2" w:themeFill="background1" w:themeFillShade="F2"/>
          </w:tcPr>
          <w:p w14:paraId="70250A1B" w14:textId="77777777" w:rsidR="00EB0B54" w:rsidRPr="006C3E18" w:rsidRDefault="00EB0B54" w:rsidP="00995C26">
            <w:pPr>
              <w:spacing w:line="276" w:lineRule="auto"/>
              <w:rPr>
                <w:rFonts w:ascii="Arial Narrow" w:hAnsi="Arial Narrow"/>
                <w:b/>
              </w:rPr>
            </w:pPr>
            <w:r w:rsidRPr="006C3E18">
              <w:rPr>
                <w:rFonts w:ascii="Arial Narrow" w:hAnsi="Arial Narrow"/>
                <w:b/>
              </w:rPr>
              <w:t>Detailed information on the current vacancies (at all staff levels)</w:t>
            </w:r>
          </w:p>
        </w:tc>
      </w:tr>
      <w:tr w:rsidR="00EB0B54" w:rsidRPr="006C3E18" w14:paraId="105AB888" w14:textId="77777777" w:rsidTr="000F7DFB">
        <w:tc>
          <w:tcPr>
            <w:tcW w:w="14459" w:type="dxa"/>
          </w:tcPr>
          <w:p w14:paraId="50921C76" w14:textId="114B1ABF" w:rsidR="00EB0B54" w:rsidRPr="006C3E18" w:rsidRDefault="006B3FCB" w:rsidP="00995C26">
            <w:pPr>
              <w:spacing w:line="276" w:lineRule="auto"/>
              <w:rPr>
                <w:rFonts w:ascii="Arial Narrow" w:hAnsi="Arial Narrow" w:cs="Arial"/>
                <w:bCs/>
              </w:rPr>
            </w:pPr>
            <w:r w:rsidRPr="006B3FCB">
              <w:rPr>
                <w:rFonts w:ascii="Arial Narrow" w:hAnsi="Arial Narrow" w:cs="Arial"/>
                <w:bCs/>
              </w:rPr>
              <w:t>725</w:t>
            </w:r>
          </w:p>
        </w:tc>
      </w:tr>
      <w:tr w:rsidR="00EB0B54" w:rsidRPr="006C3E18" w14:paraId="78882868" w14:textId="77777777" w:rsidTr="000F7DFB">
        <w:tc>
          <w:tcPr>
            <w:tcW w:w="14459" w:type="dxa"/>
            <w:shd w:val="clear" w:color="auto" w:fill="F2F2F2" w:themeFill="background1" w:themeFillShade="F2"/>
          </w:tcPr>
          <w:p w14:paraId="0365EED6" w14:textId="77777777" w:rsidR="00EB0B54" w:rsidRPr="006C3E18" w:rsidRDefault="00EB0B54" w:rsidP="00995C26">
            <w:pPr>
              <w:spacing w:line="276" w:lineRule="auto"/>
              <w:rPr>
                <w:rFonts w:ascii="Arial Narrow" w:hAnsi="Arial Narrow"/>
                <w:b/>
              </w:rPr>
            </w:pPr>
            <w:r w:rsidRPr="006C3E18">
              <w:rPr>
                <w:rFonts w:ascii="Arial Narrow" w:hAnsi="Arial Narrow"/>
                <w:b/>
              </w:rPr>
              <w:t>Current vacancy rate</w:t>
            </w:r>
          </w:p>
        </w:tc>
      </w:tr>
      <w:tr w:rsidR="00EB0B54" w:rsidRPr="006C3E18" w14:paraId="3441915D" w14:textId="77777777" w:rsidTr="000F7DFB">
        <w:tc>
          <w:tcPr>
            <w:tcW w:w="14459" w:type="dxa"/>
          </w:tcPr>
          <w:p w14:paraId="1A83257B" w14:textId="76AD9A01" w:rsidR="00EB0B54" w:rsidRPr="006C3E18" w:rsidRDefault="00C92C77" w:rsidP="00995C26">
            <w:pPr>
              <w:spacing w:line="276" w:lineRule="auto"/>
              <w:rPr>
                <w:rFonts w:ascii="Arial Narrow" w:hAnsi="Arial Narrow" w:cs="Arial"/>
                <w:bCs/>
              </w:rPr>
            </w:pPr>
            <w:r>
              <w:rPr>
                <w:rFonts w:ascii="Arial Narrow" w:hAnsi="Arial Narrow" w:cs="Arial"/>
                <w:bCs/>
              </w:rPr>
              <w:t>80</w:t>
            </w:r>
          </w:p>
        </w:tc>
      </w:tr>
      <w:tr w:rsidR="00EB0B54" w:rsidRPr="006C3E18" w14:paraId="08F36FB1" w14:textId="77777777" w:rsidTr="000F7DFB">
        <w:tc>
          <w:tcPr>
            <w:tcW w:w="14459" w:type="dxa"/>
            <w:shd w:val="clear" w:color="auto" w:fill="F2F2F2" w:themeFill="background1" w:themeFillShade="F2"/>
          </w:tcPr>
          <w:p w14:paraId="527260AB" w14:textId="77777777" w:rsidR="00EB0B54" w:rsidRPr="006C3E18" w:rsidRDefault="00EB0B54" w:rsidP="00995C26">
            <w:pPr>
              <w:spacing w:line="276" w:lineRule="auto"/>
              <w:rPr>
                <w:rFonts w:ascii="Arial Narrow" w:hAnsi="Arial Narrow"/>
                <w:b/>
              </w:rPr>
            </w:pPr>
            <w:r w:rsidRPr="006C3E18">
              <w:rPr>
                <w:rFonts w:ascii="Arial Narrow" w:hAnsi="Arial Narrow"/>
                <w:b/>
              </w:rPr>
              <w:t>Current acting positions (at all Staff levels)</w:t>
            </w:r>
          </w:p>
        </w:tc>
      </w:tr>
      <w:tr w:rsidR="00EB0B54" w:rsidRPr="006C3E18" w14:paraId="5E9EC150" w14:textId="77777777" w:rsidTr="000F7DFB">
        <w:tc>
          <w:tcPr>
            <w:tcW w:w="14459" w:type="dxa"/>
          </w:tcPr>
          <w:p w14:paraId="7E109E88" w14:textId="203159EA" w:rsidR="00EB0B54" w:rsidRPr="006C3E18" w:rsidRDefault="00E57549" w:rsidP="00995C26">
            <w:pPr>
              <w:spacing w:line="276" w:lineRule="auto"/>
              <w:rPr>
                <w:rFonts w:ascii="Arial Narrow" w:hAnsi="Arial Narrow" w:cs="Arial"/>
                <w:bCs/>
              </w:rPr>
            </w:pPr>
            <w:r>
              <w:rPr>
                <w:rFonts w:ascii="Arial Narrow" w:hAnsi="Arial Narrow" w:cs="Arial"/>
                <w:bCs/>
              </w:rPr>
              <w:t>5</w:t>
            </w:r>
          </w:p>
        </w:tc>
      </w:tr>
      <w:tr w:rsidR="00EB0B54" w:rsidRPr="006C3E18" w14:paraId="2429936A" w14:textId="77777777" w:rsidTr="000F7DFB">
        <w:tc>
          <w:tcPr>
            <w:tcW w:w="14459" w:type="dxa"/>
            <w:shd w:val="clear" w:color="auto" w:fill="F2F2F2" w:themeFill="background1" w:themeFillShade="F2"/>
          </w:tcPr>
          <w:p w14:paraId="0B6B0849" w14:textId="77777777" w:rsidR="00EB0B54" w:rsidRPr="006C3E18" w:rsidRDefault="00EB0B54" w:rsidP="00995C26">
            <w:pPr>
              <w:spacing w:line="276" w:lineRule="auto"/>
              <w:rPr>
                <w:rFonts w:ascii="Arial Narrow" w:hAnsi="Arial Narrow"/>
                <w:b/>
              </w:rPr>
            </w:pPr>
            <w:r w:rsidRPr="006C3E18">
              <w:rPr>
                <w:rFonts w:ascii="Arial Narrow" w:hAnsi="Arial Narrow"/>
                <w:b/>
              </w:rPr>
              <w:t>Terminations during the period under review</w:t>
            </w:r>
          </w:p>
        </w:tc>
      </w:tr>
      <w:tr w:rsidR="00EB0B54" w:rsidRPr="006C3E18" w14:paraId="7A4AAE43" w14:textId="77777777" w:rsidTr="000F7DFB">
        <w:tc>
          <w:tcPr>
            <w:tcW w:w="14459" w:type="dxa"/>
          </w:tcPr>
          <w:p w14:paraId="6A091A81" w14:textId="138C6B76" w:rsidR="00EB0B54" w:rsidRPr="006C3E18" w:rsidRDefault="00E57549" w:rsidP="0001769C">
            <w:pPr>
              <w:tabs>
                <w:tab w:val="left" w:pos="1144"/>
              </w:tabs>
              <w:spacing w:line="276" w:lineRule="auto"/>
              <w:rPr>
                <w:rFonts w:ascii="Arial Narrow" w:hAnsi="Arial Narrow" w:cs="Arial"/>
                <w:bCs/>
              </w:rPr>
            </w:pPr>
            <w:r>
              <w:rPr>
                <w:rFonts w:ascii="Arial Narrow" w:hAnsi="Arial Narrow" w:cs="Arial"/>
                <w:bCs/>
              </w:rPr>
              <w:t>47</w:t>
            </w:r>
            <w:r w:rsidR="0001769C" w:rsidRPr="006C3E18">
              <w:rPr>
                <w:rFonts w:ascii="Arial Narrow" w:hAnsi="Arial Narrow" w:cs="Arial"/>
                <w:bCs/>
              </w:rPr>
              <w:tab/>
            </w:r>
          </w:p>
        </w:tc>
      </w:tr>
      <w:tr w:rsidR="00EB0B54" w:rsidRPr="006C3E18" w14:paraId="55267C7C" w14:textId="77777777" w:rsidTr="000F7DFB">
        <w:tc>
          <w:tcPr>
            <w:tcW w:w="14459" w:type="dxa"/>
            <w:shd w:val="clear" w:color="auto" w:fill="F2F2F2" w:themeFill="background1" w:themeFillShade="F2"/>
          </w:tcPr>
          <w:p w14:paraId="1E0C33A8" w14:textId="77777777" w:rsidR="00EB0B54" w:rsidRPr="006C3E18" w:rsidRDefault="00EB0B54" w:rsidP="000F7DFB">
            <w:pPr>
              <w:rPr>
                <w:rFonts w:ascii="Arial Narrow" w:hAnsi="Arial Narrow"/>
                <w:b/>
              </w:rPr>
            </w:pPr>
            <w:r w:rsidRPr="006C3E18">
              <w:rPr>
                <w:rFonts w:ascii="Arial Narrow" w:hAnsi="Arial Narrow"/>
                <w:b/>
              </w:rPr>
              <w:t>New appointments during the period under review</w:t>
            </w:r>
          </w:p>
        </w:tc>
      </w:tr>
      <w:tr w:rsidR="00EB0B54" w:rsidRPr="006C3E18" w14:paraId="6C689D54" w14:textId="77777777" w:rsidTr="000F7DFB">
        <w:tc>
          <w:tcPr>
            <w:tcW w:w="14459" w:type="dxa"/>
          </w:tcPr>
          <w:p w14:paraId="408293B0" w14:textId="145746FB" w:rsidR="00EB0B54" w:rsidRPr="006C3E18" w:rsidRDefault="00FF207B" w:rsidP="000F7DFB">
            <w:pPr>
              <w:rPr>
                <w:rFonts w:ascii="Arial Narrow" w:hAnsi="Arial Narrow" w:cs="Arial"/>
                <w:bCs/>
              </w:rPr>
            </w:pPr>
            <w:r>
              <w:rPr>
                <w:rFonts w:ascii="Arial Narrow" w:hAnsi="Arial Narrow" w:cs="Arial"/>
                <w:bCs/>
              </w:rPr>
              <w:t>42</w:t>
            </w:r>
          </w:p>
        </w:tc>
      </w:tr>
      <w:tr w:rsidR="00EB0B54" w:rsidRPr="006C3E18" w14:paraId="397FAD26" w14:textId="77777777" w:rsidTr="000F7DFB">
        <w:tc>
          <w:tcPr>
            <w:tcW w:w="14459" w:type="dxa"/>
            <w:shd w:val="clear" w:color="auto" w:fill="F2F2F2" w:themeFill="background1" w:themeFillShade="F2"/>
          </w:tcPr>
          <w:p w14:paraId="046889EB" w14:textId="77777777" w:rsidR="00EB0B54" w:rsidRPr="006C3E18" w:rsidRDefault="00EB0B54" w:rsidP="00995C26">
            <w:pPr>
              <w:spacing w:line="276" w:lineRule="auto"/>
              <w:rPr>
                <w:rFonts w:ascii="Arial Narrow" w:hAnsi="Arial Narrow"/>
                <w:b/>
              </w:rPr>
            </w:pPr>
            <w:r w:rsidRPr="006C3E18">
              <w:rPr>
                <w:rFonts w:ascii="Arial Narrow" w:hAnsi="Arial Narrow"/>
                <w:b/>
              </w:rPr>
              <w:t>Detailed information on the GEYODI / HDI empowerment for the period under review</w:t>
            </w:r>
          </w:p>
        </w:tc>
      </w:tr>
      <w:tr w:rsidR="00EB0B54" w:rsidRPr="006C3E18" w14:paraId="2DE8EF31" w14:textId="77777777" w:rsidTr="000F7DFB">
        <w:tc>
          <w:tcPr>
            <w:tcW w:w="14459" w:type="dxa"/>
          </w:tcPr>
          <w:p w14:paraId="72226E28" w14:textId="427597AE" w:rsidR="00EB0B54" w:rsidRPr="009D467E" w:rsidRDefault="009D467E" w:rsidP="009D467E">
            <w:pPr>
              <w:rPr>
                <w:rFonts w:ascii="Arial Narrow" w:hAnsi="Arial Narrow" w:cs="Arial"/>
                <w:bCs/>
              </w:rPr>
            </w:pPr>
            <w:r>
              <w:rPr>
                <w:rFonts w:ascii="Arial Narrow" w:hAnsi="Arial Narrow" w:cs="Arial"/>
                <w:bCs/>
              </w:rPr>
              <w:t xml:space="preserve">The Department reported that </w:t>
            </w:r>
            <w:r w:rsidR="00BB2EF0">
              <w:rPr>
                <w:rFonts w:ascii="Arial Narrow" w:hAnsi="Arial Narrow" w:cs="Arial"/>
                <w:bCs/>
              </w:rPr>
              <w:t>32</w:t>
            </w:r>
            <w:r w:rsidR="00F57C8F" w:rsidRPr="009D467E">
              <w:rPr>
                <w:rFonts w:ascii="Arial Narrow" w:hAnsi="Arial Narrow" w:cs="Arial"/>
                <w:bCs/>
              </w:rPr>
              <w:t xml:space="preserve"> Employees 35 years and younger</w:t>
            </w:r>
            <w:r w:rsidR="0001769C" w:rsidRPr="009D467E">
              <w:rPr>
                <w:rFonts w:ascii="Arial Narrow" w:hAnsi="Arial Narrow" w:cs="Arial"/>
                <w:bCs/>
              </w:rPr>
              <w:t>.</w:t>
            </w:r>
          </w:p>
        </w:tc>
      </w:tr>
      <w:tr w:rsidR="00EB0B54" w:rsidRPr="006C3E18" w14:paraId="4257C472" w14:textId="77777777" w:rsidTr="000F7DFB">
        <w:tc>
          <w:tcPr>
            <w:tcW w:w="14459" w:type="dxa"/>
            <w:shd w:val="clear" w:color="auto" w:fill="F2F2F2" w:themeFill="background1" w:themeFillShade="F2"/>
          </w:tcPr>
          <w:p w14:paraId="5C2CEB9D" w14:textId="77777777" w:rsidR="00EB0B54" w:rsidRPr="006C3E18" w:rsidRDefault="00EB0B54" w:rsidP="00995C26">
            <w:pPr>
              <w:spacing w:line="276" w:lineRule="auto"/>
              <w:rPr>
                <w:rFonts w:ascii="Arial Narrow" w:hAnsi="Arial Narrow"/>
              </w:rPr>
            </w:pPr>
            <w:r w:rsidRPr="006C3E18">
              <w:rPr>
                <w:rFonts w:ascii="Arial Narrow" w:hAnsi="Arial Narrow"/>
                <w:b/>
              </w:rPr>
              <w:t>Detailed information on any suspensions for the period under review</w:t>
            </w:r>
          </w:p>
        </w:tc>
      </w:tr>
      <w:tr w:rsidR="00EB0B54" w:rsidRPr="006C3E18" w14:paraId="0449CF15" w14:textId="77777777" w:rsidTr="000F7DFB">
        <w:tc>
          <w:tcPr>
            <w:tcW w:w="14459" w:type="dxa"/>
          </w:tcPr>
          <w:p w14:paraId="3C181E29" w14:textId="2263F01F" w:rsidR="00EB0B54" w:rsidRPr="006C3E18" w:rsidRDefault="008611B3" w:rsidP="00995C26">
            <w:pPr>
              <w:spacing w:line="276" w:lineRule="auto"/>
              <w:rPr>
                <w:rFonts w:ascii="Arial Narrow" w:hAnsi="Arial Narrow" w:cs="Arial"/>
                <w:bCs/>
              </w:rPr>
            </w:pPr>
            <w:r w:rsidRPr="006C3E18">
              <w:rPr>
                <w:rFonts w:ascii="Arial Narrow" w:hAnsi="Arial Narrow" w:cs="Arial"/>
                <w:bCs/>
              </w:rPr>
              <w:t>0</w:t>
            </w:r>
          </w:p>
        </w:tc>
      </w:tr>
    </w:tbl>
    <w:p w14:paraId="5FA252DA" w14:textId="152470A4" w:rsidR="00EB0125" w:rsidRPr="006C3E18" w:rsidRDefault="00EB0125" w:rsidP="00EB0125">
      <w:pPr>
        <w:pStyle w:val="Heading1"/>
        <w:shd w:val="clear" w:color="auto" w:fill="D9D9D9" w:themeFill="background1" w:themeFillShade="D9"/>
        <w:rPr>
          <w:rFonts w:ascii="Arial Narrow" w:hAnsi="Arial Narrow"/>
          <w:color w:val="auto"/>
          <w:sz w:val="22"/>
          <w:szCs w:val="22"/>
        </w:rPr>
      </w:pPr>
      <w:bookmarkStart w:id="24" w:name="_Toc50576921"/>
      <w:r w:rsidRPr="006C3E18">
        <w:rPr>
          <w:rFonts w:ascii="Arial Narrow" w:hAnsi="Arial Narrow"/>
          <w:color w:val="auto"/>
          <w:sz w:val="22"/>
          <w:szCs w:val="22"/>
        </w:rPr>
        <w:t>11</w:t>
      </w:r>
      <w:r w:rsidRPr="006C3E18">
        <w:rPr>
          <w:rFonts w:ascii="Arial Narrow" w:hAnsi="Arial Narrow"/>
          <w:color w:val="auto"/>
          <w:sz w:val="22"/>
          <w:szCs w:val="22"/>
        </w:rPr>
        <w:tab/>
        <w:t>OVERSIGHT ON ANY OTHER COMMITTEE FOCUS AREA</w:t>
      </w:r>
      <w:bookmarkEnd w:id="24"/>
      <w:r w:rsidRPr="006C3E18">
        <w:rPr>
          <w:rFonts w:ascii="Arial Narrow" w:hAnsi="Arial Narrow"/>
          <w:color w:val="auto"/>
          <w:sz w:val="22"/>
          <w:szCs w:val="22"/>
        </w:rPr>
        <w:t xml:space="preserve"> </w:t>
      </w:r>
    </w:p>
    <w:tbl>
      <w:tblPr>
        <w:tblStyle w:val="TableGrid"/>
        <w:tblW w:w="14459" w:type="dxa"/>
        <w:tblInd w:w="-5" w:type="dxa"/>
        <w:tblLook w:val="04A0" w:firstRow="1" w:lastRow="0" w:firstColumn="1" w:lastColumn="0" w:noHBand="0" w:noVBand="1"/>
      </w:tblPr>
      <w:tblGrid>
        <w:gridCol w:w="14459"/>
      </w:tblGrid>
      <w:tr w:rsidR="00EB0125" w:rsidRPr="006C3E18" w14:paraId="5E8E572E" w14:textId="77777777" w:rsidTr="000F7DFB">
        <w:tc>
          <w:tcPr>
            <w:tcW w:w="14459" w:type="dxa"/>
            <w:shd w:val="clear" w:color="auto" w:fill="D6E3BC" w:themeFill="accent3" w:themeFillTint="66"/>
          </w:tcPr>
          <w:p w14:paraId="0494E127" w14:textId="61A6EC01" w:rsidR="00EB0125" w:rsidRPr="006C3E18" w:rsidRDefault="009B42A0" w:rsidP="000F7DFB">
            <w:pPr>
              <w:rPr>
                <w:rFonts w:ascii="Arial Narrow" w:hAnsi="Arial Narrow"/>
                <w:b/>
              </w:rPr>
            </w:pPr>
            <w:r w:rsidRPr="006C3E18">
              <w:rPr>
                <w:rFonts w:ascii="Arial Narrow" w:hAnsi="Arial Narrow"/>
                <w:b/>
              </w:rPr>
              <w:t xml:space="preserve">11. </w:t>
            </w:r>
            <w:r w:rsidR="00EB0125" w:rsidRPr="006C3E18">
              <w:rPr>
                <w:rFonts w:ascii="Arial Narrow" w:hAnsi="Arial Narrow"/>
                <w:b/>
              </w:rPr>
              <w:t>THE DETAILS ON ANY OTHER COMMITTEE FOCUS AREA</w:t>
            </w:r>
            <w:r w:rsidRPr="006C3E18">
              <w:rPr>
                <w:rFonts w:ascii="Arial Narrow" w:hAnsi="Arial Narrow"/>
                <w:b/>
              </w:rPr>
              <w:t xml:space="preserve"> [Only if relevant and applicable]</w:t>
            </w:r>
          </w:p>
        </w:tc>
      </w:tr>
      <w:tr w:rsidR="00EB0125" w:rsidRPr="006C3E18" w14:paraId="1CA4A637" w14:textId="77777777" w:rsidTr="00EB0125">
        <w:tc>
          <w:tcPr>
            <w:tcW w:w="14459" w:type="dxa"/>
            <w:shd w:val="clear" w:color="auto" w:fill="D9D9D9" w:themeFill="background1" w:themeFillShade="D9"/>
          </w:tcPr>
          <w:p w14:paraId="15B35A87" w14:textId="4DCCA891" w:rsidR="00EB0125" w:rsidRPr="006C3E18" w:rsidRDefault="00EB0125" w:rsidP="000F7DFB">
            <w:pPr>
              <w:rPr>
                <w:rFonts w:ascii="Arial Narrow" w:hAnsi="Arial Narrow"/>
                <w:bCs/>
                <w:i/>
                <w:iCs/>
              </w:rPr>
            </w:pPr>
            <w:r w:rsidRPr="006C3E18">
              <w:rPr>
                <w:rFonts w:ascii="Arial Narrow" w:hAnsi="Arial Narrow"/>
                <w:bCs/>
                <w:i/>
                <w:iCs/>
              </w:rPr>
              <w:lastRenderedPageBreak/>
              <w:t xml:space="preserve">Any other area of </w:t>
            </w:r>
            <w:r w:rsidR="00D74068" w:rsidRPr="006C3E18">
              <w:rPr>
                <w:rFonts w:ascii="Arial Narrow" w:hAnsi="Arial Narrow"/>
                <w:bCs/>
                <w:i/>
                <w:iCs/>
              </w:rPr>
              <w:t>Department / Entity</w:t>
            </w:r>
            <w:r w:rsidRPr="006C3E18">
              <w:rPr>
                <w:rFonts w:ascii="Arial Narrow" w:hAnsi="Arial Narrow"/>
                <w:bCs/>
                <w:i/>
                <w:iCs/>
              </w:rPr>
              <w:t xml:space="preserve"> performance with respect to its Quarter Report that the Committee wishes to report on, which is not already included in any of the above Focus Areas.</w:t>
            </w:r>
          </w:p>
        </w:tc>
      </w:tr>
      <w:tr w:rsidR="00EB0125" w:rsidRPr="006C3E18" w14:paraId="0233AE46" w14:textId="77777777" w:rsidTr="000F7DFB">
        <w:tc>
          <w:tcPr>
            <w:tcW w:w="14459" w:type="dxa"/>
          </w:tcPr>
          <w:p w14:paraId="071315B0" w14:textId="3ABC77F9" w:rsidR="00EB0125" w:rsidRPr="006C3E18" w:rsidRDefault="00F10B30" w:rsidP="000F7DFB">
            <w:pPr>
              <w:rPr>
                <w:rFonts w:ascii="Arial Narrow" w:hAnsi="Arial Narrow" w:cs="Arial"/>
              </w:rPr>
            </w:pPr>
            <w:r w:rsidRPr="006C3E18">
              <w:rPr>
                <w:rFonts w:ascii="Arial Narrow" w:hAnsi="Arial Narrow" w:cs="Arial"/>
              </w:rPr>
              <w:t>N/A</w:t>
            </w:r>
          </w:p>
        </w:tc>
      </w:tr>
    </w:tbl>
    <w:p w14:paraId="103088C4" w14:textId="3BC0B452" w:rsidR="00CD13FD" w:rsidRPr="006C3E18" w:rsidRDefault="00CD13FD" w:rsidP="00CD13FD">
      <w:pPr>
        <w:pStyle w:val="Heading1"/>
        <w:shd w:val="clear" w:color="auto" w:fill="D9D9D9" w:themeFill="background1" w:themeFillShade="D9"/>
        <w:rPr>
          <w:rFonts w:ascii="Arial Narrow" w:hAnsi="Arial Narrow"/>
          <w:color w:val="auto"/>
          <w:sz w:val="22"/>
          <w:szCs w:val="22"/>
        </w:rPr>
      </w:pPr>
      <w:bookmarkStart w:id="25" w:name="_Toc50576922"/>
      <w:r w:rsidRPr="006C3E18">
        <w:rPr>
          <w:rFonts w:ascii="Arial Narrow" w:hAnsi="Arial Narrow"/>
          <w:color w:val="auto"/>
          <w:sz w:val="22"/>
          <w:szCs w:val="22"/>
        </w:rPr>
        <w:t>12</w:t>
      </w:r>
      <w:r w:rsidRPr="006C3E18">
        <w:rPr>
          <w:rFonts w:ascii="Arial Narrow" w:hAnsi="Arial Narrow"/>
          <w:color w:val="auto"/>
          <w:sz w:val="22"/>
          <w:szCs w:val="22"/>
        </w:rPr>
        <w:tab/>
      </w:r>
      <w:r w:rsidRPr="005147DC">
        <w:rPr>
          <w:rFonts w:ascii="Arial Narrow" w:hAnsi="Arial Narrow"/>
          <w:color w:val="auto"/>
          <w:sz w:val="22"/>
          <w:szCs w:val="22"/>
        </w:rPr>
        <w:t>COMMITTEE FINDINGS / CONCERNS</w:t>
      </w:r>
      <w:bookmarkEnd w:id="25"/>
      <w:r w:rsidRPr="006C3E18">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13887"/>
      </w:tblGrid>
      <w:tr w:rsidR="006C3E18" w:rsidRPr="006C3E18" w14:paraId="0DDA1E0E" w14:textId="77777777" w:rsidTr="00CD13FD">
        <w:trPr>
          <w:tblHeader/>
        </w:trPr>
        <w:tc>
          <w:tcPr>
            <w:tcW w:w="13887" w:type="dxa"/>
            <w:shd w:val="clear" w:color="auto" w:fill="D6E3BC" w:themeFill="accent3" w:themeFillTint="66"/>
          </w:tcPr>
          <w:p w14:paraId="008F2063" w14:textId="3B862A34" w:rsidR="00CD13FD" w:rsidRPr="006C3E18" w:rsidRDefault="00CD13FD" w:rsidP="000F7DFB">
            <w:pPr>
              <w:rPr>
                <w:rFonts w:ascii="Arial Narrow" w:hAnsi="Arial Narrow"/>
                <w:b/>
                <w:bCs/>
              </w:rPr>
            </w:pPr>
            <w:r w:rsidRPr="006C3E18">
              <w:rPr>
                <w:rFonts w:ascii="Arial Narrow" w:hAnsi="Arial Narrow"/>
                <w:b/>
                <w:bCs/>
              </w:rPr>
              <w:t xml:space="preserve">12. </w:t>
            </w:r>
            <w:r w:rsidR="00035362" w:rsidRPr="006C3E18">
              <w:rPr>
                <w:rFonts w:ascii="Arial Narrow" w:hAnsi="Arial Narrow"/>
                <w:b/>
                <w:bCs/>
              </w:rPr>
              <w:t xml:space="preserve">DETAILED </w:t>
            </w:r>
            <w:r w:rsidRPr="006C3E18">
              <w:rPr>
                <w:rFonts w:ascii="Arial Narrow" w:hAnsi="Arial Narrow"/>
                <w:b/>
                <w:bCs/>
              </w:rPr>
              <w:t>COMMITTEE FINDINGS / CONCERNS (on each specific Focus Area analysed above)</w:t>
            </w:r>
          </w:p>
        </w:tc>
      </w:tr>
      <w:tr w:rsidR="00560976" w:rsidRPr="006C3E18" w14:paraId="6475391E" w14:textId="77777777" w:rsidTr="000F7DFB">
        <w:tc>
          <w:tcPr>
            <w:tcW w:w="13887" w:type="dxa"/>
          </w:tcPr>
          <w:p w14:paraId="0C5CF023" w14:textId="72F74CB4" w:rsidR="00560976" w:rsidRPr="006C3E18" w:rsidRDefault="005147DC" w:rsidP="00C93E82">
            <w:pPr>
              <w:pStyle w:val="ListParagraph"/>
              <w:numPr>
                <w:ilvl w:val="0"/>
                <w:numId w:val="8"/>
              </w:numPr>
              <w:rPr>
                <w:rFonts w:ascii="Arial Narrow" w:eastAsiaTheme="minorEastAsia" w:hAnsi="Arial Narrow"/>
              </w:rPr>
            </w:pPr>
            <w:r>
              <w:rPr>
                <w:rFonts w:ascii="Arial Narrow" w:eastAsiaTheme="minorEastAsia" w:hAnsi="Arial Narrow"/>
              </w:rPr>
              <w:t>Underspending by the Department during quarter 4 by 12% (R15 824 00.00)</w:t>
            </w:r>
            <w:r w:rsidR="002547BE">
              <w:rPr>
                <w:rFonts w:ascii="Arial Narrow" w:eastAsiaTheme="minorEastAsia" w:hAnsi="Arial Narrow"/>
              </w:rPr>
              <w:t xml:space="preserve">. This means that the Department has spend below 90% of the permissible spending of the budget. </w:t>
            </w:r>
          </w:p>
        </w:tc>
      </w:tr>
      <w:tr w:rsidR="00560976" w:rsidRPr="006C3E18" w14:paraId="77C424E3" w14:textId="77777777" w:rsidTr="000F7DFB">
        <w:tc>
          <w:tcPr>
            <w:tcW w:w="13887" w:type="dxa"/>
          </w:tcPr>
          <w:p w14:paraId="001D1BE7" w14:textId="6A2A6B5D" w:rsidR="00560976" w:rsidRPr="006C3E18" w:rsidRDefault="005147DC" w:rsidP="00C93E82">
            <w:pPr>
              <w:pStyle w:val="ListParagraph"/>
              <w:numPr>
                <w:ilvl w:val="0"/>
                <w:numId w:val="8"/>
              </w:numPr>
              <w:rPr>
                <w:rFonts w:ascii="Arial Narrow" w:eastAsiaTheme="minorEastAsia" w:hAnsi="Arial Narrow"/>
              </w:rPr>
            </w:pPr>
            <w:r>
              <w:rPr>
                <w:rFonts w:ascii="Arial Narrow" w:eastAsiaTheme="minorEastAsia" w:hAnsi="Arial Narrow"/>
              </w:rPr>
              <w:t>The Budget of the Department is not fully aligned with the performance targets</w:t>
            </w:r>
          </w:p>
        </w:tc>
      </w:tr>
      <w:tr w:rsidR="00560976" w:rsidRPr="006C3E18" w14:paraId="27986D01" w14:textId="77777777" w:rsidTr="000F7DFB">
        <w:tc>
          <w:tcPr>
            <w:tcW w:w="13887" w:type="dxa"/>
          </w:tcPr>
          <w:p w14:paraId="3AC80C9B" w14:textId="01EBF87C" w:rsidR="00560976" w:rsidRPr="00AE566D" w:rsidRDefault="00AE566D" w:rsidP="00AE566D">
            <w:pPr>
              <w:pStyle w:val="ListParagraph"/>
              <w:numPr>
                <w:ilvl w:val="0"/>
                <w:numId w:val="8"/>
              </w:numPr>
              <w:rPr>
                <w:rFonts w:ascii="Arial Narrow" w:eastAsiaTheme="minorEastAsia" w:hAnsi="Arial Narrow"/>
              </w:rPr>
            </w:pPr>
            <w:r w:rsidRPr="00AE566D">
              <w:rPr>
                <w:rFonts w:ascii="Arial Narrow" w:eastAsiaTheme="minorEastAsia" w:hAnsi="Arial Narrow"/>
              </w:rPr>
              <w:t>Senior Management positions not fully filled.</w:t>
            </w:r>
          </w:p>
        </w:tc>
      </w:tr>
      <w:tr w:rsidR="005147DC" w:rsidRPr="006C3E18" w14:paraId="1EFDBC8F" w14:textId="77777777" w:rsidTr="000F7DFB">
        <w:tc>
          <w:tcPr>
            <w:tcW w:w="13887" w:type="dxa"/>
          </w:tcPr>
          <w:p w14:paraId="16F70EC1" w14:textId="3FB9880D" w:rsidR="005147DC" w:rsidRDefault="005147DC" w:rsidP="00C93E82">
            <w:pPr>
              <w:pStyle w:val="ListParagraph"/>
              <w:numPr>
                <w:ilvl w:val="0"/>
                <w:numId w:val="8"/>
              </w:numPr>
              <w:rPr>
                <w:rFonts w:ascii="Arial Narrow" w:eastAsiaTheme="minorEastAsia" w:hAnsi="Arial Narrow"/>
              </w:rPr>
            </w:pPr>
            <w:r>
              <w:rPr>
                <w:rFonts w:ascii="Arial Narrow" w:eastAsiaTheme="minorEastAsia" w:hAnsi="Arial Narrow"/>
              </w:rPr>
              <w:t>Lack of funding to provide bursaries for learners with disabilities</w:t>
            </w:r>
          </w:p>
        </w:tc>
      </w:tr>
      <w:tr w:rsidR="00560976" w:rsidRPr="006C3E18" w14:paraId="4A1D494D" w14:textId="77777777" w:rsidTr="000F7DFB">
        <w:tc>
          <w:tcPr>
            <w:tcW w:w="13887" w:type="dxa"/>
          </w:tcPr>
          <w:p w14:paraId="1D9A78E9" w14:textId="3C5421B6" w:rsidR="00560976" w:rsidRPr="005147DC" w:rsidRDefault="005147DC" w:rsidP="005147DC">
            <w:pPr>
              <w:pStyle w:val="ListParagraph"/>
              <w:numPr>
                <w:ilvl w:val="0"/>
                <w:numId w:val="8"/>
              </w:numPr>
              <w:rPr>
                <w:rFonts w:ascii="Arial Narrow" w:hAnsi="Arial Narrow" w:cs="Arial Narrow"/>
                <w:bCs/>
              </w:rPr>
            </w:pPr>
            <w:r>
              <w:rPr>
                <w:rFonts w:ascii="Arial Narrow" w:hAnsi="Arial Narrow" w:cs="Arial Narrow"/>
                <w:bCs/>
              </w:rPr>
              <w:t>Non achievement of the target to do a research study on key local government policy due to budget limitations</w:t>
            </w:r>
          </w:p>
        </w:tc>
      </w:tr>
    </w:tbl>
    <w:p w14:paraId="11007A3F" w14:textId="0E8B439E" w:rsidR="002205B0" w:rsidRPr="006C3E18" w:rsidRDefault="002205B0" w:rsidP="002205B0">
      <w:pPr>
        <w:pStyle w:val="Heading1"/>
        <w:shd w:val="clear" w:color="auto" w:fill="D9D9D9" w:themeFill="background1" w:themeFillShade="D9"/>
        <w:rPr>
          <w:rFonts w:ascii="Arial Narrow" w:hAnsi="Arial Narrow"/>
          <w:color w:val="auto"/>
          <w:sz w:val="22"/>
          <w:szCs w:val="22"/>
        </w:rPr>
      </w:pPr>
      <w:bookmarkStart w:id="26" w:name="_Toc50576923"/>
      <w:r w:rsidRPr="006C3E18">
        <w:rPr>
          <w:rFonts w:ascii="Arial Narrow" w:hAnsi="Arial Narrow"/>
          <w:color w:val="auto"/>
          <w:sz w:val="22"/>
          <w:szCs w:val="22"/>
        </w:rPr>
        <w:t>13</w:t>
      </w:r>
      <w:r w:rsidRPr="006C3E18">
        <w:rPr>
          <w:rFonts w:ascii="Arial Narrow" w:hAnsi="Arial Narrow"/>
          <w:color w:val="auto"/>
          <w:sz w:val="22"/>
          <w:szCs w:val="22"/>
        </w:rPr>
        <w:tab/>
        <w:t>COMMITTEE RECOMMENDATIONS</w:t>
      </w:r>
      <w:bookmarkEnd w:id="26"/>
      <w:r w:rsidRPr="006C3E18">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1980"/>
        <w:gridCol w:w="6946"/>
        <w:gridCol w:w="3260"/>
        <w:gridCol w:w="1436"/>
      </w:tblGrid>
      <w:tr w:rsidR="002205B0" w:rsidRPr="006C3E18" w14:paraId="211F0F17" w14:textId="77777777" w:rsidTr="00615AF4">
        <w:trPr>
          <w:tblHeader/>
        </w:trPr>
        <w:tc>
          <w:tcPr>
            <w:tcW w:w="13622" w:type="dxa"/>
            <w:gridSpan w:val="4"/>
            <w:shd w:val="clear" w:color="auto" w:fill="D6E3BC" w:themeFill="accent3" w:themeFillTint="66"/>
          </w:tcPr>
          <w:p w14:paraId="60F138DB" w14:textId="42686CA0" w:rsidR="002205B0" w:rsidRPr="006C3E18" w:rsidRDefault="002205B0" w:rsidP="000F7DFB">
            <w:pPr>
              <w:rPr>
                <w:rFonts w:ascii="Arial Narrow" w:hAnsi="Arial Narrow"/>
                <w:b/>
                <w:bCs/>
              </w:rPr>
            </w:pPr>
            <w:r w:rsidRPr="006C3E18">
              <w:rPr>
                <w:rFonts w:ascii="Arial Narrow" w:hAnsi="Arial Narrow"/>
                <w:b/>
                <w:bCs/>
              </w:rPr>
              <w:t>13 [</w:t>
            </w:r>
            <w:r w:rsidR="00035362" w:rsidRPr="006C3E18">
              <w:rPr>
                <w:rFonts w:ascii="Arial Narrow" w:hAnsi="Arial Narrow"/>
                <w:b/>
                <w:bCs/>
              </w:rPr>
              <w:t xml:space="preserve">DETAILED </w:t>
            </w:r>
            <w:r w:rsidRPr="006C3E18">
              <w:rPr>
                <w:rFonts w:ascii="Arial Narrow" w:hAnsi="Arial Narrow"/>
                <w:b/>
                <w:bCs/>
              </w:rPr>
              <w:t>COMMITTEE RECOMMENDATIONS]</w:t>
            </w:r>
          </w:p>
        </w:tc>
      </w:tr>
      <w:tr w:rsidR="002205B0" w:rsidRPr="006C3E18" w14:paraId="5EC75C88" w14:textId="77777777" w:rsidTr="00615AF4">
        <w:tc>
          <w:tcPr>
            <w:tcW w:w="13622" w:type="dxa"/>
            <w:gridSpan w:val="4"/>
            <w:shd w:val="clear" w:color="auto" w:fill="D9D9D9" w:themeFill="background1" w:themeFillShade="D9"/>
          </w:tcPr>
          <w:p w14:paraId="4E02DC39" w14:textId="77777777" w:rsidR="002205B0" w:rsidRPr="006C3E18" w:rsidRDefault="002205B0" w:rsidP="000F7DFB">
            <w:pPr>
              <w:rPr>
                <w:rFonts w:ascii="Arial Narrow" w:hAnsi="Arial Narrow"/>
              </w:rPr>
            </w:pPr>
            <w:r w:rsidRPr="006C3E18">
              <w:rPr>
                <w:rFonts w:ascii="Arial Narrow" w:hAnsi="Arial Narrow"/>
                <w:b/>
              </w:rPr>
              <w:t>Based on the information set out herein-above as well as the Committee Concerns, the Committee therefore recommends as follows:</w:t>
            </w:r>
          </w:p>
        </w:tc>
      </w:tr>
      <w:tr w:rsidR="002205B0" w:rsidRPr="006C3E18" w14:paraId="061A27A6" w14:textId="77777777" w:rsidTr="004531D4">
        <w:tc>
          <w:tcPr>
            <w:tcW w:w="1980" w:type="dxa"/>
            <w:shd w:val="clear" w:color="auto" w:fill="D6E3BC" w:themeFill="accent3" w:themeFillTint="66"/>
          </w:tcPr>
          <w:p w14:paraId="2135C7D7" w14:textId="77777777" w:rsidR="002205B0" w:rsidRPr="006C3E18" w:rsidRDefault="002205B0" w:rsidP="000F7DFB">
            <w:pPr>
              <w:rPr>
                <w:rFonts w:ascii="Arial Narrow" w:hAnsi="Arial Narrow"/>
                <w:b/>
                <w:bCs/>
              </w:rPr>
            </w:pPr>
            <w:r w:rsidRPr="006C3E18">
              <w:rPr>
                <w:rFonts w:ascii="Arial Narrow" w:hAnsi="Arial Narrow"/>
                <w:b/>
                <w:bCs/>
              </w:rPr>
              <w:t>Ref Number</w:t>
            </w:r>
          </w:p>
        </w:tc>
        <w:tc>
          <w:tcPr>
            <w:tcW w:w="6946" w:type="dxa"/>
            <w:shd w:val="clear" w:color="auto" w:fill="D6E3BC" w:themeFill="accent3" w:themeFillTint="66"/>
          </w:tcPr>
          <w:p w14:paraId="2740554E" w14:textId="77777777" w:rsidR="002205B0" w:rsidRPr="006C3E18" w:rsidRDefault="002205B0" w:rsidP="000F7DFB">
            <w:pPr>
              <w:rPr>
                <w:rFonts w:ascii="Arial Narrow" w:hAnsi="Arial Narrow"/>
                <w:b/>
                <w:bCs/>
              </w:rPr>
            </w:pPr>
            <w:r w:rsidRPr="006C3E18">
              <w:rPr>
                <w:rFonts w:ascii="Arial Narrow" w:hAnsi="Arial Narrow"/>
                <w:b/>
                <w:bCs/>
              </w:rPr>
              <w:t>Recommendation</w:t>
            </w:r>
          </w:p>
        </w:tc>
        <w:tc>
          <w:tcPr>
            <w:tcW w:w="3260" w:type="dxa"/>
            <w:shd w:val="clear" w:color="auto" w:fill="D6E3BC" w:themeFill="accent3" w:themeFillTint="66"/>
          </w:tcPr>
          <w:p w14:paraId="6A154EC6" w14:textId="77777777" w:rsidR="002205B0" w:rsidRPr="006C3E18" w:rsidRDefault="002205B0" w:rsidP="000F7DFB">
            <w:pPr>
              <w:rPr>
                <w:rFonts w:ascii="Arial Narrow" w:hAnsi="Arial Narrow"/>
                <w:b/>
                <w:bCs/>
              </w:rPr>
            </w:pPr>
            <w:r w:rsidRPr="006C3E18">
              <w:rPr>
                <w:rFonts w:ascii="Arial Narrow" w:hAnsi="Arial Narrow"/>
                <w:b/>
                <w:bCs/>
              </w:rPr>
              <w:t>Type of response expected</w:t>
            </w:r>
          </w:p>
        </w:tc>
        <w:tc>
          <w:tcPr>
            <w:tcW w:w="1436" w:type="dxa"/>
            <w:shd w:val="clear" w:color="auto" w:fill="D6E3BC" w:themeFill="accent3" w:themeFillTint="66"/>
          </w:tcPr>
          <w:p w14:paraId="4E7C0009" w14:textId="77777777" w:rsidR="002205B0" w:rsidRPr="006C3E18" w:rsidRDefault="002205B0" w:rsidP="000F7DFB">
            <w:pPr>
              <w:rPr>
                <w:rFonts w:ascii="Arial Narrow" w:hAnsi="Arial Narrow"/>
                <w:b/>
                <w:bCs/>
              </w:rPr>
            </w:pPr>
            <w:r w:rsidRPr="006C3E18">
              <w:rPr>
                <w:rFonts w:ascii="Arial Narrow" w:hAnsi="Arial Narrow"/>
                <w:b/>
                <w:bCs/>
              </w:rPr>
              <w:t>Due Date</w:t>
            </w:r>
          </w:p>
        </w:tc>
      </w:tr>
      <w:tr w:rsidR="00E661FE" w:rsidRPr="006C3E18" w14:paraId="550FD93D" w14:textId="77777777" w:rsidTr="004531D4">
        <w:tc>
          <w:tcPr>
            <w:tcW w:w="1980" w:type="dxa"/>
          </w:tcPr>
          <w:p w14:paraId="346FBEA2" w14:textId="4925F567" w:rsidR="00E661FE" w:rsidRPr="006C3E18" w:rsidRDefault="00AE1FA6" w:rsidP="00E661FE">
            <w:pPr>
              <w:spacing w:line="276" w:lineRule="auto"/>
              <w:rPr>
                <w:rFonts w:ascii="Arial Narrow" w:hAnsi="Arial Narrow"/>
                <w:bCs/>
              </w:rPr>
            </w:pPr>
            <w:r>
              <w:rPr>
                <w:rFonts w:ascii="Arial Narrow" w:hAnsi="Arial Narrow"/>
                <w:bCs/>
              </w:rPr>
              <w:t>Co</w:t>
            </w:r>
            <w:r w:rsidR="00E92273">
              <w:rPr>
                <w:rFonts w:ascii="Arial Narrow" w:hAnsi="Arial Narrow"/>
                <w:bCs/>
              </w:rPr>
              <w:t>G</w:t>
            </w:r>
            <w:r w:rsidR="00E661FE" w:rsidRPr="006C3E18">
              <w:rPr>
                <w:rFonts w:ascii="Arial Narrow" w:hAnsi="Arial Narrow"/>
                <w:bCs/>
              </w:rPr>
              <w:t>/Q4PR/ 001</w:t>
            </w:r>
          </w:p>
        </w:tc>
        <w:tc>
          <w:tcPr>
            <w:tcW w:w="6946" w:type="dxa"/>
          </w:tcPr>
          <w:p w14:paraId="3C4F7E27" w14:textId="3EF3884F" w:rsidR="00CD44C1" w:rsidRDefault="00CD44C1" w:rsidP="00E661FE">
            <w:pPr>
              <w:spacing w:line="276" w:lineRule="auto"/>
              <w:rPr>
                <w:rFonts w:ascii="Arial Narrow" w:eastAsia="Times New Roman" w:hAnsi="Arial Narrow"/>
                <w:lang w:val="en-US"/>
              </w:rPr>
            </w:pPr>
            <w:r w:rsidRPr="00CD44C1">
              <w:rPr>
                <w:rFonts w:ascii="Arial Narrow" w:eastAsia="Times New Roman" w:hAnsi="Arial Narrow"/>
                <w:lang w:val="en-US"/>
              </w:rPr>
              <w:t xml:space="preserve">The Portfolio Committee views the </w:t>
            </w:r>
            <w:r w:rsidR="002611E5">
              <w:rPr>
                <w:rFonts w:ascii="Arial Narrow" w:eastAsia="Times New Roman" w:hAnsi="Arial Narrow"/>
                <w:lang w:val="en-US"/>
              </w:rPr>
              <w:t>expenditure</w:t>
            </w:r>
            <w:r w:rsidRPr="00CD44C1">
              <w:rPr>
                <w:rFonts w:ascii="Arial Narrow" w:eastAsia="Times New Roman" w:hAnsi="Arial Narrow"/>
                <w:lang w:val="en-US"/>
              </w:rPr>
              <w:t xml:space="preserve"> of </w:t>
            </w:r>
            <w:r w:rsidR="002611E5" w:rsidRPr="002611E5">
              <w:rPr>
                <w:rFonts w:ascii="Arial Narrow" w:eastAsia="Times New Roman" w:hAnsi="Arial Narrow"/>
                <w:lang w:val="en-US"/>
              </w:rPr>
              <w:t xml:space="preserve">R111 999 000. 00 (88%) </w:t>
            </w:r>
            <w:r w:rsidRPr="00CD44C1">
              <w:rPr>
                <w:rFonts w:ascii="Arial Narrow" w:eastAsia="Times New Roman" w:hAnsi="Arial Narrow"/>
                <w:lang w:val="en-US"/>
              </w:rPr>
              <w:t xml:space="preserve">against the allocation of </w:t>
            </w:r>
            <w:r w:rsidR="002611E5" w:rsidRPr="002611E5">
              <w:rPr>
                <w:rFonts w:ascii="Arial Narrow" w:eastAsia="Times New Roman" w:hAnsi="Arial Narrow"/>
                <w:lang w:val="en-US"/>
              </w:rPr>
              <w:t xml:space="preserve">R127 823 000. 00 </w:t>
            </w:r>
            <w:r w:rsidRPr="00CD44C1">
              <w:rPr>
                <w:rFonts w:ascii="Arial Narrow" w:eastAsia="Times New Roman" w:hAnsi="Arial Narrow"/>
                <w:lang w:val="en-US"/>
              </w:rPr>
              <w:t>during the 4</w:t>
            </w:r>
            <w:r w:rsidR="00E433C3" w:rsidRPr="00E433C3">
              <w:rPr>
                <w:rFonts w:ascii="Arial Narrow" w:eastAsia="Times New Roman" w:hAnsi="Arial Narrow"/>
                <w:vertAlign w:val="superscript"/>
                <w:lang w:val="en-US"/>
              </w:rPr>
              <w:t>th</w:t>
            </w:r>
            <w:r w:rsidR="00E433C3">
              <w:rPr>
                <w:rFonts w:ascii="Arial Narrow" w:eastAsia="Times New Roman" w:hAnsi="Arial Narrow"/>
                <w:lang w:val="en-US"/>
              </w:rPr>
              <w:t xml:space="preserve"> </w:t>
            </w:r>
            <w:r w:rsidRPr="00CD44C1">
              <w:rPr>
                <w:rFonts w:ascii="Arial Narrow" w:eastAsia="Times New Roman" w:hAnsi="Arial Narrow"/>
                <w:lang w:val="en-US"/>
              </w:rPr>
              <w:t xml:space="preserve"> quarter of 202</w:t>
            </w:r>
            <w:r w:rsidR="00333889">
              <w:rPr>
                <w:rFonts w:ascii="Arial Narrow" w:eastAsia="Times New Roman" w:hAnsi="Arial Narrow"/>
                <w:lang w:val="en-US"/>
              </w:rPr>
              <w:t>1</w:t>
            </w:r>
            <w:r w:rsidRPr="00CD44C1">
              <w:rPr>
                <w:rFonts w:ascii="Arial Narrow" w:eastAsia="Times New Roman" w:hAnsi="Arial Narrow"/>
                <w:lang w:val="en-US"/>
              </w:rPr>
              <w:t>/2</w:t>
            </w:r>
            <w:r w:rsidR="00333889">
              <w:rPr>
                <w:rFonts w:ascii="Arial Narrow" w:eastAsia="Times New Roman" w:hAnsi="Arial Narrow"/>
                <w:lang w:val="en-US"/>
              </w:rPr>
              <w:t>2</w:t>
            </w:r>
            <w:r w:rsidRPr="00CD44C1">
              <w:rPr>
                <w:rFonts w:ascii="Arial Narrow" w:eastAsia="Times New Roman" w:hAnsi="Arial Narrow"/>
                <w:lang w:val="en-US"/>
              </w:rPr>
              <w:t xml:space="preserve"> FY with contempt and </w:t>
            </w:r>
            <w:r w:rsidR="002611E5">
              <w:rPr>
                <w:rFonts w:ascii="Arial Narrow" w:eastAsia="Times New Roman" w:hAnsi="Arial Narrow"/>
                <w:lang w:val="en-US"/>
              </w:rPr>
              <w:t xml:space="preserve">once more </w:t>
            </w:r>
            <w:r w:rsidRPr="00CD44C1">
              <w:rPr>
                <w:rFonts w:ascii="Arial Narrow" w:eastAsia="Times New Roman" w:hAnsi="Arial Narrow"/>
                <w:lang w:val="en-US"/>
              </w:rPr>
              <w:t xml:space="preserve">encourages the Department to spend prudently. </w:t>
            </w:r>
          </w:p>
          <w:p w14:paraId="412FD35E" w14:textId="77777777" w:rsidR="00CD44C1" w:rsidRDefault="00CD44C1" w:rsidP="00E661FE">
            <w:pPr>
              <w:spacing w:line="276" w:lineRule="auto"/>
              <w:rPr>
                <w:rFonts w:ascii="Arial Narrow" w:eastAsia="Times New Roman" w:hAnsi="Arial Narrow"/>
                <w:lang w:val="en-US"/>
              </w:rPr>
            </w:pPr>
          </w:p>
          <w:p w14:paraId="3DF11096" w14:textId="3FA298A9" w:rsidR="00E661FE" w:rsidRPr="006C3E18" w:rsidRDefault="002611E5" w:rsidP="00E661FE">
            <w:pPr>
              <w:spacing w:line="276" w:lineRule="auto"/>
              <w:rPr>
                <w:rFonts w:ascii="Arial Narrow" w:hAnsi="Arial Narrow"/>
              </w:rPr>
            </w:pPr>
            <w:r>
              <w:rPr>
                <w:rFonts w:ascii="Arial Narrow" w:eastAsia="Times New Roman" w:hAnsi="Arial Narrow"/>
                <w:lang w:val="en-US"/>
              </w:rPr>
              <w:t xml:space="preserve">Furthermore, the </w:t>
            </w:r>
            <w:r w:rsidR="001E3097">
              <w:rPr>
                <w:rFonts w:ascii="Arial Narrow" w:eastAsia="Times New Roman" w:hAnsi="Arial Narrow"/>
                <w:lang w:val="en-US"/>
              </w:rPr>
              <w:t xml:space="preserve">Portfolio Committee </w:t>
            </w:r>
            <w:r>
              <w:rPr>
                <w:rFonts w:ascii="Arial Narrow" w:eastAsia="Times New Roman" w:hAnsi="Arial Narrow"/>
                <w:lang w:val="en-US"/>
              </w:rPr>
              <w:t xml:space="preserve">has observed that </w:t>
            </w:r>
            <w:r w:rsidR="00333889">
              <w:rPr>
                <w:rFonts w:ascii="Arial Narrow" w:eastAsia="Times New Roman" w:hAnsi="Arial Narrow"/>
                <w:lang w:val="en-US"/>
              </w:rPr>
              <w:t xml:space="preserve">once more </w:t>
            </w:r>
            <w:r>
              <w:rPr>
                <w:rFonts w:ascii="Arial Narrow" w:eastAsia="Times New Roman" w:hAnsi="Arial Narrow"/>
                <w:lang w:val="en-US"/>
              </w:rPr>
              <w:t>underspending has become a trend in the Department, as this was the case in the 4</w:t>
            </w:r>
            <w:r w:rsidRPr="002611E5">
              <w:rPr>
                <w:rFonts w:ascii="Arial Narrow" w:eastAsia="Times New Roman" w:hAnsi="Arial Narrow"/>
                <w:vertAlign w:val="superscript"/>
                <w:lang w:val="en-US"/>
              </w:rPr>
              <w:t>th</w:t>
            </w:r>
            <w:r>
              <w:rPr>
                <w:rFonts w:ascii="Arial Narrow" w:eastAsia="Times New Roman" w:hAnsi="Arial Narrow"/>
                <w:lang w:val="en-US"/>
              </w:rPr>
              <w:t xml:space="preserve"> Quarter of 2020/21 FY. The Portfolio Committee once more urges the Department to put proper systems in place to spend cautiously.</w:t>
            </w:r>
          </w:p>
        </w:tc>
        <w:tc>
          <w:tcPr>
            <w:tcW w:w="3260" w:type="dxa"/>
          </w:tcPr>
          <w:p w14:paraId="64162C1F" w14:textId="515C704A" w:rsidR="00E661FE" w:rsidRPr="006C3E18" w:rsidRDefault="00E661FE" w:rsidP="00E661FE">
            <w:pPr>
              <w:spacing w:line="276" w:lineRule="auto"/>
              <w:rPr>
                <w:rFonts w:ascii="Arial Narrow" w:hAnsi="Arial Narrow"/>
              </w:rPr>
            </w:pPr>
            <w:r w:rsidRPr="006C3E18">
              <w:rPr>
                <w:rFonts w:ascii="Arial Narrow" w:hAnsi="Arial Narrow"/>
              </w:rPr>
              <w:t>Written Response should be forwarded to the GPL on the resolution as adopted by the House</w:t>
            </w:r>
          </w:p>
        </w:tc>
        <w:tc>
          <w:tcPr>
            <w:tcW w:w="1436" w:type="dxa"/>
          </w:tcPr>
          <w:p w14:paraId="41A7951A" w14:textId="2771EC87" w:rsidR="00E661FE" w:rsidRPr="006C3E18" w:rsidRDefault="002547BE" w:rsidP="00E661FE">
            <w:pPr>
              <w:spacing w:line="276" w:lineRule="auto"/>
              <w:rPr>
                <w:rFonts w:ascii="Arial Narrow" w:hAnsi="Arial Narrow"/>
              </w:rPr>
            </w:pPr>
            <w:r>
              <w:rPr>
                <w:rFonts w:ascii="Arial Narrow" w:hAnsi="Arial Narrow"/>
              </w:rPr>
              <w:t>29</w:t>
            </w:r>
            <w:r w:rsidR="00E661FE" w:rsidRPr="006C3E18">
              <w:rPr>
                <w:rFonts w:ascii="Arial Narrow" w:hAnsi="Arial Narrow"/>
              </w:rPr>
              <w:t>/07/202</w:t>
            </w:r>
            <w:r>
              <w:rPr>
                <w:rFonts w:ascii="Arial Narrow" w:hAnsi="Arial Narrow"/>
              </w:rPr>
              <w:t>2</w:t>
            </w:r>
          </w:p>
        </w:tc>
      </w:tr>
      <w:tr w:rsidR="00E661FE" w:rsidRPr="006C3E18" w14:paraId="2AD5A375" w14:textId="77777777" w:rsidTr="004531D4">
        <w:tc>
          <w:tcPr>
            <w:tcW w:w="1980" w:type="dxa"/>
          </w:tcPr>
          <w:p w14:paraId="5C0DEE59" w14:textId="66631D56" w:rsidR="00E661FE" w:rsidRPr="006C3E18" w:rsidRDefault="00E92273" w:rsidP="00E661FE">
            <w:pPr>
              <w:spacing w:line="276" w:lineRule="auto"/>
              <w:rPr>
                <w:rFonts w:ascii="Arial Narrow" w:hAnsi="Arial Narrow"/>
                <w:bCs/>
              </w:rPr>
            </w:pPr>
            <w:r>
              <w:rPr>
                <w:rFonts w:ascii="Arial Narrow" w:hAnsi="Arial Narrow"/>
                <w:bCs/>
              </w:rPr>
              <w:lastRenderedPageBreak/>
              <w:t>CoG</w:t>
            </w:r>
            <w:r w:rsidR="00E661FE" w:rsidRPr="006C3E18">
              <w:rPr>
                <w:rFonts w:ascii="Arial Narrow" w:hAnsi="Arial Narrow"/>
                <w:bCs/>
              </w:rPr>
              <w:t>/Q4PR/ 002</w:t>
            </w:r>
          </w:p>
        </w:tc>
        <w:tc>
          <w:tcPr>
            <w:tcW w:w="6946" w:type="dxa"/>
          </w:tcPr>
          <w:p w14:paraId="1D7DA978" w14:textId="0F0B2EF0" w:rsidR="008F3C04" w:rsidRPr="006C3E18" w:rsidRDefault="00375426" w:rsidP="006A184B">
            <w:pPr>
              <w:spacing w:line="276" w:lineRule="auto"/>
              <w:rPr>
                <w:rFonts w:ascii="Arial Narrow" w:hAnsi="Arial Narrow"/>
              </w:rPr>
            </w:pPr>
            <w:r>
              <w:rPr>
                <w:rFonts w:ascii="Arial Narrow" w:eastAsia="Times New Roman" w:hAnsi="Arial Narrow"/>
              </w:rPr>
              <w:t xml:space="preserve">The </w:t>
            </w:r>
            <w:r w:rsidR="00583874">
              <w:rPr>
                <w:rFonts w:ascii="Arial Narrow" w:eastAsia="Times New Roman" w:hAnsi="Arial Narrow"/>
              </w:rPr>
              <w:t xml:space="preserve">Department should ensure that </w:t>
            </w:r>
            <w:r w:rsidR="000364EE" w:rsidRPr="000364EE">
              <w:rPr>
                <w:rFonts w:ascii="Arial Narrow" w:eastAsia="Times New Roman" w:hAnsi="Arial Narrow"/>
              </w:rPr>
              <w:t xml:space="preserve">the </w:t>
            </w:r>
            <w:r w:rsidR="006A184B">
              <w:rPr>
                <w:rFonts w:ascii="Arial Narrow" w:eastAsia="Times New Roman" w:hAnsi="Arial Narrow"/>
              </w:rPr>
              <w:t xml:space="preserve">budget is properly aligned to the performance targets. The Departments spending </w:t>
            </w:r>
            <w:r w:rsidR="001A0584">
              <w:rPr>
                <w:rFonts w:ascii="Arial Narrow" w:eastAsia="Times New Roman" w:hAnsi="Arial Narrow"/>
              </w:rPr>
              <w:t xml:space="preserve">during the quarter under review was at </w:t>
            </w:r>
            <w:r w:rsidR="006A184B">
              <w:rPr>
                <w:rFonts w:ascii="Arial Narrow" w:eastAsia="Times New Roman" w:hAnsi="Arial Narrow"/>
              </w:rPr>
              <w:t>88% whereas the performance targets was 76%</w:t>
            </w:r>
            <w:r w:rsidR="001A0584">
              <w:rPr>
                <w:rFonts w:ascii="Arial Narrow" w:eastAsia="Times New Roman" w:hAnsi="Arial Narrow"/>
              </w:rPr>
              <w:t>.</w:t>
            </w:r>
          </w:p>
        </w:tc>
        <w:tc>
          <w:tcPr>
            <w:tcW w:w="3260" w:type="dxa"/>
          </w:tcPr>
          <w:p w14:paraId="78DB31F6" w14:textId="624CABD0" w:rsidR="00E661FE" w:rsidRPr="006C3E18" w:rsidRDefault="00E661FE" w:rsidP="00E661FE">
            <w:pPr>
              <w:spacing w:line="276" w:lineRule="auto"/>
              <w:rPr>
                <w:rFonts w:ascii="Arial Narrow" w:hAnsi="Arial Narrow"/>
              </w:rPr>
            </w:pPr>
            <w:r w:rsidRPr="006C3E18">
              <w:rPr>
                <w:rFonts w:ascii="Arial Narrow" w:hAnsi="Arial Narrow"/>
              </w:rPr>
              <w:t>Written Response should be forwarded to the GPL on the resolution as adopted by the House</w:t>
            </w:r>
          </w:p>
        </w:tc>
        <w:tc>
          <w:tcPr>
            <w:tcW w:w="1436" w:type="dxa"/>
          </w:tcPr>
          <w:p w14:paraId="0C18B49D" w14:textId="710EF44E" w:rsidR="00E661FE" w:rsidRPr="006C3E18" w:rsidRDefault="002547BE" w:rsidP="00E661FE">
            <w:pPr>
              <w:spacing w:line="276" w:lineRule="auto"/>
              <w:rPr>
                <w:rFonts w:ascii="Arial Narrow" w:hAnsi="Arial Narrow"/>
              </w:rPr>
            </w:pPr>
            <w:r>
              <w:rPr>
                <w:rFonts w:ascii="Arial Narrow" w:hAnsi="Arial Narrow"/>
              </w:rPr>
              <w:t>29</w:t>
            </w:r>
            <w:r w:rsidR="00E661FE" w:rsidRPr="006C3E18">
              <w:rPr>
                <w:rFonts w:ascii="Arial Narrow" w:hAnsi="Arial Narrow"/>
              </w:rPr>
              <w:t>/07/202</w:t>
            </w:r>
            <w:r>
              <w:rPr>
                <w:rFonts w:ascii="Arial Narrow" w:hAnsi="Arial Narrow"/>
              </w:rPr>
              <w:t>2</w:t>
            </w:r>
          </w:p>
        </w:tc>
      </w:tr>
      <w:tr w:rsidR="00E661FE" w:rsidRPr="006C3E18" w14:paraId="0FF4E7DA" w14:textId="77777777" w:rsidTr="004531D4">
        <w:tc>
          <w:tcPr>
            <w:tcW w:w="1980" w:type="dxa"/>
          </w:tcPr>
          <w:p w14:paraId="60EC90B9" w14:textId="7CCE75F7" w:rsidR="00E661FE" w:rsidRPr="006C3E18" w:rsidRDefault="00E92273" w:rsidP="00E661FE">
            <w:pPr>
              <w:spacing w:line="276" w:lineRule="auto"/>
              <w:rPr>
                <w:rFonts w:ascii="Arial Narrow" w:hAnsi="Arial Narrow"/>
                <w:bCs/>
              </w:rPr>
            </w:pPr>
            <w:r>
              <w:rPr>
                <w:rFonts w:ascii="Arial Narrow" w:hAnsi="Arial Narrow"/>
                <w:bCs/>
              </w:rPr>
              <w:t>CoG</w:t>
            </w:r>
            <w:r w:rsidR="00E661FE" w:rsidRPr="006C3E18">
              <w:rPr>
                <w:rFonts w:ascii="Arial Narrow" w:hAnsi="Arial Narrow"/>
                <w:bCs/>
              </w:rPr>
              <w:t>/Q4PR/ 003</w:t>
            </w:r>
          </w:p>
        </w:tc>
        <w:tc>
          <w:tcPr>
            <w:tcW w:w="6946" w:type="dxa"/>
          </w:tcPr>
          <w:p w14:paraId="6E790583" w14:textId="6A43DA54" w:rsidR="00E661FE" w:rsidRPr="00037748" w:rsidRDefault="00E02B94" w:rsidP="00037748">
            <w:pPr>
              <w:rPr>
                <w:rFonts w:ascii="Arial Narrow" w:eastAsia="Times New Roman" w:hAnsi="Arial Narrow"/>
              </w:rPr>
            </w:pPr>
            <w:r w:rsidRPr="005C3C9C">
              <w:rPr>
                <w:rFonts w:ascii="Arial Narrow" w:eastAsia="Times New Roman" w:hAnsi="Arial Narrow"/>
              </w:rPr>
              <w:t xml:space="preserve">The Department should </w:t>
            </w:r>
            <w:r w:rsidR="001A0584">
              <w:rPr>
                <w:rFonts w:ascii="Arial Narrow" w:eastAsia="Times New Roman" w:hAnsi="Arial Narrow"/>
              </w:rPr>
              <w:t>ensure that all Senior Management</w:t>
            </w:r>
            <w:r w:rsidR="00FF2F23">
              <w:rPr>
                <w:rFonts w:ascii="Arial Narrow" w:eastAsia="Times New Roman" w:hAnsi="Arial Narrow"/>
              </w:rPr>
              <w:t xml:space="preserve"> positions</w:t>
            </w:r>
            <w:r w:rsidR="001A0584">
              <w:rPr>
                <w:rFonts w:ascii="Arial Narrow" w:eastAsia="Times New Roman" w:hAnsi="Arial Narrow"/>
              </w:rPr>
              <w:t xml:space="preserve"> in the Department are </w:t>
            </w:r>
            <w:r w:rsidR="00AE566D">
              <w:rPr>
                <w:rFonts w:ascii="Arial Narrow" w:eastAsia="Times New Roman" w:hAnsi="Arial Narrow"/>
              </w:rPr>
              <w:t xml:space="preserve">fully </w:t>
            </w:r>
            <w:r w:rsidR="001A0584">
              <w:rPr>
                <w:rFonts w:ascii="Arial Narrow" w:eastAsia="Times New Roman" w:hAnsi="Arial Narrow"/>
              </w:rPr>
              <w:t>filled. Vacant Position</w:t>
            </w:r>
            <w:r w:rsidR="00FF2F23">
              <w:rPr>
                <w:rFonts w:ascii="Arial Narrow" w:eastAsia="Times New Roman" w:hAnsi="Arial Narrow"/>
              </w:rPr>
              <w:t>s</w:t>
            </w:r>
            <w:r w:rsidR="001A0584">
              <w:rPr>
                <w:rFonts w:ascii="Arial Narrow" w:eastAsia="Times New Roman" w:hAnsi="Arial Narrow"/>
              </w:rPr>
              <w:t xml:space="preserve"> in the Department derails the provision of service delivery to the Citizen of Gauteng.</w:t>
            </w:r>
            <w:r w:rsidR="008C1578" w:rsidRPr="005C3C9C">
              <w:rPr>
                <w:rFonts w:ascii="Arial Narrow" w:eastAsia="Times New Roman" w:hAnsi="Arial Narrow"/>
              </w:rPr>
              <w:t xml:space="preserve"> </w:t>
            </w:r>
            <w:r w:rsidR="0040515E" w:rsidRPr="00037748">
              <w:rPr>
                <w:rFonts w:ascii="Arial Narrow" w:eastAsia="Times New Roman" w:hAnsi="Arial Narrow"/>
              </w:rPr>
              <w:t xml:space="preserve"> </w:t>
            </w:r>
          </w:p>
        </w:tc>
        <w:tc>
          <w:tcPr>
            <w:tcW w:w="3260" w:type="dxa"/>
          </w:tcPr>
          <w:p w14:paraId="33D5598B" w14:textId="32682620" w:rsidR="00E661FE" w:rsidRPr="006C3E18" w:rsidRDefault="00E661FE" w:rsidP="00E661FE">
            <w:pPr>
              <w:spacing w:line="276" w:lineRule="auto"/>
              <w:rPr>
                <w:rFonts w:ascii="Arial Narrow" w:hAnsi="Arial Narrow"/>
              </w:rPr>
            </w:pPr>
            <w:r w:rsidRPr="006C3E18">
              <w:rPr>
                <w:rFonts w:ascii="Arial Narrow" w:hAnsi="Arial Narrow"/>
              </w:rPr>
              <w:t>Written Response should be forwarded to the GPL on the resolution as adopted by the House</w:t>
            </w:r>
          </w:p>
        </w:tc>
        <w:tc>
          <w:tcPr>
            <w:tcW w:w="1436" w:type="dxa"/>
          </w:tcPr>
          <w:p w14:paraId="1AD8F327" w14:textId="64DF6E05" w:rsidR="00E661FE" w:rsidRPr="006C3E18" w:rsidRDefault="002547BE" w:rsidP="00E661FE">
            <w:pPr>
              <w:spacing w:line="276" w:lineRule="auto"/>
              <w:rPr>
                <w:rFonts w:ascii="Arial Narrow" w:hAnsi="Arial Narrow"/>
              </w:rPr>
            </w:pPr>
            <w:r>
              <w:rPr>
                <w:rFonts w:ascii="Arial Narrow" w:hAnsi="Arial Narrow"/>
              </w:rPr>
              <w:t>29</w:t>
            </w:r>
            <w:r w:rsidR="00E661FE" w:rsidRPr="006C3E18">
              <w:rPr>
                <w:rFonts w:ascii="Arial Narrow" w:hAnsi="Arial Narrow"/>
              </w:rPr>
              <w:t>/07/202</w:t>
            </w:r>
            <w:r>
              <w:rPr>
                <w:rFonts w:ascii="Arial Narrow" w:hAnsi="Arial Narrow"/>
              </w:rPr>
              <w:t>2</w:t>
            </w:r>
          </w:p>
        </w:tc>
      </w:tr>
      <w:tr w:rsidR="00E661FE" w:rsidRPr="006C3E18" w14:paraId="1FB24295" w14:textId="77777777" w:rsidTr="004531D4">
        <w:tc>
          <w:tcPr>
            <w:tcW w:w="1980" w:type="dxa"/>
          </w:tcPr>
          <w:p w14:paraId="4415DB2B" w14:textId="2654A3C5" w:rsidR="00E661FE" w:rsidRPr="006C3E18" w:rsidRDefault="00E92273" w:rsidP="00E661FE">
            <w:pPr>
              <w:spacing w:line="276" w:lineRule="auto"/>
              <w:rPr>
                <w:rFonts w:ascii="Arial Narrow" w:hAnsi="Arial Narrow"/>
                <w:bCs/>
              </w:rPr>
            </w:pPr>
            <w:r>
              <w:rPr>
                <w:rFonts w:ascii="Arial Narrow" w:hAnsi="Arial Narrow"/>
                <w:bCs/>
              </w:rPr>
              <w:t>CoG</w:t>
            </w:r>
            <w:r w:rsidR="00E661FE" w:rsidRPr="006C3E18">
              <w:rPr>
                <w:rFonts w:ascii="Arial Narrow" w:hAnsi="Arial Narrow"/>
                <w:bCs/>
              </w:rPr>
              <w:t>/Q4PR/ 004</w:t>
            </w:r>
          </w:p>
        </w:tc>
        <w:tc>
          <w:tcPr>
            <w:tcW w:w="6946" w:type="dxa"/>
          </w:tcPr>
          <w:p w14:paraId="371136BD" w14:textId="2A8EB63A" w:rsidR="008C2C6C" w:rsidRDefault="007850E7" w:rsidP="001A0584">
            <w:pPr>
              <w:rPr>
                <w:rFonts w:ascii="Arial Narrow" w:eastAsia="Times New Roman" w:hAnsi="Arial Narrow"/>
              </w:rPr>
            </w:pPr>
            <w:r w:rsidRPr="00037748">
              <w:rPr>
                <w:rFonts w:ascii="Arial Narrow" w:eastAsia="Times New Roman" w:hAnsi="Arial Narrow"/>
              </w:rPr>
              <w:t>The Department</w:t>
            </w:r>
            <w:r w:rsidR="00525558" w:rsidRPr="00037748">
              <w:rPr>
                <w:rFonts w:ascii="Arial Narrow" w:eastAsia="Times New Roman" w:hAnsi="Arial Narrow"/>
              </w:rPr>
              <w:t xml:space="preserve"> should </w:t>
            </w:r>
            <w:r w:rsidR="001A0584">
              <w:rPr>
                <w:rFonts w:ascii="Arial Narrow" w:eastAsia="Times New Roman" w:hAnsi="Arial Narrow"/>
              </w:rPr>
              <w:t xml:space="preserve">budget </w:t>
            </w:r>
            <w:r w:rsidR="008C2C6C">
              <w:rPr>
                <w:rFonts w:ascii="Arial Narrow" w:eastAsia="Times New Roman" w:hAnsi="Arial Narrow"/>
              </w:rPr>
              <w:t xml:space="preserve">adequately for all the targets and not disadvantage </w:t>
            </w:r>
            <w:r w:rsidR="008C2C6C" w:rsidRPr="008C2C6C">
              <w:rPr>
                <w:rFonts w:ascii="Arial Narrow" w:eastAsia="Times New Roman" w:hAnsi="Arial Narrow"/>
              </w:rPr>
              <w:t>learners with disabilities</w:t>
            </w:r>
            <w:r w:rsidR="008C2C6C">
              <w:rPr>
                <w:rFonts w:ascii="Arial Narrow" w:eastAsia="Times New Roman" w:hAnsi="Arial Narrow"/>
              </w:rPr>
              <w:t xml:space="preserve"> by not  awarding them with bursaries as committed. </w:t>
            </w:r>
          </w:p>
          <w:p w14:paraId="51885BF7" w14:textId="77777777" w:rsidR="008C2C6C" w:rsidRDefault="008C2C6C" w:rsidP="001A0584">
            <w:pPr>
              <w:rPr>
                <w:rFonts w:ascii="Arial Narrow" w:eastAsia="Times New Roman" w:hAnsi="Arial Narrow"/>
              </w:rPr>
            </w:pPr>
          </w:p>
          <w:p w14:paraId="1585E747" w14:textId="61C083C6" w:rsidR="00BC7C10" w:rsidRPr="00037748" w:rsidRDefault="008C2C6C" w:rsidP="001A0584">
            <w:pPr>
              <w:rPr>
                <w:rFonts w:ascii="Arial Narrow" w:hAnsi="Arial Narrow"/>
              </w:rPr>
            </w:pPr>
            <w:r>
              <w:rPr>
                <w:rFonts w:ascii="Arial Narrow" w:eastAsia="Times New Roman" w:hAnsi="Arial Narrow"/>
              </w:rPr>
              <w:t>Since the Department recorded an underspending of R15 824 000.00</w:t>
            </w:r>
            <w:r w:rsidR="00333889">
              <w:rPr>
                <w:rFonts w:ascii="Arial Narrow" w:eastAsia="Times New Roman" w:hAnsi="Arial Narrow"/>
              </w:rPr>
              <w:t xml:space="preserve"> in the quarter under review</w:t>
            </w:r>
            <w:r>
              <w:rPr>
                <w:rFonts w:ascii="Arial Narrow" w:eastAsia="Times New Roman" w:hAnsi="Arial Narrow"/>
              </w:rPr>
              <w:t xml:space="preserve">, </w:t>
            </w:r>
            <w:r w:rsidR="00333889">
              <w:rPr>
                <w:rFonts w:ascii="Arial Narrow" w:eastAsia="Times New Roman" w:hAnsi="Arial Narrow"/>
              </w:rPr>
              <w:t>the</w:t>
            </w:r>
            <w:r>
              <w:rPr>
                <w:rFonts w:ascii="Arial Narrow" w:eastAsia="Times New Roman" w:hAnsi="Arial Narrow"/>
              </w:rPr>
              <w:t xml:space="preserve"> amount should have been redirected to fund the bursaries for</w:t>
            </w:r>
            <w:r w:rsidR="00333889">
              <w:rPr>
                <w:rFonts w:ascii="Arial Narrow" w:eastAsia="Times New Roman" w:hAnsi="Arial Narrow"/>
              </w:rPr>
              <w:t xml:space="preserve"> the</w:t>
            </w:r>
            <w:r>
              <w:rPr>
                <w:rFonts w:ascii="Arial Narrow" w:eastAsia="Times New Roman" w:hAnsi="Arial Narrow"/>
              </w:rPr>
              <w:t xml:space="preserve"> learners with disabilities.</w:t>
            </w:r>
          </w:p>
        </w:tc>
        <w:tc>
          <w:tcPr>
            <w:tcW w:w="3260" w:type="dxa"/>
          </w:tcPr>
          <w:p w14:paraId="4D063C6D" w14:textId="608B721D" w:rsidR="00E661FE" w:rsidRPr="006C3E18" w:rsidRDefault="00E661FE" w:rsidP="00E661FE">
            <w:pPr>
              <w:spacing w:line="276" w:lineRule="auto"/>
              <w:rPr>
                <w:rFonts w:ascii="Arial Narrow" w:hAnsi="Arial Narrow"/>
              </w:rPr>
            </w:pPr>
            <w:r w:rsidRPr="006C3E18">
              <w:rPr>
                <w:rFonts w:ascii="Arial Narrow" w:hAnsi="Arial Narrow"/>
              </w:rPr>
              <w:t>Written Response should be forwarded to the GPL on the resolution as adopted by the House</w:t>
            </w:r>
          </w:p>
        </w:tc>
        <w:tc>
          <w:tcPr>
            <w:tcW w:w="1436" w:type="dxa"/>
          </w:tcPr>
          <w:p w14:paraId="0348ECD4" w14:textId="76DCE009" w:rsidR="00E661FE" w:rsidRPr="006C3E18" w:rsidRDefault="002547BE" w:rsidP="00E661FE">
            <w:pPr>
              <w:spacing w:line="276" w:lineRule="auto"/>
              <w:rPr>
                <w:rFonts w:ascii="Arial Narrow" w:hAnsi="Arial Narrow"/>
              </w:rPr>
            </w:pPr>
            <w:r>
              <w:rPr>
                <w:rFonts w:ascii="Arial Narrow" w:hAnsi="Arial Narrow"/>
              </w:rPr>
              <w:t>29</w:t>
            </w:r>
            <w:r w:rsidR="00E661FE" w:rsidRPr="006C3E18">
              <w:rPr>
                <w:rFonts w:ascii="Arial Narrow" w:hAnsi="Arial Narrow"/>
              </w:rPr>
              <w:t>/07/202</w:t>
            </w:r>
            <w:r>
              <w:rPr>
                <w:rFonts w:ascii="Arial Narrow" w:hAnsi="Arial Narrow"/>
              </w:rPr>
              <w:t>2</w:t>
            </w:r>
          </w:p>
        </w:tc>
      </w:tr>
      <w:tr w:rsidR="00E661FE" w:rsidRPr="006C3E18" w14:paraId="4EB22A63" w14:textId="77777777" w:rsidTr="004531D4">
        <w:tc>
          <w:tcPr>
            <w:tcW w:w="1980" w:type="dxa"/>
          </w:tcPr>
          <w:p w14:paraId="7DA3AA00" w14:textId="7429B3AD" w:rsidR="00E661FE" w:rsidRPr="006C3E18" w:rsidRDefault="00E92273" w:rsidP="00E661FE">
            <w:pPr>
              <w:spacing w:line="276" w:lineRule="auto"/>
              <w:rPr>
                <w:rFonts w:ascii="Arial Narrow" w:hAnsi="Arial Narrow"/>
                <w:bCs/>
              </w:rPr>
            </w:pPr>
            <w:r>
              <w:rPr>
                <w:rFonts w:ascii="Arial Narrow" w:hAnsi="Arial Narrow"/>
                <w:bCs/>
              </w:rPr>
              <w:t>CoG</w:t>
            </w:r>
            <w:r w:rsidR="00E661FE" w:rsidRPr="006C3E18">
              <w:rPr>
                <w:rFonts w:ascii="Arial Narrow" w:hAnsi="Arial Narrow"/>
                <w:bCs/>
              </w:rPr>
              <w:t>/Q4PR/ 005</w:t>
            </w:r>
          </w:p>
        </w:tc>
        <w:tc>
          <w:tcPr>
            <w:tcW w:w="6946" w:type="dxa"/>
          </w:tcPr>
          <w:p w14:paraId="0ABDB41F" w14:textId="2FB3D5BB" w:rsidR="00E661FE" w:rsidRPr="006C3E18" w:rsidRDefault="008C2C6C" w:rsidP="00E661FE">
            <w:pPr>
              <w:spacing w:line="276" w:lineRule="auto"/>
              <w:rPr>
                <w:rFonts w:ascii="Arial Narrow" w:hAnsi="Arial Narrow"/>
              </w:rPr>
            </w:pPr>
            <w:r>
              <w:rPr>
                <w:rFonts w:ascii="Arial Narrow" w:eastAsia="Times New Roman" w:hAnsi="Arial Narrow"/>
                <w:lang w:val="en-US"/>
              </w:rPr>
              <w:t>The Department should consider undertaking one study per financial year</w:t>
            </w:r>
            <w:r>
              <w:t xml:space="preserve"> </w:t>
            </w:r>
            <w:r w:rsidRPr="008C2C6C">
              <w:rPr>
                <w:rFonts w:ascii="Arial Narrow" w:eastAsia="Times New Roman" w:hAnsi="Arial Narrow"/>
                <w:lang w:val="en-US"/>
              </w:rPr>
              <w:t>on key local government policy</w:t>
            </w:r>
            <w:r>
              <w:rPr>
                <w:rFonts w:ascii="Arial Narrow" w:eastAsia="Times New Roman" w:hAnsi="Arial Narrow"/>
                <w:lang w:val="en-US"/>
              </w:rPr>
              <w:t xml:space="preserve">, </w:t>
            </w:r>
            <w:r w:rsidR="00333889">
              <w:rPr>
                <w:rFonts w:ascii="Arial Narrow" w:eastAsia="Times New Roman" w:hAnsi="Arial Narrow"/>
                <w:lang w:val="en-US"/>
              </w:rPr>
              <w:t>as there is a</w:t>
            </w:r>
            <w:r>
              <w:rPr>
                <w:rFonts w:ascii="Arial Narrow" w:eastAsia="Times New Roman" w:hAnsi="Arial Narrow"/>
                <w:lang w:val="en-US"/>
              </w:rPr>
              <w:t xml:space="preserve"> significant need of exploring local government dynamics and its complexity.</w:t>
            </w:r>
            <w:r w:rsidR="00BA7322" w:rsidRPr="00BA7322">
              <w:rPr>
                <w:rFonts w:ascii="Arial Narrow" w:eastAsia="Times New Roman" w:hAnsi="Arial Narrow"/>
                <w:lang w:val="en-US"/>
              </w:rPr>
              <w:t xml:space="preserve">  </w:t>
            </w:r>
          </w:p>
        </w:tc>
        <w:tc>
          <w:tcPr>
            <w:tcW w:w="3260" w:type="dxa"/>
          </w:tcPr>
          <w:p w14:paraId="2AB3AEF4" w14:textId="60A5B03A" w:rsidR="00E661FE" w:rsidRPr="006C3E18" w:rsidRDefault="00E661FE" w:rsidP="00E661FE">
            <w:pPr>
              <w:spacing w:line="276" w:lineRule="auto"/>
              <w:rPr>
                <w:rFonts w:ascii="Arial Narrow" w:hAnsi="Arial Narrow"/>
              </w:rPr>
            </w:pPr>
            <w:r w:rsidRPr="006C3E18">
              <w:rPr>
                <w:rFonts w:ascii="Arial Narrow" w:hAnsi="Arial Narrow"/>
              </w:rPr>
              <w:t>Written Response should be forwarded to the GPL on the resolution as adopted by the House</w:t>
            </w:r>
          </w:p>
        </w:tc>
        <w:tc>
          <w:tcPr>
            <w:tcW w:w="1436" w:type="dxa"/>
          </w:tcPr>
          <w:p w14:paraId="4A4B8821" w14:textId="71C3639D" w:rsidR="00E661FE" w:rsidRPr="006C3E18" w:rsidRDefault="002547BE" w:rsidP="00E661FE">
            <w:pPr>
              <w:spacing w:line="276" w:lineRule="auto"/>
              <w:rPr>
                <w:rFonts w:ascii="Arial Narrow" w:hAnsi="Arial Narrow"/>
              </w:rPr>
            </w:pPr>
            <w:r>
              <w:rPr>
                <w:rFonts w:ascii="Arial Narrow" w:hAnsi="Arial Narrow"/>
              </w:rPr>
              <w:t>29</w:t>
            </w:r>
            <w:r w:rsidR="00E661FE" w:rsidRPr="006C3E18">
              <w:rPr>
                <w:rFonts w:ascii="Arial Narrow" w:hAnsi="Arial Narrow"/>
              </w:rPr>
              <w:t>/07/202</w:t>
            </w:r>
            <w:r>
              <w:rPr>
                <w:rFonts w:ascii="Arial Narrow" w:hAnsi="Arial Narrow"/>
              </w:rPr>
              <w:t>2</w:t>
            </w:r>
          </w:p>
        </w:tc>
      </w:tr>
      <w:tr w:rsidR="002205B0" w:rsidRPr="006C3E18" w14:paraId="2DCD7EFB" w14:textId="77777777" w:rsidTr="00615AF4">
        <w:tc>
          <w:tcPr>
            <w:tcW w:w="13622" w:type="dxa"/>
            <w:gridSpan w:val="4"/>
            <w:shd w:val="clear" w:color="auto" w:fill="F2F2F2" w:themeFill="background1" w:themeFillShade="F2"/>
          </w:tcPr>
          <w:p w14:paraId="6FDA892D" w14:textId="77777777" w:rsidR="002205B0" w:rsidRPr="006C3E18" w:rsidRDefault="002205B0" w:rsidP="000F7DFB">
            <w:pPr>
              <w:rPr>
                <w:rFonts w:ascii="Arial Narrow" w:hAnsi="Arial Narrow"/>
              </w:rPr>
            </w:pPr>
          </w:p>
        </w:tc>
      </w:tr>
      <w:tr w:rsidR="002205B0" w:rsidRPr="006C3E18" w14:paraId="10E32D69" w14:textId="77777777" w:rsidTr="00615AF4">
        <w:tc>
          <w:tcPr>
            <w:tcW w:w="13622" w:type="dxa"/>
            <w:gridSpan w:val="4"/>
            <w:shd w:val="clear" w:color="auto" w:fill="F2DBDB" w:themeFill="accent2" w:themeFillTint="33"/>
          </w:tcPr>
          <w:p w14:paraId="3F8D31EF" w14:textId="77777777" w:rsidR="002205B0" w:rsidRPr="006C3E18" w:rsidRDefault="002205B0" w:rsidP="000F7DFB">
            <w:pPr>
              <w:rPr>
                <w:rFonts w:ascii="Arial Narrow" w:hAnsi="Arial Narrow"/>
                <w:b/>
                <w:bCs/>
              </w:rPr>
            </w:pPr>
            <w:r w:rsidRPr="006C3E18">
              <w:rPr>
                <w:rFonts w:ascii="Arial Narrow" w:hAnsi="Arial Narrow"/>
                <w:b/>
                <w:bCs/>
              </w:rPr>
              <w:t>Explanatory note on the reference numbers for Recommendations (ultimately Resolutions)</w:t>
            </w:r>
          </w:p>
          <w:p w14:paraId="26C173FE" w14:textId="7D2A47DC" w:rsidR="002205B0" w:rsidRPr="006C3E18" w:rsidRDefault="002205B0" w:rsidP="00E775B8">
            <w:pPr>
              <w:pStyle w:val="ListParagraph"/>
              <w:numPr>
                <w:ilvl w:val="0"/>
                <w:numId w:val="4"/>
              </w:numPr>
              <w:rPr>
                <w:rFonts w:ascii="Arial Narrow" w:eastAsiaTheme="minorEastAsia" w:hAnsi="Arial Narrow"/>
              </w:rPr>
            </w:pPr>
            <w:r w:rsidRPr="006C3E18">
              <w:rPr>
                <w:rFonts w:ascii="Arial Narrow" w:eastAsiaTheme="minorEastAsia" w:hAnsi="Arial Narrow"/>
              </w:rPr>
              <w:t xml:space="preserve">Reference number is in the </w:t>
            </w:r>
            <w:r w:rsidR="00141B32" w:rsidRPr="006C3E18">
              <w:rPr>
                <w:rFonts w:ascii="Arial Narrow" w:eastAsiaTheme="minorEastAsia" w:hAnsi="Arial Narrow"/>
              </w:rPr>
              <w:t>format:</w:t>
            </w:r>
            <w:r w:rsidRPr="006C3E18">
              <w:rPr>
                <w:rFonts w:ascii="Arial Narrow" w:eastAsiaTheme="minorEastAsia" w:hAnsi="Arial Narrow"/>
              </w:rPr>
              <w:t xml:space="preserve"> [A] / [B] / [C]</w:t>
            </w:r>
          </w:p>
          <w:p w14:paraId="668BACC4" w14:textId="48E30EC8" w:rsidR="002205B0" w:rsidRPr="006C3E18" w:rsidRDefault="002205B0" w:rsidP="00E775B8">
            <w:pPr>
              <w:pStyle w:val="ListParagraph"/>
              <w:numPr>
                <w:ilvl w:val="0"/>
                <w:numId w:val="4"/>
              </w:numPr>
              <w:rPr>
                <w:rFonts w:ascii="Arial Narrow" w:eastAsiaTheme="minorEastAsia" w:hAnsi="Arial Narrow"/>
              </w:rPr>
            </w:pPr>
            <w:r w:rsidRPr="006C3E18">
              <w:rPr>
                <w:rFonts w:ascii="Arial Narrow" w:eastAsiaTheme="minorEastAsia" w:hAnsi="Arial Narrow"/>
              </w:rPr>
              <w:t xml:space="preserve">[A] = The 3 letter Committee identifier. </w:t>
            </w:r>
            <w:r w:rsidR="00141B32">
              <w:rPr>
                <w:rFonts w:ascii="Arial Narrow" w:eastAsiaTheme="minorEastAsia" w:hAnsi="Arial Narrow"/>
              </w:rPr>
              <w:t>e</w:t>
            </w:r>
            <w:r w:rsidR="00141B32" w:rsidRPr="006C3E18">
              <w:rPr>
                <w:rFonts w:ascii="Arial Narrow" w:eastAsiaTheme="minorEastAsia" w:hAnsi="Arial Narrow"/>
              </w:rPr>
              <w:t>.g.,</w:t>
            </w:r>
            <w:r w:rsidRPr="006C3E18">
              <w:rPr>
                <w:rFonts w:ascii="Arial Narrow" w:eastAsiaTheme="minorEastAsia" w:hAnsi="Arial Narrow"/>
              </w:rPr>
              <w:t xml:space="preserve"> COGTA/HS can be “CHS”, SRAC can be “SRA”</w:t>
            </w:r>
          </w:p>
          <w:p w14:paraId="176FBEB6" w14:textId="5E47BB06" w:rsidR="002205B0" w:rsidRPr="006C3E18" w:rsidRDefault="002205B0" w:rsidP="00E775B8">
            <w:pPr>
              <w:pStyle w:val="ListParagraph"/>
              <w:numPr>
                <w:ilvl w:val="0"/>
                <w:numId w:val="4"/>
              </w:numPr>
              <w:rPr>
                <w:rFonts w:ascii="Arial Narrow" w:eastAsiaTheme="minorEastAsia" w:hAnsi="Arial Narrow"/>
              </w:rPr>
            </w:pPr>
            <w:r w:rsidRPr="006C3E18">
              <w:rPr>
                <w:rFonts w:ascii="Arial Narrow" w:eastAsiaTheme="minorEastAsia" w:hAnsi="Arial Narrow"/>
              </w:rPr>
              <w:t xml:space="preserve">[B] = The </w:t>
            </w:r>
            <w:r w:rsidR="00800373" w:rsidRPr="006C3E18">
              <w:rPr>
                <w:rFonts w:ascii="Arial Narrow" w:eastAsiaTheme="minorEastAsia" w:hAnsi="Arial Narrow"/>
              </w:rPr>
              <w:t>4-digit</w:t>
            </w:r>
            <w:r w:rsidRPr="006C3E18">
              <w:rPr>
                <w:rFonts w:ascii="Arial Narrow" w:eastAsiaTheme="minorEastAsia" w:hAnsi="Arial Narrow"/>
              </w:rPr>
              <w:t xml:space="preserve"> identifier for the SOM Imperative [</w:t>
            </w:r>
            <w:r w:rsidR="00141B32" w:rsidRPr="006C3E18">
              <w:rPr>
                <w:rFonts w:ascii="Arial Narrow" w:eastAsiaTheme="minorEastAsia" w:hAnsi="Arial Narrow"/>
              </w:rPr>
              <w:t>e.g.,</w:t>
            </w:r>
            <w:r w:rsidRPr="006C3E18">
              <w:rPr>
                <w:rFonts w:ascii="Arial Narrow" w:eastAsiaTheme="minorEastAsia" w:hAnsi="Arial Narrow"/>
              </w:rPr>
              <w:t xml:space="preserve"> Q1PR or Q2PR or FIS1 or APR, or BV. In this case, since this is a Q-Report template, it will either be Q1PR or Q2PR or Q3PR or Q4PR]</w:t>
            </w:r>
          </w:p>
          <w:p w14:paraId="34F407FC" w14:textId="1C65AC4D" w:rsidR="002205B0" w:rsidRPr="006C3E18" w:rsidRDefault="002205B0" w:rsidP="00E775B8">
            <w:pPr>
              <w:pStyle w:val="ListParagraph"/>
              <w:numPr>
                <w:ilvl w:val="0"/>
                <w:numId w:val="4"/>
              </w:numPr>
              <w:rPr>
                <w:rFonts w:ascii="Arial Narrow" w:eastAsiaTheme="minorEastAsia" w:hAnsi="Arial Narrow"/>
              </w:rPr>
            </w:pPr>
            <w:r w:rsidRPr="006C3E18">
              <w:rPr>
                <w:rFonts w:ascii="Arial Narrow" w:eastAsiaTheme="minorEastAsia" w:hAnsi="Arial Narrow"/>
              </w:rPr>
              <w:t xml:space="preserve">[C] = The </w:t>
            </w:r>
            <w:r w:rsidR="00800373" w:rsidRPr="006C3E18">
              <w:rPr>
                <w:rFonts w:ascii="Arial Narrow" w:eastAsiaTheme="minorEastAsia" w:hAnsi="Arial Narrow"/>
              </w:rPr>
              <w:t>3-digit</w:t>
            </w:r>
            <w:r w:rsidRPr="006C3E18">
              <w:rPr>
                <w:rFonts w:ascii="Arial Narrow" w:eastAsiaTheme="minorEastAsia" w:hAnsi="Arial Narrow"/>
              </w:rPr>
              <w:t xml:space="preserve"> number of the recommendation in this report [001,002,003 …, 00n]</w:t>
            </w:r>
          </w:p>
        </w:tc>
      </w:tr>
    </w:tbl>
    <w:p w14:paraId="056CBA80" w14:textId="452A18B2" w:rsidR="006F067F" w:rsidRPr="006C3E18" w:rsidRDefault="006F067F" w:rsidP="006F067F">
      <w:pPr>
        <w:pStyle w:val="Heading1"/>
        <w:shd w:val="clear" w:color="auto" w:fill="D9D9D9" w:themeFill="background1" w:themeFillShade="D9"/>
        <w:rPr>
          <w:rFonts w:ascii="Arial Narrow" w:hAnsi="Arial Narrow"/>
          <w:color w:val="auto"/>
          <w:sz w:val="22"/>
          <w:szCs w:val="22"/>
        </w:rPr>
      </w:pPr>
      <w:bookmarkStart w:id="27" w:name="_Toc50576924"/>
      <w:r w:rsidRPr="006C3E18">
        <w:rPr>
          <w:rFonts w:ascii="Arial Narrow" w:hAnsi="Arial Narrow"/>
          <w:color w:val="auto"/>
          <w:sz w:val="22"/>
          <w:szCs w:val="22"/>
        </w:rPr>
        <w:t>14</w:t>
      </w:r>
      <w:r w:rsidRPr="006C3E18">
        <w:rPr>
          <w:rFonts w:ascii="Arial Narrow" w:hAnsi="Arial Narrow"/>
          <w:color w:val="auto"/>
          <w:sz w:val="22"/>
          <w:szCs w:val="22"/>
        </w:rPr>
        <w:tab/>
        <w:t>ACKNOWLEDGEMENTS</w:t>
      </w:r>
      <w:bookmarkEnd w:id="27"/>
      <w:r w:rsidRPr="006C3E18">
        <w:rPr>
          <w:rFonts w:ascii="Arial Narrow" w:hAnsi="Arial Narrow"/>
          <w:color w:val="auto"/>
          <w:sz w:val="22"/>
          <w:szCs w:val="22"/>
        </w:rPr>
        <w:t xml:space="preserve"> </w:t>
      </w:r>
    </w:p>
    <w:p w14:paraId="4BBE49AB" w14:textId="28BB76A4" w:rsidR="0093042D" w:rsidRPr="006C3E18" w:rsidRDefault="0093042D" w:rsidP="0093042D">
      <w:pPr>
        <w:spacing w:after="120"/>
        <w:rPr>
          <w:rFonts w:ascii="Arial Narrow" w:eastAsia="Times New Roman" w:hAnsi="Arial Narrow" w:cs="Arial"/>
          <w:lang w:val="en-GB" w:eastAsia="x-none"/>
        </w:rPr>
      </w:pPr>
      <w:bookmarkStart w:id="28" w:name="_Toc50576925"/>
      <w:r w:rsidRPr="006C3E18">
        <w:rPr>
          <w:rFonts w:ascii="Arial Narrow" w:eastAsia="Times New Roman" w:hAnsi="Arial Narrow" w:cs="Arial"/>
          <w:lang w:val="en-GB" w:eastAsia="x-none"/>
        </w:rPr>
        <w:t>The</w:t>
      </w:r>
      <w:r w:rsidR="00924CDC">
        <w:rPr>
          <w:rFonts w:ascii="Arial Narrow" w:eastAsia="Times New Roman" w:hAnsi="Arial Narrow" w:cs="Arial"/>
          <w:lang w:val="en-GB" w:eastAsia="x-none"/>
        </w:rPr>
        <w:t xml:space="preserve"> </w:t>
      </w:r>
      <w:r w:rsidR="0097616E">
        <w:rPr>
          <w:rFonts w:ascii="Arial Narrow" w:eastAsia="Times New Roman" w:hAnsi="Arial Narrow" w:cs="Arial"/>
          <w:lang w:val="en-GB" w:eastAsia="x-none"/>
        </w:rPr>
        <w:t xml:space="preserve">Chairperson of </w:t>
      </w:r>
      <w:r w:rsidRPr="006C3E18">
        <w:rPr>
          <w:rFonts w:ascii="Arial Narrow" w:eastAsia="Times New Roman" w:hAnsi="Arial Narrow" w:cs="Arial"/>
          <w:lang w:val="en-GB" w:eastAsia="x-none"/>
        </w:rPr>
        <w:t>CoGTA and Human Settlements Portfolio Committee</w:t>
      </w:r>
      <w:r w:rsidR="00193682">
        <w:rPr>
          <w:rFonts w:ascii="Arial Narrow" w:eastAsia="Times New Roman" w:hAnsi="Arial Narrow" w:cs="Arial"/>
          <w:lang w:val="en-GB" w:eastAsia="x-none"/>
        </w:rPr>
        <w:t xml:space="preserve"> </w:t>
      </w:r>
      <w:r w:rsidR="0097616E">
        <w:rPr>
          <w:rFonts w:ascii="Arial Narrow" w:eastAsia="Times New Roman" w:hAnsi="Arial Narrow" w:cs="Arial"/>
          <w:lang w:val="en-GB" w:eastAsia="x-none"/>
        </w:rPr>
        <w:t>Hon. Kedibone Diale-Tlabela</w:t>
      </w:r>
      <w:r w:rsidRPr="006C3E18">
        <w:rPr>
          <w:rFonts w:ascii="Arial Narrow" w:eastAsia="Times New Roman" w:hAnsi="Arial Narrow" w:cs="Arial"/>
          <w:lang w:val="en-GB" w:eastAsia="x-none"/>
        </w:rPr>
        <w:t xml:space="preserve"> wishes to thank the MEC for CoGTA and Human Settlements, Mr. L Maile, the</w:t>
      </w:r>
      <w:r w:rsidR="0097616E">
        <w:rPr>
          <w:rFonts w:ascii="Arial Narrow" w:eastAsia="Times New Roman" w:hAnsi="Arial Narrow" w:cs="Arial"/>
          <w:lang w:val="en-GB" w:eastAsia="x-none"/>
        </w:rPr>
        <w:t xml:space="preserve"> Acting</w:t>
      </w:r>
      <w:r w:rsidRPr="006C3E18">
        <w:rPr>
          <w:rFonts w:ascii="Arial Narrow" w:eastAsia="Times New Roman" w:hAnsi="Arial Narrow" w:cs="Arial"/>
          <w:lang w:val="en-GB" w:eastAsia="x-none"/>
        </w:rPr>
        <w:t xml:space="preserve"> Head of Department, </w:t>
      </w:r>
      <w:r w:rsidR="005F7BDE">
        <w:rPr>
          <w:rFonts w:ascii="Arial Narrow" w:eastAsia="Times New Roman" w:hAnsi="Arial Narrow" w:cs="Arial"/>
          <w:lang w:val="en-GB" w:eastAsia="x-none"/>
        </w:rPr>
        <w:t>M</w:t>
      </w:r>
      <w:r w:rsidR="00FF2F23">
        <w:rPr>
          <w:rFonts w:ascii="Arial Narrow" w:eastAsia="Times New Roman" w:hAnsi="Arial Narrow" w:cs="Arial"/>
          <w:lang w:val="en-GB" w:eastAsia="x-none"/>
        </w:rPr>
        <w:t>s</w:t>
      </w:r>
      <w:r w:rsidR="005F7BDE">
        <w:rPr>
          <w:rFonts w:ascii="Arial Narrow" w:eastAsia="Times New Roman" w:hAnsi="Arial Narrow" w:cs="Arial"/>
          <w:lang w:val="en-GB" w:eastAsia="x-none"/>
        </w:rPr>
        <w:t xml:space="preserve">. </w:t>
      </w:r>
      <w:r w:rsidR="0097616E">
        <w:rPr>
          <w:rFonts w:ascii="Arial Narrow" w:eastAsia="Times New Roman" w:hAnsi="Arial Narrow" w:cs="Arial"/>
          <w:lang w:val="en-GB" w:eastAsia="x-none"/>
        </w:rPr>
        <w:t>I Mokate</w:t>
      </w:r>
      <w:r w:rsidR="00BB243F">
        <w:rPr>
          <w:rFonts w:ascii="Arial Narrow" w:eastAsia="Times New Roman" w:hAnsi="Arial Narrow" w:cs="Arial"/>
          <w:lang w:val="en-GB" w:eastAsia="x-none"/>
        </w:rPr>
        <w:t xml:space="preserve"> </w:t>
      </w:r>
      <w:r w:rsidRPr="006C3E18">
        <w:rPr>
          <w:rFonts w:ascii="Arial Narrow" w:eastAsia="Times New Roman" w:hAnsi="Arial Narrow" w:cs="Arial"/>
          <w:lang w:val="en-GB" w:eastAsia="x-none"/>
        </w:rPr>
        <w:t xml:space="preserve"> and her team. </w:t>
      </w:r>
    </w:p>
    <w:p w14:paraId="5E1D0507" w14:textId="77777777" w:rsidR="0093042D" w:rsidRPr="006C3E18" w:rsidRDefault="0093042D" w:rsidP="0093042D">
      <w:pPr>
        <w:jc w:val="lowKashida"/>
        <w:rPr>
          <w:rFonts w:ascii="Arial Narrow" w:eastAsia="Calibri" w:hAnsi="Arial Narrow" w:cs="Arial"/>
        </w:rPr>
      </w:pPr>
      <w:r w:rsidRPr="006C3E18">
        <w:rPr>
          <w:rFonts w:ascii="Arial Narrow" w:eastAsia="Calibri" w:hAnsi="Arial Narrow" w:cs="Arial"/>
        </w:rPr>
        <w:lastRenderedPageBreak/>
        <w:t>The Chairperson further wishes to acknowledge and express her gratitude to the Honourable Members of the Portfolio Committee on CoGTA and Human Settlements Ms B Mncube; Mr G Schneemann;  Mr P Malema; Mr M Cirota; Mr S Msimanga; Mr B. Dhlamini; Ms K Tong; Mr M Ledwaba; Mr D Adams; and Ms A De Lange.</w:t>
      </w:r>
    </w:p>
    <w:p w14:paraId="0EA5DB2B" w14:textId="5FBFC2AD" w:rsidR="0093042D" w:rsidRPr="006C3E18" w:rsidRDefault="0093042D" w:rsidP="0093042D">
      <w:pPr>
        <w:jc w:val="lowKashida"/>
        <w:rPr>
          <w:rFonts w:ascii="Arial Narrow" w:eastAsia="Calibri" w:hAnsi="Arial Narrow" w:cs="Arial"/>
        </w:rPr>
      </w:pPr>
      <w:r w:rsidRPr="006C3E18">
        <w:rPr>
          <w:rFonts w:ascii="Arial Narrow" w:eastAsia="Calibri" w:hAnsi="Arial Narrow" w:cs="Arial"/>
        </w:rPr>
        <w:t xml:space="preserve">Furthermore, the Portfolio Committee would like to express appreciation for the contribution of the following support staff members: Group Committee Coordinator Ms. Z Pantshwa-Mbalo; Senior Researcher Ms. S Nenweli, Committee Researcher Ms. A Gwebani, Senior Committee Coordinator Ms. J. </w:t>
      </w:r>
      <w:r w:rsidR="00BB243F">
        <w:rPr>
          <w:rFonts w:ascii="Arial Narrow" w:eastAsia="Calibri" w:hAnsi="Arial Narrow" w:cs="Arial"/>
        </w:rPr>
        <w:t>Nyembe</w:t>
      </w:r>
      <w:r w:rsidRPr="006C3E18">
        <w:rPr>
          <w:rFonts w:ascii="Arial Narrow" w:eastAsia="Calibri" w:hAnsi="Arial Narrow" w:cs="Arial"/>
        </w:rPr>
        <w:t xml:space="preserve">; Committee Administrator, Ms N. </w:t>
      </w:r>
      <w:r w:rsidR="008B3566">
        <w:rPr>
          <w:rFonts w:ascii="Arial Narrow" w:eastAsia="Calibri" w:hAnsi="Arial Narrow" w:cs="Arial"/>
        </w:rPr>
        <w:t>Mthembu</w:t>
      </w:r>
      <w:r w:rsidRPr="006C3E18">
        <w:rPr>
          <w:rFonts w:ascii="Arial Narrow" w:eastAsia="Calibri" w:hAnsi="Arial Narrow" w:cs="Arial"/>
        </w:rPr>
        <w:t xml:space="preserve">; Service Officer, Ms C. Mnethwa; Hansard Recorder, Mr. N </w:t>
      </w:r>
      <w:r w:rsidR="008B3566" w:rsidRPr="006C3E18">
        <w:rPr>
          <w:rFonts w:ascii="Arial Narrow" w:eastAsia="Calibri" w:hAnsi="Arial Narrow" w:cs="Arial"/>
        </w:rPr>
        <w:t>Mbonane</w:t>
      </w:r>
      <w:r w:rsidRPr="006C3E18">
        <w:rPr>
          <w:rFonts w:ascii="Arial Narrow" w:eastAsia="Calibri" w:hAnsi="Arial Narrow" w:cs="Arial"/>
        </w:rPr>
        <w:t>; Senior Information officer, Mr Lebogang Ncume; and Media Officer; Ms. P</w:t>
      </w:r>
      <w:r w:rsidRPr="006C3E18">
        <w:rPr>
          <w:rFonts w:ascii="Calibri" w:eastAsia="Calibri" w:hAnsi="Calibri" w:cs="Times New Roman"/>
        </w:rPr>
        <w:t xml:space="preserve"> </w:t>
      </w:r>
      <w:r w:rsidRPr="006C3E18">
        <w:rPr>
          <w:rFonts w:ascii="Arial Narrow" w:eastAsia="Calibri" w:hAnsi="Arial Narrow" w:cs="Arial"/>
        </w:rPr>
        <w:t xml:space="preserve">Bulasigobo for their dedication and commitment. </w:t>
      </w:r>
    </w:p>
    <w:p w14:paraId="0A12C6AD" w14:textId="250DD80C" w:rsidR="006F067F" w:rsidRPr="006C3E18" w:rsidRDefault="006F067F" w:rsidP="00400374">
      <w:pPr>
        <w:pStyle w:val="Heading1"/>
        <w:shd w:val="clear" w:color="auto" w:fill="D9D9D9" w:themeFill="background1" w:themeFillShade="D9"/>
        <w:spacing w:line="276" w:lineRule="auto"/>
        <w:rPr>
          <w:rFonts w:ascii="Arial Narrow" w:hAnsi="Arial Narrow"/>
          <w:color w:val="auto"/>
          <w:sz w:val="22"/>
          <w:szCs w:val="22"/>
        </w:rPr>
      </w:pPr>
      <w:r w:rsidRPr="006C3E18">
        <w:rPr>
          <w:rFonts w:ascii="Arial Narrow" w:hAnsi="Arial Narrow"/>
          <w:color w:val="auto"/>
          <w:sz w:val="22"/>
          <w:szCs w:val="22"/>
        </w:rPr>
        <w:t>15</w:t>
      </w:r>
      <w:r w:rsidRPr="006C3E18">
        <w:rPr>
          <w:rFonts w:ascii="Arial Narrow" w:hAnsi="Arial Narrow"/>
          <w:color w:val="auto"/>
          <w:sz w:val="22"/>
          <w:szCs w:val="22"/>
        </w:rPr>
        <w:tab/>
        <w:t>ADOPTION</w:t>
      </w:r>
      <w:bookmarkEnd w:id="28"/>
    </w:p>
    <w:p w14:paraId="1C95D21B" w14:textId="0341CE46" w:rsidR="006422E5" w:rsidRPr="006C3E18" w:rsidRDefault="006422E5" w:rsidP="007C4FF9">
      <w:pPr>
        <w:spacing w:after="200"/>
        <w:jc w:val="left"/>
        <w:rPr>
          <w:rFonts w:ascii="Arial Narrow" w:hAnsi="Arial Narrow"/>
          <w:b/>
          <w:bCs/>
        </w:rPr>
      </w:pPr>
      <w:r w:rsidRPr="006C3E18">
        <w:rPr>
          <w:rFonts w:ascii="Arial Narrow" w:hAnsi="Arial Narrow"/>
        </w:rPr>
        <w:t xml:space="preserve">In terms of Rule 117 (2)(c) read together with 164, the </w:t>
      </w:r>
      <w:r w:rsidR="0093042D" w:rsidRPr="006C3E18">
        <w:rPr>
          <w:rFonts w:ascii="Arial Narrow" w:hAnsi="Arial Narrow"/>
        </w:rPr>
        <w:t xml:space="preserve">CoGTA and Human Settlements </w:t>
      </w:r>
      <w:r w:rsidRPr="006C3E18">
        <w:rPr>
          <w:rFonts w:ascii="Arial Narrow" w:hAnsi="Arial Narrow"/>
        </w:rPr>
        <w:t xml:space="preserve">Portfolio Committee presents the Oversight Report on the </w:t>
      </w:r>
      <w:r w:rsidR="0093042D" w:rsidRPr="006C3E18">
        <w:rPr>
          <w:rFonts w:ascii="Arial Narrow" w:hAnsi="Arial Narrow"/>
        </w:rPr>
        <w:t>4</w:t>
      </w:r>
      <w:r w:rsidR="0093042D" w:rsidRPr="006C3E18">
        <w:rPr>
          <w:rFonts w:ascii="Arial Narrow" w:hAnsi="Arial Narrow"/>
          <w:vertAlign w:val="superscript"/>
        </w:rPr>
        <w:t>th</w:t>
      </w:r>
      <w:r w:rsidR="0093042D" w:rsidRPr="006C3E18">
        <w:rPr>
          <w:rFonts w:ascii="Arial Narrow" w:hAnsi="Arial Narrow"/>
        </w:rPr>
        <w:t xml:space="preserve"> </w:t>
      </w:r>
      <w:r w:rsidRPr="006C3E18">
        <w:rPr>
          <w:rFonts w:ascii="Arial Narrow" w:hAnsi="Arial Narrow"/>
        </w:rPr>
        <w:t xml:space="preserve">Quarterly Performance Report of the Gauteng Department of </w:t>
      </w:r>
      <w:r w:rsidR="00D112BC">
        <w:rPr>
          <w:rFonts w:ascii="Arial Narrow" w:hAnsi="Arial Narrow"/>
        </w:rPr>
        <w:t>CoGTA</w:t>
      </w:r>
      <w:r w:rsidR="0093042D" w:rsidRPr="006C3E18">
        <w:rPr>
          <w:rFonts w:ascii="Arial Narrow" w:hAnsi="Arial Narrow"/>
        </w:rPr>
        <w:t xml:space="preserve"> </w:t>
      </w:r>
      <w:r w:rsidRPr="006C3E18">
        <w:rPr>
          <w:rFonts w:ascii="Arial Narrow" w:hAnsi="Arial Narrow"/>
        </w:rPr>
        <w:t>for the 202</w:t>
      </w:r>
      <w:r w:rsidR="0097616E">
        <w:rPr>
          <w:rFonts w:ascii="Arial Narrow" w:hAnsi="Arial Narrow"/>
        </w:rPr>
        <w:t>1</w:t>
      </w:r>
      <w:r w:rsidRPr="006C3E18">
        <w:rPr>
          <w:rFonts w:ascii="Arial Narrow" w:hAnsi="Arial Narrow"/>
        </w:rPr>
        <w:t>/2</w:t>
      </w:r>
      <w:r w:rsidR="0097616E">
        <w:rPr>
          <w:rFonts w:ascii="Arial Narrow" w:hAnsi="Arial Narrow"/>
        </w:rPr>
        <w:t>2</w:t>
      </w:r>
      <w:r w:rsidRPr="006C3E18">
        <w:rPr>
          <w:rFonts w:ascii="Arial Narrow" w:hAnsi="Arial Narrow"/>
        </w:rPr>
        <w:t xml:space="preserve"> financial year and recommends its adoption. </w:t>
      </w:r>
    </w:p>
    <w:p w14:paraId="465E4291" w14:textId="07A5B2C8" w:rsidR="006422E5" w:rsidRPr="006C3E18" w:rsidRDefault="006422E5">
      <w:pPr>
        <w:spacing w:after="200" w:line="276" w:lineRule="auto"/>
        <w:jc w:val="left"/>
        <w:rPr>
          <w:rFonts w:ascii="Arial Narrow" w:hAnsi="Arial Narrow"/>
        </w:rPr>
      </w:pPr>
    </w:p>
    <w:p w14:paraId="7AC85707" w14:textId="72BFA678" w:rsidR="006422E5" w:rsidRPr="006C3E18" w:rsidRDefault="006422E5">
      <w:pPr>
        <w:spacing w:after="200" w:line="276" w:lineRule="auto"/>
        <w:jc w:val="left"/>
        <w:rPr>
          <w:rFonts w:ascii="Arial Narrow" w:hAnsi="Arial Narrow"/>
        </w:rPr>
      </w:pPr>
    </w:p>
    <w:p w14:paraId="3D623E68" w14:textId="77777777" w:rsidR="006422E5" w:rsidRPr="006C3E18" w:rsidRDefault="006422E5">
      <w:pPr>
        <w:spacing w:after="200" w:line="276" w:lineRule="auto"/>
        <w:jc w:val="left"/>
        <w:rPr>
          <w:rFonts w:ascii="Arial Narrow" w:hAnsi="Arial Narrow"/>
        </w:rPr>
      </w:pPr>
    </w:p>
    <w:sectPr w:rsidR="006422E5" w:rsidRPr="006C3E18" w:rsidSect="00527ABA">
      <w:footerReference w:type="default" r:id="rId11"/>
      <w:headerReference w:type="first" r:id="rId12"/>
      <w:pgSz w:w="16838" w:h="11906" w:orient="landscape"/>
      <w:pgMar w:top="851" w:right="1440" w:bottom="1276"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01ED8" w14:textId="77777777" w:rsidR="0097180E" w:rsidRDefault="0097180E" w:rsidP="00A409BC">
      <w:pPr>
        <w:spacing w:line="240" w:lineRule="auto"/>
      </w:pPr>
      <w:r>
        <w:separator/>
      </w:r>
    </w:p>
  </w:endnote>
  <w:endnote w:type="continuationSeparator" w:id="0">
    <w:p w14:paraId="69C606D1" w14:textId="77777777" w:rsidR="0097180E" w:rsidRDefault="0097180E"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7521170C" w:rsidR="005147DC" w:rsidRDefault="005147DC" w:rsidP="00C44CAC">
            <w:pPr>
              <w:pStyle w:val="Footer"/>
              <w:tabs>
                <w:tab w:val="left" w:pos="7685"/>
              </w:tabs>
              <w:jc w:val="left"/>
            </w:pPr>
            <w:r>
              <w:rPr>
                <w:rFonts w:ascii="Arial Narrow" w:hAnsi="Arial Narrow" w:cs="Times New Roman"/>
                <w:sz w:val="20"/>
                <w:szCs w:val="20"/>
              </w:rPr>
              <w:t>GPL Committee (oversight of CoGTA) Report to the House</w:t>
            </w:r>
            <w:r w:rsidRPr="00C27A28">
              <w:rPr>
                <w:rFonts w:ascii="Arial Narrow" w:hAnsi="Arial Narrow" w:cs="Times New Roman"/>
                <w:sz w:val="20"/>
                <w:szCs w:val="20"/>
              </w:rPr>
              <w:t>. Q</w:t>
            </w:r>
            <w:r>
              <w:rPr>
                <w:rFonts w:ascii="Arial Narrow" w:hAnsi="Arial Narrow" w:cs="Times New Roman"/>
                <w:sz w:val="20"/>
                <w:szCs w:val="20"/>
              </w:rPr>
              <w:t>4</w:t>
            </w:r>
            <w:r w:rsidRPr="00C27A28">
              <w:rPr>
                <w:rFonts w:ascii="Arial Narrow" w:hAnsi="Arial Narrow" w:cs="Times New Roman"/>
                <w:sz w:val="20"/>
                <w:szCs w:val="20"/>
              </w:rPr>
              <w:t>-Report</w:t>
            </w:r>
            <w:r>
              <w:rPr>
                <w:rFonts w:ascii="Arial Narrow" w:hAnsi="Arial Narrow" w:cs="Times New Roman"/>
                <w:sz w:val="20"/>
                <w:szCs w:val="20"/>
              </w:rPr>
              <w:t>-2021/22 FY</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5147DC" w:rsidRDefault="0051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CCB2A" w14:textId="77777777" w:rsidR="0097180E" w:rsidRDefault="0097180E" w:rsidP="00A409BC">
      <w:pPr>
        <w:spacing w:line="240" w:lineRule="auto"/>
      </w:pPr>
      <w:r>
        <w:separator/>
      </w:r>
    </w:p>
  </w:footnote>
  <w:footnote w:type="continuationSeparator" w:id="0">
    <w:p w14:paraId="3141E999" w14:textId="77777777" w:rsidR="0097180E" w:rsidRDefault="0097180E" w:rsidP="00A409BC">
      <w:pPr>
        <w:spacing w:line="240" w:lineRule="auto"/>
      </w:pPr>
      <w:r>
        <w:continuationSeparator/>
      </w:r>
    </w:p>
  </w:footnote>
  <w:footnote w:id="1">
    <w:p w14:paraId="601CF45E" w14:textId="77777777" w:rsidR="005147DC" w:rsidRDefault="005147DC" w:rsidP="00884288">
      <w:pPr>
        <w:pStyle w:val="FootnoteText"/>
        <w:rPr>
          <w:rFonts w:ascii="Calibri" w:hAnsi="Calibri" w:cs="Arial"/>
        </w:rPr>
      </w:pPr>
      <w:r>
        <w:rPr>
          <w:rStyle w:val="FootnoteReference"/>
        </w:rPr>
        <w:footnoteRef/>
      </w:r>
      <w:r>
        <w:t xml:space="preserve"> The Constitution of the Republic of South Africa. </w:t>
      </w:r>
    </w:p>
  </w:footnote>
  <w:footnote w:id="2">
    <w:p w14:paraId="3BDD7839" w14:textId="77777777" w:rsidR="005147DC" w:rsidRDefault="005147DC" w:rsidP="008D7C7F">
      <w:pPr>
        <w:pStyle w:val="FootnoteText"/>
        <w:rPr>
          <w:rFonts w:ascii="Arial" w:eastAsia="Calibri" w:hAnsi="Arial" w:cs="Arial"/>
          <w:sz w:val="16"/>
          <w:szCs w:val="16"/>
          <w:lang w:val="en-US"/>
        </w:rPr>
      </w:pPr>
      <w:r>
        <w:rPr>
          <w:rStyle w:val="FootnoteReference"/>
          <w:rFonts w:ascii="Arial" w:hAnsi="Arial"/>
          <w:sz w:val="16"/>
          <w:szCs w:val="16"/>
        </w:rPr>
        <w:footnoteRef/>
      </w:r>
      <w:r>
        <w:rPr>
          <w:rFonts w:ascii="Arial" w:hAnsi="Arial"/>
          <w:sz w:val="16"/>
          <w:szCs w:val="16"/>
        </w:rPr>
        <w:t xml:space="preserve"> </w:t>
      </w:r>
      <w:r>
        <w:rPr>
          <w:rFonts w:ascii="Arial" w:hAnsi="Arial"/>
          <w:sz w:val="16"/>
          <w:szCs w:val="16"/>
          <w:lang w:val="en-US"/>
        </w:rPr>
        <w:t xml:space="preserve">1) Powers and Functions- Draft study report developed 2) Feasibility study on the single tier system of local government- Draft study report developed and 3) Two webinars held on the powers and functions study to solicit comments.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5147DC" w:rsidRDefault="005147DC">
    <w:pPr>
      <w:pStyle w:val="Header"/>
    </w:pPr>
    <w:bookmarkStart w:id="29" w:name="_Toc480125572"/>
    <w:bookmarkStart w:id="30"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13"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5848"/>
    <w:multiLevelType w:val="hybridMultilevel"/>
    <w:tmpl w:val="D81A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20292"/>
    <w:multiLevelType w:val="hybridMultilevel"/>
    <w:tmpl w:val="9F4A53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B857B9"/>
    <w:multiLevelType w:val="hybridMultilevel"/>
    <w:tmpl w:val="5F1E78DC"/>
    <w:lvl w:ilvl="0" w:tplc="1C090001">
      <w:start w:val="1"/>
      <w:numFmt w:val="bullet"/>
      <w:lvlText w:val=""/>
      <w:lvlJc w:val="left"/>
      <w:pPr>
        <w:ind w:left="853" w:hanging="360"/>
      </w:pPr>
      <w:rPr>
        <w:rFonts w:ascii="Symbol" w:hAnsi="Symbol" w:hint="default"/>
      </w:rPr>
    </w:lvl>
    <w:lvl w:ilvl="1" w:tplc="1C090003">
      <w:start w:val="1"/>
      <w:numFmt w:val="bullet"/>
      <w:lvlText w:val="o"/>
      <w:lvlJc w:val="left"/>
      <w:pPr>
        <w:ind w:left="1573" w:hanging="360"/>
      </w:pPr>
      <w:rPr>
        <w:rFonts w:ascii="Courier New" w:hAnsi="Courier New" w:cs="Courier New" w:hint="default"/>
      </w:rPr>
    </w:lvl>
    <w:lvl w:ilvl="2" w:tplc="1C090005">
      <w:start w:val="1"/>
      <w:numFmt w:val="bullet"/>
      <w:lvlText w:val=""/>
      <w:lvlJc w:val="left"/>
      <w:pPr>
        <w:ind w:left="2293" w:hanging="360"/>
      </w:pPr>
      <w:rPr>
        <w:rFonts w:ascii="Wingdings" w:hAnsi="Wingdings" w:hint="default"/>
      </w:rPr>
    </w:lvl>
    <w:lvl w:ilvl="3" w:tplc="1C090001">
      <w:start w:val="1"/>
      <w:numFmt w:val="bullet"/>
      <w:lvlText w:val=""/>
      <w:lvlJc w:val="left"/>
      <w:pPr>
        <w:ind w:left="3013" w:hanging="360"/>
      </w:pPr>
      <w:rPr>
        <w:rFonts w:ascii="Symbol" w:hAnsi="Symbol" w:hint="default"/>
      </w:rPr>
    </w:lvl>
    <w:lvl w:ilvl="4" w:tplc="1C090003">
      <w:start w:val="1"/>
      <w:numFmt w:val="bullet"/>
      <w:lvlText w:val="o"/>
      <w:lvlJc w:val="left"/>
      <w:pPr>
        <w:ind w:left="3733" w:hanging="360"/>
      </w:pPr>
      <w:rPr>
        <w:rFonts w:ascii="Courier New" w:hAnsi="Courier New" w:cs="Courier New" w:hint="default"/>
      </w:rPr>
    </w:lvl>
    <w:lvl w:ilvl="5" w:tplc="1C090005">
      <w:start w:val="1"/>
      <w:numFmt w:val="bullet"/>
      <w:lvlText w:val=""/>
      <w:lvlJc w:val="left"/>
      <w:pPr>
        <w:ind w:left="4453" w:hanging="360"/>
      </w:pPr>
      <w:rPr>
        <w:rFonts w:ascii="Wingdings" w:hAnsi="Wingdings" w:hint="default"/>
      </w:rPr>
    </w:lvl>
    <w:lvl w:ilvl="6" w:tplc="1C090001">
      <w:start w:val="1"/>
      <w:numFmt w:val="bullet"/>
      <w:lvlText w:val=""/>
      <w:lvlJc w:val="left"/>
      <w:pPr>
        <w:ind w:left="5173" w:hanging="360"/>
      </w:pPr>
      <w:rPr>
        <w:rFonts w:ascii="Symbol" w:hAnsi="Symbol" w:hint="default"/>
      </w:rPr>
    </w:lvl>
    <w:lvl w:ilvl="7" w:tplc="1C090003">
      <w:start w:val="1"/>
      <w:numFmt w:val="bullet"/>
      <w:lvlText w:val="o"/>
      <w:lvlJc w:val="left"/>
      <w:pPr>
        <w:ind w:left="5893" w:hanging="360"/>
      </w:pPr>
      <w:rPr>
        <w:rFonts w:ascii="Courier New" w:hAnsi="Courier New" w:cs="Courier New" w:hint="default"/>
      </w:rPr>
    </w:lvl>
    <w:lvl w:ilvl="8" w:tplc="1C090005">
      <w:start w:val="1"/>
      <w:numFmt w:val="bullet"/>
      <w:lvlText w:val=""/>
      <w:lvlJc w:val="left"/>
      <w:pPr>
        <w:ind w:left="6613" w:hanging="360"/>
      </w:pPr>
      <w:rPr>
        <w:rFonts w:ascii="Wingdings" w:hAnsi="Wingdings" w:hint="default"/>
      </w:rPr>
    </w:lvl>
  </w:abstractNum>
  <w:abstractNum w:abstractNumId="3" w15:restartNumberingAfterBreak="0">
    <w:nsid w:val="172C2884"/>
    <w:multiLevelType w:val="hybridMultilevel"/>
    <w:tmpl w:val="FA60D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795035"/>
    <w:multiLevelType w:val="hybridMultilevel"/>
    <w:tmpl w:val="F38E22C6"/>
    <w:lvl w:ilvl="0" w:tplc="DD140C02">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AF27EA7"/>
    <w:multiLevelType w:val="hybridMultilevel"/>
    <w:tmpl w:val="378EAE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1815DD2"/>
    <w:multiLevelType w:val="hybridMultilevel"/>
    <w:tmpl w:val="F40E4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8D0BDC"/>
    <w:multiLevelType w:val="hybridMultilevel"/>
    <w:tmpl w:val="5E42714A"/>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38A42CA5"/>
    <w:multiLevelType w:val="multilevel"/>
    <w:tmpl w:val="6BA2A6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7356B6"/>
    <w:multiLevelType w:val="hybridMultilevel"/>
    <w:tmpl w:val="9162E7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8CD331A"/>
    <w:multiLevelType w:val="hybridMultilevel"/>
    <w:tmpl w:val="5B1CDC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A5148D7"/>
    <w:multiLevelType w:val="hybridMultilevel"/>
    <w:tmpl w:val="578C32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6E0076D"/>
    <w:multiLevelType w:val="hybridMultilevel"/>
    <w:tmpl w:val="00FC3B4A"/>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DD312EB"/>
    <w:multiLevelType w:val="hybridMultilevel"/>
    <w:tmpl w:val="0A0E2C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0F95E75"/>
    <w:multiLevelType w:val="hybridMultilevel"/>
    <w:tmpl w:val="085C18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2A750ED"/>
    <w:multiLevelType w:val="hybridMultilevel"/>
    <w:tmpl w:val="ABA0997E"/>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60C70B5"/>
    <w:multiLevelType w:val="hybridMultilevel"/>
    <w:tmpl w:val="2384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137E9"/>
    <w:multiLevelType w:val="multilevel"/>
    <w:tmpl w:val="B32AD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BF6C0F"/>
    <w:multiLevelType w:val="hybridMultilevel"/>
    <w:tmpl w:val="757C7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C1D4406"/>
    <w:multiLevelType w:val="multilevel"/>
    <w:tmpl w:val="84CCF2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E5A04FC"/>
    <w:multiLevelType w:val="hybridMultilevel"/>
    <w:tmpl w:val="759E8F8C"/>
    <w:lvl w:ilvl="0" w:tplc="1C090001">
      <w:start w:val="1"/>
      <w:numFmt w:val="bullet"/>
      <w:lvlText w:val=""/>
      <w:lvlJc w:val="left"/>
      <w:pPr>
        <w:tabs>
          <w:tab w:val="num" w:pos="0"/>
        </w:tabs>
        <w:ind w:left="0" w:hanging="360"/>
      </w:pPr>
      <w:rPr>
        <w:rFonts w:ascii="Symbol" w:hAnsi="Symbol" w:hint="default"/>
      </w:rPr>
    </w:lvl>
    <w:lvl w:ilvl="1" w:tplc="BAB6730A" w:tentative="1">
      <w:start w:val="1"/>
      <w:numFmt w:val="decimal"/>
      <w:lvlText w:val="%2."/>
      <w:lvlJc w:val="left"/>
      <w:pPr>
        <w:tabs>
          <w:tab w:val="num" w:pos="720"/>
        </w:tabs>
        <w:ind w:left="720" w:hanging="360"/>
      </w:pPr>
    </w:lvl>
    <w:lvl w:ilvl="2" w:tplc="BB4CD1A4" w:tentative="1">
      <w:start w:val="1"/>
      <w:numFmt w:val="decimal"/>
      <w:lvlText w:val="%3."/>
      <w:lvlJc w:val="left"/>
      <w:pPr>
        <w:tabs>
          <w:tab w:val="num" w:pos="1440"/>
        </w:tabs>
        <w:ind w:left="1440" w:hanging="360"/>
      </w:pPr>
    </w:lvl>
    <w:lvl w:ilvl="3" w:tplc="2FA4EDF8" w:tentative="1">
      <w:start w:val="1"/>
      <w:numFmt w:val="decimal"/>
      <w:lvlText w:val="%4."/>
      <w:lvlJc w:val="left"/>
      <w:pPr>
        <w:tabs>
          <w:tab w:val="num" w:pos="2160"/>
        </w:tabs>
        <w:ind w:left="2160" w:hanging="360"/>
      </w:pPr>
    </w:lvl>
    <w:lvl w:ilvl="4" w:tplc="007A8D26" w:tentative="1">
      <w:start w:val="1"/>
      <w:numFmt w:val="decimal"/>
      <w:lvlText w:val="%5."/>
      <w:lvlJc w:val="left"/>
      <w:pPr>
        <w:tabs>
          <w:tab w:val="num" w:pos="2880"/>
        </w:tabs>
        <w:ind w:left="2880" w:hanging="360"/>
      </w:pPr>
    </w:lvl>
    <w:lvl w:ilvl="5" w:tplc="5FF0E580" w:tentative="1">
      <w:start w:val="1"/>
      <w:numFmt w:val="decimal"/>
      <w:lvlText w:val="%6."/>
      <w:lvlJc w:val="left"/>
      <w:pPr>
        <w:tabs>
          <w:tab w:val="num" w:pos="3600"/>
        </w:tabs>
        <w:ind w:left="3600" w:hanging="360"/>
      </w:pPr>
    </w:lvl>
    <w:lvl w:ilvl="6" w:tplc="1D244F1E" w:tentative="1">
      <w:start w:val="1"/>
      <w:numFmt w:val="decimal"/>
      <w:lvlText w:val="%7."/>
      <w:lvlJc w:val="left"/>
      <w:pPr>
        <w:tabs>
          <w:tab w:val="num" w:pos="4320"/>
        </w:tabs>
        <w:ind w:left="4320" w:hanging="360"/>
      </w:pPr>
    </w:lvl>
    <w:lvl w:ilvl="7" w:tplc="9FF02C74" w:tentative="1">
      <w:start w:val="1"/>
      <w:numFmt w:val="decimal"/>
      <w:lvlText w:val="%8."/>
      <w:lvlJc w:val="left"/>
      <w:pPr>
        <w:tabs>
          <w:tab w:val="num" w:pos="5040"/>
        </w:tabs>
        <w:ind w:left="5040" w:hanging="360"/>
      </w:pPr>
    </w:lvl>
    <w:lvl w:ilvl="8" w:tplc="A806997E" w:tentative="1">
      <w:start w:val="1"/>
      <w:numFmt w:val="decimal"/>
      <w:lvlText w:val="%9."/>
      <w:lvlJc w:val="left"/>
      <w:pPr>
        <w:tabs>
          <w:tab w:val="num" w:pos="5760"/>
        </w:tabs>
        <w:ind w:left="5760" w:hanging="360"/>
      </w:pPr>
    </w:lvl>
  </w:abstractNum>
  <w:num w:numId="1">
    <w:abstractNumId w:val="21"/>
  </w:num>
  <w:num w:numId="2">
    <w:abstractNumId w:val="7"/>
  </w:num>
  <w:num w:numId="3">
    <w:abstractNumId w:val="23"/>
  </w:num>
  <w:num w:numId="4">
    <w:abstractNumId w:val="17"/>
  </w:num>
  <w:num w:numId="5">
    <w:abstractNumId w:val="4"/>
  </w:num>
  <w:num w:numId="6">
    <w:abstractNumId w:val="24"/>
  </w:num>
  <w:num w:numId="7">
    <w:abstractNumId w:val="12"/>
  </w:num>
  <w:num w:numId="8">
    <w:abstractNumId w:val="5"/>
  </w:num>
  <w:num w:numId="9">
    <w:abstractNumId w:val="6"/>
  </w:num>
  <w:num w:numId="10">
    <w:abstractNumId w:val="20"/>
  </w:num>
  <w:num w:numId="11">
    <w:abstractNumId w:val="11"/>
  </w:num>
  <w:num w:numId="12">
    <w:abstractNumId w:val="1"/>
  </w:num>
  <w:num w:numId="13">
    <w:abstractNumId w:val="15"/>
  </w:num>
  <w:num w:numId="14">
    <w:abstractNumId w:val="3"/>
  </w:num>
  <w:num w:numId="15">
    <w:abstractNumId w:val="16"/>
  </w:num>
  <w:num w:numId="16">
    <w:abstractNumId w:val="18"/>
  </w:num>
  <w:num w:numId="17">
    <w:abstractNumId w:val="0"/>
  </w:num>
  <w:num w:numId="18">
    <w:abstractNumId w:val="8"/>
  </w:num>
  <w:num w:numId="19">
    <w:abstractNumId w:val="19"/>
  </w:num>
  <w:num w:numId="20">
    <w:abstractNumId w:val="22"/>
  </w:num>
  <w:num w:numId="21">
    <w:abstractNumId w:val="9"/>
  </w:num>
  <w:num w:numId="22">
    <w:abstractNumId w:val="13"/>
  </w:num>
  <w:num w:numId="23">
    <w:abstractNumId w:val="14"/>
  </w:num>
  <w:num w:numId="24">
    <w:abstractNumId w:val="10"/>
  </w:num>
  <w:num w:numId="2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0B69"/>
    <w:rsid w:val="00001468"/>
    <w:rsid w:val="00003195"/>
    <w:rsid w:val="000033C8"/>
    <w:rsid w:val="00003E7C"/>
    <w:rsid w:val="00006BDB"/>
    <w:rsid w:val="00007A9A"/>
    <w:rsid w:val="00007DBF"/>
    <w:rsid w:val="0001544F"/>
    <w:rsid w:val="00016A2A"/>
    <w:rsid w:val="0001769C"/>
    <w:rsid w:val="00022C38"/>
    <w:rsid w:val="000240A3"/>
    <w:rsid w:val="00024DEA"/>
    <w:rsid w:val="000253EB"/>
    <w:rsid w:val="00026F56"/>
    <w:rsid w:val="00030665"/>
    <w:rsid w:val="00031542"/>
    <w:rsid w:val="00031B3B"/>
    <w:rsid w:val="000328B0"/>
    <w:rsid w:val="00033E23"/>
    <w:rsid w:val="00034184"/>
    <w:rsid w:val="00035362"/>
    <w:rsid w:val="00035F44"/>
    <w:rsid w:val="000364EE"/>
    <w:rsid w:val="000365A5"/>
    <w:rsid w:val="00037748"/>
    <w:rsid w:val="00042CFF"/>
    <w:rsid w:val="0004547D"/>
    <w:rsid w:val="000454D7"/>
    <w:rsid w:val="0004610E"/>
    <w:rsid w:val="00050023"/>
    <w:rsid w:val="00054E5E"/>
    <w:rsid w:val="00057D37"/>
    <w:rsid w:val="000607A5"/>
    <w:rsid w:val="000607CC"/>
    <w:rsid w:val="00060B7D"/>
    <w:rsid w:val="00061E69"/>
    <w:rsid w:val="00062A77"/>
    <w:rsid w:val="00063342"/>
    <w:rsid w:val="00063527"/>
    <w:rsid w:val="00063E35"/>
    <w:rsid w:val="00064799"/>
    <w:rsid w:val="00066FB5"/>
    <w:rsid w:val="00074515"/>
    <w:rsid w:val="000761DA"/>
    <w:rsid w:val="00084648"/>
    <w:rsid w:val="00085A9A"/>
    <w:rsid w:val="00086A12"/>
    <w:rsid w:val="000901F9"/>
    <w:rsid w:val="00090A1D"/>
    <w:rsid w:val="000917BE"/>
    <w:rsid w:val="000925B7"/>
    <w:rsid w:val="00092979"/>
    <w:rsid w:val="00093062"/>
    <w:rsid w:val="00094CD9"/>
    <w:rsid w:val="00095927"/>
    <w:rsid w:val="00096E41"/>
    <w:rsid w:val="000A00A3"/>
    <w:rsid w:val="000A306C"/>
    <w:rsid w:val="000A5314"/>
    <w:rsid w:val="000A59E5"/>
    <w:rsid w:val="000A70A5"/>
    <w:rsid w:val="000B4151"/>
    <w:rsid w:val="000B523B"/>
    <w:rsid w:val="000B6AAF"/>
    <w:rsid w:val="000C1301"/>
    <w:rsid w:val="000C4775"/>
    <w:rsid w:val="000C5BB9"/>
    <w:rsid w:val="000D0184"/>
    <w:rsid w:val="000D10CA"/>
    <w:rsid w:val="000D3C43"/>
    <w:rsid w:val="000D4E0E"/>
    <w:rsid w:val="000E371A"/>
    <w:rsid w:val="000E662D"/>
    <w:rsid w:val="000E695E"/>
    <w:rsid w:val="000E6A76"/>
    <w:rsid w:val="000E7757"/>
    <w:rsid w:val="000E78B6"/>
    <w:rsid w:val="000E7DC8"/>
    <w:rsid w:val="000F2364"/>
    <w:rsid w:val="000F475A"/>
    <w:rsid w:val="000F570D"/>
    <w:rsid w:val="000F7DFB"/>
    <w:rsid w:val="00106B55"/>
    <w:rsid w:val="00107AA9"/>
    <w:rsid w:val="00111A57"/>
    <w:rsid w:val="00111C02"/>
    <w:rsid w:val="00111EDC"/>
    <w:rsid w:val="001122A6"/>
    <w:rsid w:val="001157BD"/>
    <w:rsid w:val="00116686"/>
    <w:rsid w:val="00120051"/>
    <w:rsid w:val="00121C2D"/>
    <w:rsid w:val="00123264"/>
    <w:rsid w:val="00123DC0"/>
    <w:rsid w:val="00124369"/>
    <w:rsid w:val="0012438C"/>
    <w:rsid w:val="00125740"/>
    <w:rsid w:val="00133510"/>
    <w:rsid w:val="00136229"/>
    <w:rsid w:val="0014152C"/>
    <w:rsid w:val="00141B32"/>
    <w:rsid w:val="00142A6E"/>
    <w:rsid w:val="001430A7"/>
    <w:rsid w:val="001433D0"/>
    <w:rsid w:val="001445F3"/>
    <w:rsid w:val="0014563B"/>
    <w:rsid w:val="001457D1"/>
    <w:rsid w:val="00152879"/>
    <w:rsid w:val="00152F4B"/>
    <w:rsid w:val="00153661"/>
    <w:rsid w:val="001538B0"/>
    <w:rsid w:val="00154819"/>
    <w:rsid w:val="00157E66"/>
    <w:rsid w:val="001619AC"/>
    <w:rsid w:val="001636AD"/>
    <w:rsid w:val="00164787"/>
    <w:rsid w:val="001653B2"/>
    <w:rsid w:val="001668AD"/>
    <w:rsid w:val="00166DF8"/>
    <w:rsid w:val="001704B3"/>
    <w:rsid w:val="00170882"/>
    <w:rsid w:val="00173C61"/>
    <w:rsid w:val="00176EE4"/>
    <w:rsid w:val="001805BA"/>
    <w:rsid w:val="00181172"/>
    <w:rsid w:val="001817DF"/>
    <w:rsid w:val="00182373"/>
    <w:rsid w:val="0018310F"/>
    <w:rsid w:val="00185025"/>
    <w:rsid w:val="0018527E"/>
    <w:rsid w:val="00187063"/>
    <w:rsid w:val="001870C9"/>
    <w:rsid w:val="00190F4F"/>
    <w:rsid w:val="00193682"/>
    <w:rsid w:val="00197830"/>
    <w:rsid w:val="00197963"/>
    <w:rsid w:val="001A0584"/>
    <w:rsid w:val="001A0DF2"/>
    <w:rsid w:val="001A17A1"/>
    <w:rsid w:val="001A44E1"/>
    <w:rsid w:val="001A4C19"/>
    <w:rsid w:val="001A5A69"/>
    <w:rsid w:val="001A7721"/>
    <w:rsid w:val="001A7BE4"/>
    <w:rsid w:val="001B178D"/>
    <w:rsid w:val="001B1D06"/>
    <w:rsid w:val="001B4BDB"/>
    <w:rsid w:val="001B79BF"/>
    <w:rsid w:val="001B7E26"/>
    <w:rsid w:val="001C3033"/>
    <w:rsid w:val="001C39CE"/>
    <w:rsid w:val="001C53B6"/>
    <w:rsid w:val="001C5A45"/>
    <w:rsid w:val="001C7170"/>
    <w:rsid w:val="001C78B5"/>
    <w:rsid w:val="001D11E1"/>
    <w:rsid w:val="001D2682"/>
    <w:rsid w:val="001D3C22"/>
    <w:rsid w:val="001D4F78"/>
    <w:rsid w:val="001D5197"/>
    <w:rsid w:val="001D51C3"/>
    <w:rsid w:val="001D613C"/>
    <w:rsid w:val="001D680E"/>
    <w:rsid w:val="001D6B15"/>
    <w:rsid w:val="001E2ED4"/>
    <w:rsid w:val="001E3097"/>
    <w:rsid w:val="001E315B"/>
    <w:rsid w:val="001F0FB5"/>
    <w:rsid w:val="001F31DB"/>
    <w:rsid w:val="001F644C"/>
    <w:rsid w:val="001F7339"/>
    <w:rsid w:val="002006AA"/>
    <w:rsid w:val="00205857"/>
    <w:rsid w:val="00205F5F"/>
    <w:rsid w:val="00206B30"/>
    <w:rsid w:val="00210444"/>
    <w:rsid w:val="0021292C"/>
    <w:rsid w:val="0021386D"/>
    <w:rsid w:val="0022009D"/>
    <w:rsid w:val="002205B0"/>
    <w:rsid w:val="00220AE6"/>
    <w:rsid w:val="00223A43"/>
    <w:rsid w:val="00223D71"/>
    <w:rsid w:val="00224381"/>
    <w:rsid w:val="00225570"/>
    <w:rsid w:val="002266B8"/>
    <w:rsid w:val="00226975"/>
    <w:rsid w:val="00226F83"/>
    <w:rsid w:val="00226FF4"/>
    <w:rsid w:val="002275CD"/>
    <w:rsid w:val="00227B59"/>
    <w:rsid w:val="00230A39"/>
    <w:rsid w:val="00230B0A"/>
    <w:rsid w:val="00232777"/>
    <w:rsid w:val="00233567"/>
    <w:rsid w:val="00233893"/>
    <w:rsid w:val="00234E5A"/>
    <w:rsid w:val="00235085"/>
    <w:rsid w:val="002355EB"/>
    <w:rsid w:val="002369AF"/>
    <w:rsid w:val="0024106D"/>
    <w:rsid w:val="00244D17"/>
    <w:rsid w:val="00247556"/>
    <w:rsid w:val="0025180C"/>
    <w:rsid w:val="0025185B"/>
    <w:rsid w:val="00253A90"/>
    <w:rsid w:val="002541E8"/>
    <w:rsid w:val="00254251"/>
    <w:rsid w:val="002547BE"/>
    <w:rsid w:val="00254DAF"/>
    <w:rsid w:val="00254F87"/>
    <w:rsid w:val="00256C51"/>
    <w:rsid w:val="00257C8D"/>
    <w:rsid w:val="00260109"/>
    <w:rsid w:val="002609E0"/>
    <w:rsid w:val="002611E5"/>
    <w:rsid w:val="00262149"/>
    <w:rsid w:val="002640D8"/>
    <w:rsid w:val="0026550E"/>
    <w:rsid w:val="00267611"/>
    <w:rsid w:val="002710B9"/>
    <w:rsid w:val="00272130"/>
    <w:rsid w:val="0027251F"/>
    <w:rsid w:val="00272853"/>
    <w:rsid w:val="00272BB1"/>
    <w:rsid w:val="00275070"/>
    <w:rsid w:val="00277909"/>
    <w:rsid w:val="002842E0"/>
    <w:rsid w:val="00284842"/>
    <w:rsid w:val="0028745B"/>
    <w:rsid w:val="002876F6"/>
    <w:rsid w:val="002909F3"/>
    <w:rsid w:val="00290B79"/>
    <w:rsid w:val="002910EA"/>
    <w:rsid w:val="00291338"/>
    <w:rsid w:val="00294B8F"/>
    <w:rsid w:val="002963A9"/>
    <w:rsid w:val="002A2441"/>
    <w:rsid w:val="002A258C"/>
    <w:rsid w:val="002A403D"/>
    <w:rsid w:val="002A4189"/>
    <w:rsid w:val="002A7022"/>
    <w:rsid w:val="002B081F"/>
    <w:rsid w:val="002B224F"/>
    <w:rsid w:val="002B278E"/>
    <w:rsid w:val="002B486B"/>
    <w:rsid w:val="002B5947"/>
    <w:rsid w:val="002C0D27"/>
    <w:rsid w:val="002C2126"/>
    <w:rsid w:val="002C53D3"/>
    <w:rsid w:val="002C5908"/>
    <w:rsid w:val="002D002E"/>
    <w:rsid w:val="002D17BD"/>
    <w:rsid w:val="002D19CE"/>
    <w:rsid w:val="002D1FA9"/>
    <w:rsid w:val="002D2EF6"/>
    <w:rsid w:val="002D4DD8"/>
    <w:rsid w:val="002D57E0"/>
    <w:rsid w:val="002D6018"/>
    <w:rsid w:val="002D6668"/>
    <w:rsid w:val="002D7855"/>
    <w:rsid w:val="002D795C"/>
    <w:rsid w:val="002E05EC"/>
    <w:rsid w:val="002E1615"/>
    <w:rsid w:val="002E556D"/>
    <w:rsid w:val="002E5665"/>
    <w:rsid w:val="002E5A87"/>
    <w:rsid w:val="002E5C16"/>
    <w:rsid w:val="002E7BC3"/>
    <w:rsid w:val="002E7FD5"/>
    <w:rsid w:val="002F004B"/>
    <w:rsid w:val="002F3303"/>
    <w:rsid w:val="002F5430"/>
    <w:rsid w:val="002F765C"/>
    <w:rsid w:val="00302A31"/>
    <w:rsid w:val="00303817"/>
    <w:rsid w:val="00306FC4"/>
    <w:rsid w:val="0031049E"/>
    <w:rsid w:val="0031087E"/>
    <w:rsid w:val="00310DE6"/>
    <w:rsid w:val="0031352C"/>
    <w:rsid w:val="003136EB"/>
    <w:rsid w:val="0031418D"/>
    <w:rsid w:val="003163AA"/>
    <w:rsid w:val="00316A4E"/>
    <w:rsid w:val="00317575"/>
    <w:rsid w:val="003203D1"/>
    <w:rsid w:val="00323008"/>
    <w:rsid w:val="00323CD7"/>
    <w:rsid w:val="0032732F"/>
    <w:rsid w:val="00332504"/>
    <w:rsid w:val="00333889"/>
    <w:rsid w:val="003338B9"/>
    <w:rsid w:val="003370FF"/>
    <w:rsid w:val="003377BD"/>
    <w:rsid w:val="00341203"/>
    <w:rsid w:val="00345324"/>
    <w:rsid w:val="003455DE"/>
    <w:rsid w:val="0035181D"/>
    <w:rsid w:val="00351DA4"/>
    <w:rsid w:val="00352338"/>
    <w:rsid w:val="00353003"/>
    <w:rsid w:val="00355766"/>
    <w:rsid w:val="0035658F"/>
    <w:rsid w:val="0035752F"/>
    <w:rsid w:val="00357617"/>
    <w:rsid w:val="003611AE"/>
    <w:rsid w:val="00362D9A"/>
    <w:rsid w:val="00364180"/>
    <w:rsid w:val="0036498B"/>
    <w:rsid w:val="003662DC"/>
    <w:rsid w:val="0037079C"/>
    <w:rsid w:val="00371545"/>
    <w:rsid w:val="00373A2D"/>
    <w:rsid w:val="00373C5C"/>
    <w:rsid w:val="00374995"/>
    <w:rsid w:val="00375426"/>
    <w:rsid w:val="00376F29"/>
    <w:rsid w:val="00380F91"/>
    <w:rsid w:val="00381884"/>
    <w:rsid w:val="0038257D"/>
    <w:rsid w:val="0038481F"/>
    <w:rsid w:val="00387F73"/>
    <w:rsid w:val="00390CF0"/>
    <w:rsid w:val="0039111B"/>
    <w:rsid w:val="003913A5"/>
    <w:rsid w:val="003922E4"/>
    <w:rsid w:val="003923F3"/>
    <w:rsid w:val="00394B33"/>
    <w:rsid w:val="00395818"/>
    <w:rsid w:val="00396AF9"/>
    <w:rsid w:val="00396E0C"/>
    <w:rsid w:val="003974C2"/>
    <w:rsid w:val="00397EE4"/>
    <w:rsid w:val="003A01E5"/>
    <w:rsid w:val="003A2549"/>
    <w:rsid w:val="003A2975"/>
    <w:rsid w:val="003A2B98"/>
    <w:rsid w:val="003A529D"/>
    <w:rsid w:val="003A553C"/>
    <w:rsid w:val="003B0EA2"/>
    <w:rsid w:val="003B4178"/>
    <w:rsid w:val="003B6385"/>
    <w:rsid w:val="003B7E2B"/>
    <w:rsid w:val="003C088A"/>
    <w:rsid w:val="003C35E9"/>
    <w:rsid w:val="003C42A4"/>
    <w:rsid w:val="003C5AF1"/>
    <w:rsid w:val="003C5C65"/>
    <w:rsid w:val="003C7AF8"/>
    <w:rsid w:val="003D0E1C"/>
    <w:rsid w:val="003D1B70"/>
    <w:rsid w:val="003D5262"/>
    <w:rsid w:val="003E1232"/>
    <w:rsid w:val="003E370D"/>
    <w:rsid w:val="003E503E"/>
    <w:rsid w:val="003E6AD3"/>
    <w:rsid w:val="003F0212"/>
    <w:rsid w:val="003F0993"/>
    <w:rsid w:val="003F34A5"/>
    <w:rsid w:val="003F38D1"/>
    <w:rsid w:val="003F430A"/>
    <w:rsid w:val="003F5BD9"/>
    <w:rsid w:val="003F6947"/>
    <w:rsid w:val="00400374"/>
    <w:rsid w:val="004006A2"/>
    <w:rsid w:val="004008C6"/>
    <w:rsid w:val="00403483"/>
    <w:rsid w:val="00404AC1"/>
    <w:rsid w:val="0040515E"/>
    <w:rsid w:val="00407076"/>
    <w:rsid w:val="00410698"/>
    <w:rsid w:val="00411482"/>
    <w:rsid w:val="00413092"/>
    <w:rsid w:val="004159DD"/>
    <w:rsid w:val="004168A2"/>
    <w:rsid w:val="004174C5"/>
    <w:rsid w:val="004213DA"/>
    <w:rsid w:val="0042359A"/>
    <w:rsid w:val="004238DC"/>
    <w:rsid w:val="00423F27"/>
    <w:rsid w:val="004240F8"/>
    <w:rsid w:val="004268F5"/>
    <w:rsid w:val="00426E08"/>
    <w:rsid w:val="004312CF"/>
    <w:rsid w:val="00434781"/>
    <w:rsid w:val="00435F15"/>
    <w:rsid w:val="00442242"/>
    <w:rsid w:val="0044403E"/>
    <w:rsid w:val="0044750D"/>
    <w:rsid w:val="00452484"/>
    <w:rsid w:val="0045306F"/>
    <w:rsid w:val="004531D4"/>
    <w:rsid w:val="00455ECA"/>
    <w:rsid w:val="004568C8"/>
    <w:rsid w:val="004573D4"/>
    <w:rsid w:val="00457A0A"/>
    <w:rsid w:val="0046181F"/>
    <w:rsid w:val="004625E4"/>
    <w:rsid w:val="00462D11"/>
    <w:rsid w:val="004641FB"/>
    <w:rsid w:val="00465D15"/>
    <w:rsid w:val="00466045"/>
    <w:rsid w:val="004660A3"/>
    <w:rsid w:val="00473206"/>
    <w:rsid w:val="00475C9F"/>
    <w:rsid w:val="004763A4"/>
    <w:rsid w:val="00480985"/>
    <w:rsid w:val="00481A1A"/>
    <w:rsid w:val="004830BF"/>
    <w:rsid w:val="00483B3D"/>
    <w:rsid w:val="00483D3E"/>
    <w:rsid w:val="0048414F"/>
    <w:rsid w:val="004877BF"/>
    <w:rsid w:val="004904F7"/>
    <w:rsid w:val="004919C5"/>
    <w:rsid w:val="0049235F"/>
    <w:rsid w:val="00492B96"/>
    <w:rsid w:val="004936B9"/>
    <w:rsid w:val="004944C3"/>
    <w:rsid w:val="004949D6"/>
    <w:rsid w:val="004950F7"/>
    <w:rsid w:val="004A0F05"/>
    <w:rsid w:val="004A128C"/>
    <w:rsid w:val="004A33BF"/>
    <w:rsid w:val="004A66AB"/>
    <w:rsid w:val="004A6E18"/>
    <w:rsid w:val="004A7564"/>
    <w:rsid w:val="004B1001"/>
    <w:rsid w:val="004B12D4"/>
    <w:rsid w:val="004B26FB"/>
    <w:rsid w:val="004B28DA"/>
    <w:rsid w:val="004B2F29"/>
    <w:rsid w:val="004B48B2"/>
    <w:rsid w:val="004B6886"/>
    <w:rsid w:val="004B7663"/>
    <w:rsid w:val="004C1D4B"/>
    <w:rsid w:val="004C4315"/>
    <w:rsid w:val="004C4A40"/>
    <w:rsid w:val="004C6A38"/>
    <w:rsid w:val="004D05F3"/>
    <w:rsid w:val="004D188F"/>
    <w:rsid w:val="004D5B8A"/>
    <w:rsid w:val="004D75F3"/>
    <w:rsid w:val="004D7B03"/>
    <w:rsid w:val="004E0367"/>
    <w:rsid w:val="004E0F73"/>
    <w:rsid w:val="004E2195"/>
    <w:rsid w:val="004E2C21"/>
    <w:rsid w:val="004E6CA4"/>
    <w:rsid w:val="004E75A7"/>
    <w:rsid w:val="004F12B8"/>
    <w:rsid w:val="004F3780"/>
    <w:rsid w:val="004F60F1"/>
    <w:rsid w:val="005012E4"/>
    <w:rsid w:val="00506F59"/>
    <w:rsid w:val="005116D2"/>
    <w:rsid w:val="00512EE0"/>
    <w:rsid w:val="00512FD0"/>
    <w:rsid w:val="00513737"/>
    <w:rsid w:val="005137C3"/>
    <w:rsid w:val="005147DC"/>
    <w:rsid w:val="00514F3F"/>
    <w:rsid w:val="00517B89"/>
    <w:rsid w:val="00517C2B"/>
    <w:rsid w:val="005232BC"/>
    <w:rsid w:val="00525558"/>
    <w:rsid w:val="005257EC"/>
    <w:rsid w:val="0052650A"/>
    <w:rsid w:val="00527105"/>
    <w:rsid w:val="005275EC"/>
    <w:rsid w:val="00527ABA"/>
    <w:rsid w:val="00530095"/>
    <w:rsid w:val="00530544"/>
    <w:rsid w:val="00532016"/>
    <w:rsid w:val="00532B2B"/>
    <w:rsid w:val="00535072"/>
    <w:rsid w:val="0053603B"/>
    <w:rsid w:val="00536C9F"/>
    <w:rsid w:val="00541587"/>
    <w:rsid w:val="00542A77"/>
    <w:rsid w:val="005430E5"/>
    <w:rsid w:val="005442BF"/>
    <w:rsid w:val="0054586D"/>
    <w:rsid w:val="00546584"/>
    <w:rsid w:val="00547B67"/>
    <w:rsid w:val="00552AA1"/>
    <w:rsid w:val="00557341"/>
    <w:rsid w:val="00560976"/>
    <w:rsid w:val="00560FEB"/>
    <w:rsid w:val="00562D33"/>
    <w:rsid w:val="00562F87"/>
    <w:rsid w:val="00563DB2"/>
    <w:rsid w:val="00563F34"/>
    <w:rsid w:val="005666FC"/>
    <w:rsid w:val="00566C44"/>
    <w:rsid w:val="00567BBC"/>
    <w:rsid w:val="005715C0"/>
    <w:rsid w:val="00573D31"/>
    <w:rsid w:val="00574620"/>
    <w:rsid w:val="00574E49"/>
    <w:rsid w:val="005779B8"/>
    <w:rsid w:val="00577F6E"/>
    <w:rsid w:val="00580576"/>
    <w:rsid w:val="0058194F"/>
    <w:rsid w:val="0058371B"/>
    <w:rsid w:val="00583874"/>
    <w:rsid w:val="00585129"/>
    <w:rsid w:val="00586F74"/>
    <w:rsid w:val="00590649"/>
    <w:rsid w:val="00590719"/>
    <w:rsid w:val="00591719"/>
    <w:rsid w:val="00591937"/>
    <w:rsid w:val="00591A3A"/>
    <w:rsid w:val="00594CF3"/>
    <w:rsid w:val="00594F9F"/>
    <w:rsid w:val="00595EB1"/>
    <w:rsid w:val="005A07A9"/>
    <w:rsid w:val="005A144D"/>
    <w:rsid w:val="005A20B8"/>
    <w:rsid w:val="005A2C3F"/>
    <w:rsid w:val="005A300A"/>
    <w:rsid w:val="005A3CB7"/>
    <w:rsid w:val="005A3F6F"/>
    <w:rsid w:val="005A40C8"/>
    <w:rsid w:val="005A52AE"/>
    <w:rsid w:val="005B0D24"/>
    <w:rsid w:val="005B1EB2"/>
    <w:rsid w:val="005B1EE0"/>
    <w:rsid w:val="005B46AD"/>
    <w:rsid w:val="005B5B7C"/>
    <w:rsid w:val="005B6C42"/>
    <w:rsid w:val="005B7371"/>
    <w:rsid w:val="005C2409"/>
    <w:rsid w:val="005C35D4"/>
    <w:rsid w:val="005C3C9C"/>
    <w:rsid w:val="005C42BF"/>
    <w:rsid w:val="005C530E"/>
    <w:rsid w:val="005C63D7"/>
    <w:rsid w:val="005C7D1C"/>
    <w:rsid w:val="005D2D95"/>
    <w:rsid w:val="005D344D"/>
    <w:rsid w:val="005D70EE"/>
    <w:rsid w:val="005D7C9F"/>
    <w:rsid w:val="005D7CF8"/>
    <w:rsid w:val="005E0CDA"/>
    <w:rsid w:val="005E1D37"/>
    <w:rsid w:val="005E43F1"/>
    <w:rsid w:val="005E44FA"/>
    <w:rsid w:val="005F0EAC"/>
    <w:rsid w:val="005F34D9"/>
    <w:rsid w:val="005F4E1A"/>
    <w:rsid w:val="005F57E2"/>
    <w:rsid w:val="005F5B74"/>
    <w:rsid w:val="005F5E9C"/>
    <w:rsid w:val="005F7BDE"/>
    <w:rsid w:val="006004E9"/>
    <w:rsid w:val="00600AFA"/>
    <w:rsid w:val="006027A8"/>
    <w:rsid w:val="00604232"/>
    <w:rsid w:val="006042CB"/>
    <w:rsid w:val="0060602E"/>
    <w:rsid w:val="00607C7C"/>
    <w:rsid w:val="00611F80"/>
    <w:rsid w:val="006122F4"/>
    <w:rsid w:val="00613BB6"/>
    <w:rsid w:val="00613E81"/>
    <w:rsid w:val="006144E1"/>
    <w:rsid w:val="006149D2"/>
    <w:rsid w:val="00615AF4"/>
    <w:rsid w:val="0061614E"/>
    <w:rsid w:val="006167B7"/>
    <w:rsid w:val="00616C7C"/>
    <w:rsid w:val="00617DD3"/>
    <w:rsid w:val="00622D11"/>
    <w:rsid w:val="0062358A"/>
    <w:rsid w:val="0062422E"/>
    <w:rsid w:val="006255AC"/>
    <w:rsid w:val="00625B98"/>
    <w:rsid w:val="00626126"/>
    <w:rsid w:val="0062628F"/>
    <w:rsid w:val="006310EC"/>
    <w:rsid w:val="00631385"/>
    <w:rsid w:val="00632710"/>
    <w:rsid w:val="006345BA"/>
    <w:rsid w:val="00635F7B"/>
    <w:rsid w:val="00636789"/>
    <w:rsid w:val="00641264"/>
    <w:rsid w:val="006420FF"/>
    <w:rsid w:val="006422E5"/>
    <w:rsid w:val="00642DDF"/>
    <w:rsid w:val="00644D65"/>
    <w:rsid w:val="00644F6A"/>
    <w:rsid w:val="00646D8E"/>
    <w:rsid w:val="00647F83"/>
    <w:rsid w:val="00650C0B"/>
    <w:rsid w:val="00651E29"/>
    <w:rsid w:val="0065271A"/>
    <w:rsid w:val="00653824"/>
    <w:rsid w:val="006547D2"/>
    <w:rsid w:val="00655120"/>
    <w:rsid w:val="00657E37"/>
    <w:rsid w:val="00661DC1"/>
    <w:rsid w:val="00662C14"/>
    <w:rsid w:val="00662F74"/>
    <w:rsid w:val="00663ABA"/>
    <w:rsid w:val="0066459E"/>
    <w:rsid w:val="00665625"/>
    <w:rsid w:val="00666297"/>
    <w:rsid w:val="00667923"/>
    <w:rsid w:val="00673872"/>
    <w:rsid w:val="006755D3"/>
    <w:rsid w:val="00676870"/>
    <w:rsid w:val="00676ACA"/>
    <w:rsid w:val="006774F0"/>
    <w:rsid w:val="00680C15"/>
    <w:rsid w:val="006815FF"/>
    <w:rsid w:val="00681B1C"/>
    <w:rsid w:val="006858E5"/>
    <w:rsid w:val="00685E3D"/>
    <w:rsid w:val="0068681F"/>
    <w:rsid w:val="00687BE6"/>
    <w:rsid w:val="00687E6B"/>
    <w:rsid w:val="00694BDD"/>
    <w:rsid w:val="006968EE"/>
    <w:rsid w:val="006A0026"/>
    <w:rsid w:val="006A184B"/>
    <w:rsid w:val="006A319C"/>
    <w:rsid w:val="006A397D"/>
    <w:rsid w:val="006A3F6F"/>
    <w:rsid w:val="006A5B64"/>
    <w:rsid w:val="006A6AE6"/>
    <w:rsid w:val="006A6C9C"/>
    <w:rsid w:val="006B127E"/>
    <w:rsid w:val="006B14A6"/>
    <w:rsid w:val="006B33A1"/>
    <w:rsid w:val="006B3AE0"/>
    <w:rsid w:val="006B3FCB"/>
    <w:rsid w:val="006B44DE"/>
    <w:rsid w:val="006B49E2"/>
    <w:rsid w:val="006B504C"/>
    <w:rsid w:val="006B55B6"/>
    <w:rsid w:val="006B57AB"/>
    <w:rsid w:val="006B7182"/>
    <w:rsid w:val="006C0807"/>
    <w:rsid w:val="006C2A01"/>
    <w:rsid w:val="006C35FB"/>
    <w:rsid w:val="006C3E18"/>
    <w:rsid w:val="006C6CBB"/>
    <w:rsid w:val="006C757B"/>
    <w:rsid w:val="006C7637"/>
    <w:rsid w:val="006D0D1A"/>
    <w:rsid w:val="006D17AA"/>
    <w:rsid w:val="006D18A3"/>
    <w:rsid w:val="006D33EB"/>
    <w:rsid w:val="006D3915"/>
    <w:rsid w:val="006D4E53"/>
    <w:rsid w:val="006D5A96"/>
    <w:rsid w:val="006E0A1D"/>
    <w:rsid w:val="006E0C9A"/>
    <w:rsid w:val="006E1F6C"/>
    <w:rsid w:val="006E3BC2"/>
    <w:rsid w:val="006E5E56"/>
    <w:rsid w:val="006E6614"/>
    <w:rsid w:val="006E76CF"/>
    <w:rsid w:val="006E7E5F"/>
    <w:rsid w:val="006F067F"/>
    <w:rsid w:val="006F0F15"/>
    <w:rsid w:val="006F1B47"/>
    <w:rsid w:val="006F2325"/>
    <w:rsid w:val="006F261B"/>
    <w:rsid w:val="006F2B5F"/>
    <w:rsid w:val="006F5174"/>
    <w:rsid w:val="006F5CCA"/>
    <w:rsid w:val="006F67CB"/>
    <w:rsid w:val="006F69E9"/>
    <w:rsid w:val="006F7730"/>
    <w:rsid w:val="00702C32"/>
    <w:rsid w:val="00702FE0"/>
    <w:rsid w:val="00703542"/>
    <w:rsid w:val="0070545D"/>
    <w:rsid w:val="00711E45"/>
    <w:rsid w:val="007127F2"/>
    <w:rsid w:val="00715F8B"/>
    <w:rsid w:val="00721006"/>
    <w:rsid w:val="00721696"/>
    <w:rsid w:val="00722252"/>
    <w:rsid w:val="00722AF0"/>
    <w:rsid w:val="00723976"/>
    <w:rsid w:val="00724DBD"/>
    <w:rsid w:val="00730584"/>
    <w:rsid w:val="007323C0"/>
    <w:rsid w:val="0073314C"/>
    <w:rsid w:val="00735C7B"/>
    <w:rsid w:val="00736362"/>
    <w:rsid w:val="0073665C"/>
    <w:rsid w:val="00741765"/>
    <w:rsid w:val="00743BFB"/>
    <w:rsid w:val="007530F3"/>
    <w:rsid w:val="00753AC6"/>
    <w:rsid w:val="00755B47"/>
    <w:rsid w:val="007567EA"/>
    <w:rsid w:val="007570A7"/>
    <w:rsid w:val="00757596"/>
    <w:rsid w:val="00760B00"/>
    <w:rsid w:val="007621B7"/>
    <w:rsid w:val="00763562"/>
    <w:rsid w:val="00764482"/>
    <w:rsid w:val="00770615"/>
    <w:rsid w:val="00771C96"/>
    <w:rsid w:val="00772CEB"/>
    <w:rsid w:val="0077699B"/>
    <w:rsid w:val="00780192"/>
    <w:rsid w:val="00780314"/>
    <w:rsid w:val="00781007"/>
    <w:rsid w:val="007816E0"/>
    <w:rsid w:val="00782364"/>
    <w:rsid w:val="00783283"/>
    <w:rsid w:val="00784E1E"/>
    <w:rsid w:val="007850E7"/>
    <w:rsid w:val="007850EC"/>
    <w:rsid w:val="00785EFA"/>
    <w:rsid w:val="00791D39"/>
    <w:rsid w:val="00792113"/>
    <w:rsid w:val="0079598D"/>
    <w:rsid w:val="007A051F"/>
    <w:rsid w:val="007A054D"/>
    <w:rsid w:val="007A2685"/>
    <w:rsid w:val="007A2869"/>
    <w:rsid w:val="007A3747"/>
    <w:rsid w:val="007A3BF3"/>
    <w:rsid w:val="007A60CD"/>
    <w:rsid w:val="007A7110"/>
    <w:rsid w:val="007B0019"/>
    <w:rsid w:val="007B2F8C"/>
    <w:rsid w:val="007B55E7"/>
    <w:rsid w:val="007B7157"/>
    <w:rsid w:val="007C095D"/>
    <w:rsid w:val="007C32AE"/>
    <w:rsid w:val="007C4780"/>
    <w:rsid w:val="007C4FF9"/>
    <w:rsid w:val="007C501D"/>
    <w:rsid w:val="007C73D1"/>
    <w:rsid w:val="007C74F4"/>
    <w:rsid w:val="007D28EC"/>
    <w:rsid w:val="007D3B72"/>
    <w:rsid w:val="007D42DB"/>
    <w:rsid w:val="007D5475"/>
    <w:rsid w:val="007D6526"/>
    <w:rsid w:val="007E10C1"/>
    <w:rsid w:val="007E2707"/>
    <w:rsid w:val="007E27B2"/>
    <w:rsid w:val="007E5250"/>
    <w:rsid w:val="007E598F"/>
    <w:rsid w:val="007E5ECF"/>
    <w:rsid w:val="007E6581"/>
    <w:rsid w:val="007E677B"/>
    <w:rsid w:val="007F04C7"/>
    <w:rsid w:val="007F1B94"/>
    <w:rsid w:val="007F25FA"/>
    <w:rsid w:val="007F2A57"/>
    <w:rsid w:val="007F5617"/>
    <w:rsid w:val="00800373"/>
    <w:rsid w:val="00800D50"/>
    <w:rsid w:val="008034A1"/>
    <w:rsid w:val="008040A9"/>
    <w:rsid w:val="0080476E"/>
    <w:rsid w:val="008052BC"/>
    <w:rsid w:val="00805B46"/>
    <w:rsid w:val="00805B55"/>
    <w:rsid w:val="008122B5"/>
    <w:rsid w:val="0081553B"/>
    <w:rsid w:val="008177B4"/>
    <w:rsid w:val="00817A45"/>
    <w:rsid w:val="0082282A"/>
    <w:rsid w:val="00823A09"/>
    <w:rsid w:val="008242A5"/>
    <w:rsid w:val="00824AA1"/>
    <w:rsid w:val="00824C38"/>
    <w:rsid w:val="00825053"/>
    <w:rsid w:val="00826255"/>
    <w:rsid w:val="00834ACF"/>
    <w:rsid w:val="008351D2"/>
    <w:rsid w:val="00836ED3"/>
    <w:rsid w:val="008372CE"/>
    <w:rsid w:val="00837830"/>
    <w:rsid w:val="00837956"/>
    <w:rsid w:val="00840003"/>
    <w:rsid w:val="0084141D"/>
    <w:rsid w:val="0084415C"/>
    <w:rsid w:val="00846172"/>
    <w:rsid w:val="00846216"/>
    <w:rsid w:val="00846B2D"/>
    <w:rsid w:val="008473B3"/>
    <w:rsid w:val="00847733"/>
    <w:rsid w:val="008479E0"/>
    <w:rsid w:val="00847C88"/>
    <w:rsid w:val="008502C3"/>
    <w:rsid w:val="00850ED4"/>
    <w:rsid w:val="0085145E"/>
    <w:rsid w:val="00855219"/>
    <w:rsid w:val="00855DC1"/>
    <w:rsid w:val="00860F65"/>
    <w:rsid w:val="008611B3"/>
    <w:rsid w:val="00861E25"/>
    <w:rsid w:val="0086511A"/>
    <w:rsid w:val="008656FD"/>
    <w:rsid w:val="008712F0"/>
    <w:rsid w:val="0087468B"/>
    <w:rsid w:val="008764CE"/>
    <w:rsid w:val="00876503"/>
    <w:rsid w:val="00877B21"/>
    <w:rsid w:val="00880E01"/>
    <w:rsid w:val="00881DD8"/>
    <w:rsid w:val="008830AE"/>
    <w:rsid w:val="00883376"/>
    <w:rsid w:val="00884288"/>
    <w:rsid w:val="008845A7"/>
    <w:rsid w:val="00886A30"/>
    <w:rsid w:val="008879A6"/>
    <w:rsid w:val="0089028F"/>
    <w:rsid w:val="00890D6D"/>
    <w:rsid w:val="008911C7"/>
    <w:rsid w:val="00892334"/>
    <w:rsid w:val="0089297F"/>
    <w:rsid w:val="008A0381"/>
    <w:rsid w:val="008A30B9"/>
    <w:rsid w:val="008A5DD8"/>
    <w:rsid w:val="008A79A7"/>
    <w:rsid w:val="008B09AC"/>
    <w:rsid w:val="008B12CD"/>
    <w:rsid w:val="008B22AF"/>
    <w:rsid w:val="008B27FD"/>
    <w:rsid w:val="008B3566"/>
    <w:rsid w:val="008B3704"/>
    <w:rsid w:val="008B711D"/>
    <w:rsid w:val="008C1578"/>
    <w:rsid w:val="008C1C42"/>
    <w:rsid w:val="008C2C6C"/>
    <w:rsid w:val="008C36F7"/>
    <w:rsid w:val="008C75FE"/>
    <w:rsid w:val="008C774A"/>
    <w:rsid w:val="008C7818"/>
    <w:rsid w:val="008D01F7"/>
    <w:rsid w:val="008D03C4"/>
    <w:rsid w:val="008D0AF6"/>
    <w:rsid w:val="008D387F"/>
    <w:rsid w:val="008D4F62"/>
    <w:rsid w:val="008D7C7F"/>
    <w:rsid w:val="008E0B97"/>
    <w:rsid w:val="008E2036"/>
    <w:rsid w:val="008E317D"/>
    <w:rsid w:val="008E44BB"/>
    <w:rsid w:val="008E4FFD"/>
    <w:rsid w:val="008E5AFB"/>
    <w:rsid w:val="008E6576"/>
    <w:rsid w:val="008E7082"/>
    <w:rsid w:val="008F1053"/>
    <w:rsid w:val="008F2347"/>
    <w:rsid w:val="008F2BB3"/>
    <w:rsid w:val="008F39B8"/>
    <w:rsid w:val="008F3C04"/>
    <w:rsid w:val="008F7FD5"/>
    <w:rsid w:val="00900869"/>
    <w:rsid w:val="009027B4"/>
    <w:rsid w:val="009028E2"/>
    <w:rsid w:val="0090350B"/>
    <w:rsid w:val="009041C3"/>
    <w:rsid w:val="00904B6A"/>
    <w:rsid w:val="00905836"/>
    <w:rsid w:val="00906369"/>
    <w:rsid w:val="0090663D"/>
    <w:rsid w:val="009100EE"/>
    <w:rsid w:val="00911B2B"/>
    <w:rsid w:val="00913151"/>
    <w:rsid w:val="00913220"/>
    <w:rsid w:val="009134BF"/>
    <w:rsid w:val="0091440B"/>
    <w:rsid w:val="00914AD7"/>
    <w:rsid w:val="00915023"/>
    <w:rsid w:val="00915936"/>
    <w:rsid w:val="00920252"/>
    <w:rsid w:val="009225D0"/>
    <w:rsid w:val="00922D6F"/>
    <w:rsid w:val="00924CDC"/>
    <w:rsid w:val="00925C09"/>
    <w:rsid w:val="00925E37"/>
    <w:rsid w:val="00930236"/>
    <w:rsid w:val="0093042D"/>
    <w:rsid w:val="00931512"/>
    <w:rsid w:val="009315CB"/>
    <w:rsid w:val="00931BB2"/>
    <w:rsid w:val="0093284B"/>
    <w:rsid w:val="00933B6D"/>
    <w:rsid w:val="00933F76"/>
    <w:rsid w:val="009341CE"/>
    <w:rsid w:val="009342C8"/>
    <w:rsid w:val="0093574E"/>
    <w:rsid w:val="00935CC6"/>
    <w:rsid w:val="00937A5D"/>
    <w:rsid w:val="00937F20"/>
    <w:rsid w:val="00940AB0"/>
    <w:rsid w:val="00944C25"/>
    <w:rsid w:val="00947850"/>
    <w:rsid w:val="00953955"/>
    <w:rsid w:val="0095455E"/>
    <w:rsid w:val="009560D7"/>
    <w:rsid w:val="00957223"/>
    <w:rsid w:val="00962729"/>
    <w:rsid w:val="0096414A"/>
    <w:rsid w:val="0096679B"/>
    <w:rsid w:val="0096696D"/>
    <w:rsid w:val="00970C2B"/>
    <w:rsid w:val="00970D7B"/>
    <w:rsid w:val="0097180E"/>
    <w:rsid w:val="00971D68"/>
    <w:rsid w:val="00973931"/>
    <w:rsid w:val="00975284"/>
    <w:rsid w:val="0097616E"/>
    <w:rsid w:val="00976D3E"/>
    <w:rsid w:val="00980B1E"/>
    <w:rsid w:val="00981E84"/>
    <w:rsid w:val="0098247F"/>
    <w:rsid w:val="00982796"/>
    <w:rsid w:val="00984BC0"/>
    <w:rsid w:val="00984D36"/>
    <w:rsid w:val="00987C64"/>
    <w:rsid w:val="009911CB"/>
    <w:rsid w:val="00995905"/>
    <w:rsid w:val="00995C26"/>
    <w:rsid w:val="00997BD5"/>
    <w:rsid w:val="009A25C7"/>
    <w:rsid w:val="009A459F"/>
    <w:rsid w:val="009A46D6"/>
    <w:rsid w:val="009A57B0"/>
    <w:rsid w:val="009A5E98"/>
    <w:rsid w:val="009A675D"/>
    <w:rsid w:val="009A7256"/>
    <w:rsid w:val="009B0C06"/>
    <w:rsid w:val="009B0DC1"/>
    <w:rsid w:val="009B42A0"/>
    <w:rsid w:val="009C0989"/>
    <w:rsid w:val="009C0E3F"/>
    <w:rsid w:val="009C12B9"/>
    <w:rsid w:val="009C1CD3"/>
    <w:rsid w:val="009D0982"/>
    <w:rsid w:val="009D1822"/>
    <w:rsid w:val="009D1FA2"/>
    <w:rsid w:val="009D206E"/>
    <w:rsid w:val="009D2459"/>
    <w:rsid w:val="009D2645"/>
    <w:rsid w:val="009D2E63"/>
    <w:rsid w:val="009D467E"/>
    <w:rsid w:val="009D541A"/>
    <w:rsid w:val="009D6441"/>
    <w:rsid w:val="009D6A4B"/>
    <w:rsid w:val="009D703C"/>
    <w:rsid w:val="009D77EF"/>
    <w:rsid w:val="009D792D"/>
    <w:rsid w:val="009D7978"/>
    <w:rsid w:val="009E4A1C"/>
    <w:rsid w:val="009E52C6"/>
    <w:rsid w:val="009E619F"/>
    <w:rsid w:val="009E6C40"/>
    <w:rsid w:val="009F035E"/>
    <w:rsid w:val="009F0515"/>
    <w:rsid w:val="009F19F8"/>
    <w:rsid w:val="009F4091"/>
    <w:rsid w:val="009F6CFF"/>
    <w:rsid w:val="009F736D"/>
    <w:rsid w:val="00A00821"/>
    <w:rsid w:val="00A01BC8"/>
    <w:rsid w:val="00A0388E"/>
    <w:rsid w:val="00A03BB4"/>
    <w:rsid w:val="00A04035"/>
    <w:rsid w:val="00A070AE"/>
    <w:rsid w:val="00A07ABF"/>
    <w:rsid w:val="00A10665"/>
    <w:rsid w:val="00A10D77"/>
    <w:rsid w:val="00A110C4"/>
    <w:rsid w:val="00A11481"/>
    <w:rsid w:val="00A11F83"/>
    <w:rsid w:val="00A12185"/>
    <w:rsid w:val="00A15A62"/>
    <w:rsid w:val="00A17992"/>
    <w:rsid w:val="00A17D4F"/>
    <w:rsid w:val="00A17D9F"/>
    <w:rsid w:val="00A203BF"/>
    <w:rsid w:val="00A22B28"/>
    <w:rsid w:val="00A23E41"/>
    <w:rsid w:val="00A26BC1"/>
    <w:rsid w:val="00A409BC"/>
    <w:rsid w:val="00A40BD9"/>
    <w:rsid w:val="00A43366"/>
    <w:rsid w:val="00A4689D"/>
    <w:rsid w:val="00A470BB"/>
    <w:rsid w:val="00A51029"/>
    <w:rsid w:val="00A542A9"/>
    <w:rsid w:val="00A55CF3"/>
    <w:rsid w:val="00A5732B"/>
    <w:rsid w:val="00A57926"/>
    <w:rsid w:val="00A61FB1"/>
    <w:rsid w:val="00A62E6A"/>
    <w:rsid w:val="00A63246"/>
    <w:rsid w:val="00A63FF5"/>
    <w:rsid w:val="00A64945"/>
    <w:rsid w:val="00A65C94"/>
    <w:rsid w:val="00A66452"/>
    <w:rsid w:val="00A66D1F"/>
    <w:rsid w:val="00A71B4F"/>
    <w:rsid w:val="00A71D44"/>
    <w:rsid w:val="00A7207C"/>
    <w:rsid w:val="00A72340"/>
    <w:rsid w:val="00A72DA7"/>
    <w:rsid w:val="00A7400C"/>
    <w:rsid w:val="00A7650A"/>
    <w:rsid w:val="00A80B78"/>
    <w:rsid w:val="00A814E2"/>
    <w:rsid w:val="00A82A5A"/>
    <w:rsid w:val="00A83695"/>
    <w:rsid w:val="00A83BCB"/>
    <w:rsid w:val="00A84D11"/>
    <w:rsid w:val="00A90990"/>
    <w:rsid w:val="00A91F56"/>
    <w:rsid w:val="00A93583"/>
    <w:rsid w:val="00A94CFA"/>
    <w:rsid w:val="00A953F3"/>
    <w:rsid w:val="00A969AC"/>
    <w:rsid w:val="00AA02DC"/>
    <w:rsid w:val="00AA057E"/>
    <w:rsid w:val="00AA0D0C"/>
    <w:rsid w:val="00AA35A7"/>
    <w:rsid w:val="00AA3A3D"/>
    <w:rsid w:val="00AA413D"/>
    <w:rsid w:val="00AA431F"/>
    <w:rsid w:val="00AA4443"/>
    <w:rsid w:val="00AA7EBE"/>
    <w:rsid w:val="00AB068B"/>
    <w:rsid w:val="00AB0E27"/>
    <w:rsid w:val="00AB0ED4"/>
    <w:rsid w:val="00AB2C6E"/>
    <w:rsid w:val="00AB38BB"/>
    <w:rsid w:val="00AB5C40"/>
    <w:rsid w:val="00AB7506"/>
    <w:rsid w:val="00AC0128"/>
    <w:rsid w:val="00AC187A"/>
    <w:rsid w:val="00AC1C7B"/>
    <w:rsid w:val="00AC2320"/>
    <w:rsid w:val="00AC778A"/>
    <w:rsid w:val="00AC7BFB"/>
    <w:rsid w:val="00AD216F"/>
    <w:rsid w:val="00AD336D"/>
    <w:rsid w:val="00AD3B3B"/>
    <w:rsid w:val="00AE13CE"/>
    <w:rsid w:val="00AE1427"/>
    <w:rsid w:val="00AE1FA6"/>
    <w:rsid w:val="00AE4335"/>
    <w:rsid w:val="00AE566D"/>
    <w:rsid w:val="00AE75FC"/>
    <w:rsid w:val="00AF0A66"/>
    <w:rsid w:val="00AF0E97"/>
    <w:rsid w:val="00AF1924"/>
    <w:rsid w:val="00AF1B1F"/>
    <w:rsid w:val="00AF435C"/>
    <w:rsid w:val="00AF466D"/>
    <w:rsid w:val="00AF6599"/>
    <w:rsid w:val="00AF7675"/>
    <w:rsid w:val="00B02C22"/>
    <w:rsid w:val="00B04E44"/>
    <w:rsid w:val="00B10BD4"/>
    <w:rsid w:val="00B114B8"/>
    <w:rsid w:val="00B11582"/>
    <w:rsid w:val="00B134C0"/>
    <w:rsid w:val="00B144D7"/>
    <w:rsid w:val="00B14B03"/>
    <w:rsid w:val="00B16368"/>
    <w:rsid w:val="00B175B9"/>
    <w:rsid w:val="00B1760D"/>
    <w:rsid w:val="00B203FF"/>
    <w:rsid w:val="00B20477"/>
    <w:rsid w:val="00B208B5"/>
    <w:rsid w:val="00B219E3"/>
    <w:rsid w:val="00B22474"/>
    <w:rsid w:val="00B23757"/>
    <w:rsid w:val="00B23D68"/>
    <w:rsid w:val="00B24597"/>
    <w:rsid w:val="00B24885"/>
    <w:rsid w:val="00B258C7"/>
    <w:rsid w:val="00B33C09"/>
    <w:rsid w:val="00B365AF"/>
    <w:rsid w:val="00B379BA"/>
    <w:rsid w:val="00B425CC"/>
    <w:rsid w:val="00B44A96"/>
    <w:rsid w:val="00B44F08"/>
    <w:rsid w:val="00B45BBB"/>
    <w:rsid w:val="00B47090"/>
    <w:rsid w:val="00B47243"/>
    <w:rsid w:val="00B47CD0"/>
    <w:rsid w:val="00B47FD1"/>
    <w:rsid w:val="00B502AA"/>
    <w:rsid w:val="00B50579"/>
    <w:rsid w:val="00B5307B"/>
    <w:rsid w:val="00B54C0A"/>
    <w:rsid w:val="00B54E3D"/>
    <w:rsid w:val="00B554A5"/>
    <w:rsid w:val="00B55934"/>
    <w:rsid w:val="00B561E4"/>
    <w:rsid w:val="00B6113F"/>
    <w:rsid w:val="00B63CC4"/>
    <w:rsid w:val="00B6453F"/>
    <w:rsid w:val="00B71ACD"/>
    <w:rsid w:val="00B71DDA"/>
    <w:rsid w:val="00B72E3E"/>
    <w:rsid w:val="00B75565"/>
    <w:rsid w:val="00B76FF2"/>
    <w:rsid w:val="00B77E40"/>
    <w:rsid w:val="00B81564"/>
    <w:rsid w:val="00B839BB"/>
    <w:rsid w:val="00B83B87"/>
    <w:rsid w:val="00B84DEA"/>
    <w:rsid w:val="00B857DA"/>
    <w:rsid w:val="00B87252"/>
    <w:rsid w:val="00B87F95"/>
    <w:rsid w:val="00B90B0D"/>
    <w:rsid w:val="00B913C5"/>
    <w:rsid w:val="00B9176C"/>
    <w:rsid w:val="00B9276A"/>
    <w:rsid w:val="00B95302"/>
    <w:rsid w:val="00B97527"/>
    <w:rsid w:val="00BA025F"/>
    <w:rsid w:val="00BA066C"/>
    <w:rsid w:val="00BA56B4"/>
    <w:rsid w:val="00BA69E7"/>
    <w:rsid w:val="00BA7322"/>
    <w:rsid w:val="00BA736B"/>
    <w:rsid w:val="00BB1B65"/>
    <w:rsid w:val="00BB1FC0"/>
    <w:rsid w:val="00BB243F"/>
    <w:rsid w:val="00BB2EF0"/>
    <w:rsid w:val="00BB7BDB"/>
    <w:rsid w:val="00BC1793"/>
    <w:rsid w:val="00BC216B"/>
    <w:rsid w:val="00BC27FC"/>
    <w:rsid w:val="00BC2FC6"/>
    <w:rsid w:val="00BC3C36"/>
    <w:rsid w:val="00BC4223"/>
    <w:rsid w:val="00BC4294"/>
    <w:rsid w:val="00BC5052"/>
    <w:rsid w:val="00BC7210"/>
    <w:rsid w:val="00BC7533"/>
    <w:rsid w:val="00BC7C10"/>
    <w:rsid w:val="00BD0D90"/>
    <w:rsid w:val="00BD337A"/>
    <w:rsid w:val="00BD378A"/>
    <w:rsid w:val="00BD38DD"/>
    <w:rsid w:val="00BD3B36"/>
    <w:rsid w:val="00BD75AF"/>
    <w:rsid w:val="00BE094F"/>
    <w:rsid w:val="00BE1DD9"/>
    <w:rsid w:val="00BE1F60"/>
    <w:rsid w:val="00BE2A21"/>
    <w:rsid w:val="00BE36ED"/>
    <w:rsid w:val="00BE3F48"/>
    <w:rsid w:val="00BE454E"/>
    <w:rsid w:val="00BE4AFB"/>
    <w:rsid w:val="00BF041B"/>
    <w:rsid w:val="00BF0A2A"/>
    <w:rsid w:val="00BF15D5"/>
    <w:rsid w:val="00BF2375"/>
    <w:rsid w:val="00BF289E"/>
    <w:rsid w:val="00BF2FCD"/>
    <w:rsid w:val="00BF3BE5"/>
    <w:rsid w:val="00BF3F6D"/>
    <w:rsid w:val="00BF44BD"/>
    <w:rsid w:val="00BF4C54"/>
    <w:rsid w:val="00BF5443"/>
    <w:rsid w:val="00BF6DED"/>
    <w:rsid w:val="00BF6E57"/>
    <w:rsid w:val="00BF763F"/>
    <w:rsid w:val="00C001D3"/>
    <w:rsid w:val="00C02D16"/>
    <w:rsid w:val="00C05D03"/>
    <w:rsid w:val="00C07BCF"/>
    <w:rsid w:val="00C13A37"/>
    <w:rsid w:val="00C14129"/>
    <w:rsid w:val="00C168B3"/>
    <w:rsid w:val="00C17718"/>
    <w:rsid w:val="00C2557E"/>
    <w:rsid w:val="00C268A2"/>
    <w:rsid w:val="00C27A28"/>
    <w:rsid w:val="00C30192"/>
    <w:rsid w:val="00C3277B"/>
    <w:rsid w:val="00C32E52"/>
    <w:rsid w:val="00C34E51"/>
    <w:rsid w:val="00C35BDB"/>
    <w:rsid w:val="00C36820"/>
    <w:rsid w:val="00C4097F"/>
    <w:rsid w:val="00C43A1E"/>
    <w:rsid w:val="00C43A36"/>
    <w:rsid w:val="00C442E1"/>
    <w:rsid w:val="00C44931"/>
    <w:rsid w:val="00C44CAC"/>
    <w:rsid w:val="00C45DCA"/>
    <w:rsid w:val="00C4604E"/>
    <w:rsid w:val="00C52E7A"/>
    <w:rsid w:val="00C52FE5"/>
    <w:rsid w:val="00C53210"/>
    <w:rsid w:val="00C55FBF"/>
    <w:rsid w:val="00C56483"/>
    <w:rsid w:val="00C56CC3"/>
    <w:rsid w:val="00C57B7A"/>
    <w:rsid w:val="00C624A5"/>
    <w:rsid w:val="00C62B5E"/>
    <w:rsid w:val="00C6341A"/>
    <w:rsid w:val="00C6558E"/>
    <w:rsid w:val="00C67137"/>
    <w:rsid w:val="00C6718D"/>
    <w:rsid w:val="00C67AB3"/>
    <w:rsid w:val="00C70338"/>
    <w:rsid w:val="00C7125D"/>
    <w:rsid w:val="00C7397E"/>
    <w:rsid w:val="00C753F4"/>
    <w:rsid w:val="00C75B37"/>
    <w:rsid w:val="00C768CD"/>
    <w:rsid w:val="00C76C5E"/>
    <w:rsid w:val="00C76DA2"/>
    <w:rsid w:val="00C81D9A"/>
    <w:rsid w:val="00C834A6"/>
    <w:rsid w:val="00C86633"/>
    <w:rsid w:val="00C8681C"/>
    <w:rsid w:val="00C908C1"/>
    <w:rsid w:val="00C918E0"/>
    <w:rsid w:val="00C91AAE"/>
    <w:rsid w:val="00C92C77"/>
    <w:rsid w:val="00C93E82"/>
    <w:rsid w:val="00C97768"/>
    <w:rsid w:val="00CA028B"/>
    <w:rsid w:val="00CA1779"/>
    <w:rsid w:val="00CA42DC"/>
    <w:rsid w:val="00CB12E2"/>
    <w:rsid w:val="00CB28CD"/>
    <w:rsid w:val="00CB2B11"/>
    <w:rsid w:val="00CB33BF"/>
    <w:rsid w:val="00CB3653"/>
    <w:rsid w:val="00CB3E60"/>
    <w:rsid w:val="00CB4B47"/>
    <w:rsid w:val="00CB7288"/>
    <w:rsid w:val="00CC1419"/>
    <w:rsid w:val="00CC35CE"/>
    <w:rsid w:val="00CC36D1"/>
    <w:rsid w:val="00CC449D"/>
    <w:rsid w:val="00CC531A"/>
    <w:rsid w:val="00CC7FB7"/>
    <w:rsid w:val="00CD02D0"/>
    <w:rsid w:val="00CD03CA"/>
    <w:rsid w:val="00CD13FD"/>
    <w:rsid w:val="00CD2A5F"/>
    <w:rsid w:val="00CD30CC"/>
    <w:rsid w:val="00CD35BD"/>
    <w:rsid w:val="00CD3948"/>
    <w:rsid w:val="00CD44C1"/>
    <w:rsid w:val="00CD5E8E"/>
    <w:rsid w:val="00CD661D"/>
    <w:rsid w:val="00CD7F1E"/>
    <w:rsid w:val="00CE3490"/>
    <w:rsid w:val="00CE3943"/>
    <w:rsid w:val="00CE5A61"/>
    <w:rsid w:val="00CE5E34"/>
    <w:rsid w:val="00CE6A54"/>
    <w:rsid w:val="00CE737F"/>
    <w:rsid w:val="00CE7A05"/>
    <w:rsid w:val="00CF1EDC"/>
    <w:rsid w:val="00CF20CE"/>
    <w:rsid w:val="00CF2484"/>
    <w:rsid w:val="00CF2D14"/>
    <w:rsid w:val="00CF3507"/>
    <w:rsid w:val="00CF3F48"/>
    <w:rsid w:val="00CF47A5"/>
    <w:rsid w:val="00CF7775"/>
    <w:rsid w:val="00D01F03"/>
    <w:rsid w:val="00D04DD8"/>
    <w:rsid w:val="00D07F5E"/>
    <w:rsid w:val="00D07F70"/>
    <w:rsid w:val="00D112BC"/>
    <w:rsid w:val="00D11BB2"/>
    <w:rsid w:val="00D12295"/>
    <w:rsid w:val="00D138C7"/>
    <w:rsid w:val="00D13E3B"/>
    <w:rsid w:val="00D14888"/>
    <w:rsid w:val="00D16ACF"/>
    <w:rsid w:val="00D20F95"/>
    <w:rsid w:val="00D21548"/>
    <w:rsid w:val="00D21822"/>
    <w:rsid w:val="00D226AD"/>
    <w:rsid w:val="00D22878"/>
    <w:rsid w:val="00D25CE0"/>
    <w:rsid w:val="00D273D3"/>
    <w:rsid w:val="00D30C77"/>
    <w:rsid w:val="00D33EFD"/>
    <w:rsid w:val="00D35594"/>
    <w:rsid w:val="00D35CDC"/>
    <w:rsid w:val="00D36A6E"/>
    <w:rsid w:val="00D43D2D"/>
    <w:rsid w:val="00D444AE"/>
    <w:rsid w:val="00D445D3"/>
    <w:rsid w:val="00D44CFE"/>
    <w:rsid w:val="00D46127"/>
    <w:rsid w:val="00D47056"/>
    <w:rsid w:val="00D50019"/>
    <w:rsid w:val="00D536BE"/>
    <w:rsid w:val="00D55A95"/>
    <w:rsid w:val="00D56A10"/>
    <w:rsid w:val="00D56F6E"/>
    <w:rsid w:val="00D57A51"/>
    <w:rsid w:val="00D62E3B"/>
    <w:rsid w:val="00D6377F"/>
    <w:rsid w:val="00D678A8"/>
    <w:rsid w:val="00D719DD"/>
    <w:rsid w:val="00D72A83"/>
    <w:rsid w:val="00D74068"/>
    <w:rsid w:val="00D74DEC"/>
    <w:rsid w:val="00D750CD"/>
    <w:rsid w:val="00D754DB"/>
    <w:rsid w:val="00D75C51"/>
    <w:rsid w:val="00D75CD4"/>
    <w:rsid w:val="00D768FD"/>
    <w:rsid w:val="00D8170D"/>
    <w:rsid w:val="00D81D0B"/>
    <w:rsid w:val="00D83041"/>
    <w:rsid w:val="00D83F1B"/>
    <w:rsid w:val="00D8450E"/>
    <w:rsid w:val="00D84B5D"/>
    <w:rsid w:val="00D86CBD"/>
    <w:rsid w:val="00D87361"/>
    <w:rsid w:val="00D913B6"/>
    <w:rsid w:val="00D93533"/>
    <w:rsid w:val="00D95281"/>
    <w:rsid w:val="00D95B62"/>
    <w:rsid w:val="00D9743E"/>
    <w:rsid w:val="00DA27D1"/>
    <w:rsid w:val="00DA3EF5"/>
    <w:rsid w:val="00DA4529"/>
    <w:rsid w:val="00DA50D9"/>
    <w:rsid w:val="00DB0057"/>
    <w:rsid w:val="00DB05C9"/>
    <w:rsid w:val="00DB0C8E"/>
    <w:rsid w:val="00DB10B6"/>
    <w:rsid w:val="00DB2DFC"/>
    <w:rsid w:val="00DB4C9A"/>
    <w:rsid w:val="00DB5AF6"/>
    <w:rsid w:val="00DB6D19"/>
    <w:rsid w:val="00DB721B"/>
    <w:rsid w:val="00DB7401"/>
    <w:rsid w:val="00DC10EA"/>
    <w:rsid w:val="00DC14D9"/>
    <w:rsid w:val="00DC29FB"/>
    <w:rsid w:val="00DC2F9B"/>
    <w:rsid w:val="00DC42B0"/>
    <w:rsid w:val="00DC44B1"/>
    <w:rsid w:val="00DC4963"/>
    <w:rsid w:val="00DC5AFF"/>
    <w:rsid w:val="00DC5F25"/>
    <w:rsid w:val="00DC6399"/>
    <w:rsid w:val="00DD0879"/>
    <w:rsid w:val="00DD0CBB"/>
    <w:rsid w:val="00DD3FEA"/>
    <w:rsid w:val="00DD4DD9"/>
    <w:rsid w:val="00DD4EA2"/>
    <w:rsid w:val="00DD5AB9"/>
    <w:rsid w:val="00DD6CC3"/>
    <w:rsid w:val="00DE2146"/>
    <w:rsid w:val="00DE2A29"/>
    <w:rsid w:val="00DE673D"/>
    <w:rsid w:val="00DE734E"/>
    <w:rsid w:val="00DE7447"/>
    <w:rsid w:val="00DF05C8"/>
    <w:rsid w:val="00DF4F35"/>
    <w:rsid w:val="00DF68E0"/>
    <w:rsid w:val="00DF79C6"/>
    <w:rsid w:val="00DF7DF5"/>
    <w:rsid w:val="00DF7F19"/>
    <w:rsid w:val="00E00A14"/>
    <w:rsid w:val="00E02B94"/>
    <w:rsid w:val="00E0484D"/>
    <w:rsid w:val="00E079CC"/>
    <w:rsid w:val="00E10581"/>
    <w:rsid w:val="00E13791"/>
    <w:rsid w:val="00E17D98"/>
    <w:rsid w:val="00E2013B"/>
    <w:rsid w:val="00E214D5"/>
    <w:rsid w:val="00E216E0"/>
    <w:rsid w:val="00E220A8"/>
    <w:rsid w:val="00E22333"/>
    <w:rsid w:val="00E23545"/>
    <w:rsid w:val="00E260A0"/>
    <w:rsid w:val="00E269AD"/>
    <w:rsid w:val="00E31D43"/>
    <w:rsid w:val="00E332F7"/>
    <w:rsid w:val="00E353BA"/>
    <w:rsid w:val="00E363B3"/>
    <w:rsid w:val="00E37D61"/>
    <w:rsid w:val="00E41898"/>
    <w:rsid w:val="00E433C3"/>
    <w:rsid w:val="00E43D35"/>
    <w:rsid w:val="00E4465A"/>
    <w:rsid w:val="00E456BB"/>
    <w:rsid w:val="00E459CF"/>
    <w:rsid w:val="00E5515A"/>
    <w:rsid w:val="00E57549"/>
    <w:rsid w:val="00E6110E"/>
    <w:rsid w:val="00E61870"/>
    <w:rsid w:val="00E646B6"/>
    <w:rsid w:val="00E656FD"/>
    <w:rsid w:val="00E65B3B"/>
    <w:rsid w:val="00E661FE"/>
    <w:rsid w:val="00E66D02"/>
    <w:rsid w:val="00E676AD"/>
    <w:rsid w:val="00E67A2B"/>
    <w:rsid w:val="00E70057"/>
    <w:rsid w:val="00E702CB"/>
    <w:rsid w:val="00E70637"/>
    <w:rsid w:val="00E728BE"/>
    <w:rsid w:val="00E7317B"/>
    <w:rsid w:val="00E73565"/>
    <w:rsid w:val="00E7386A"/>
    <w:rsid w:val="00E7590E"/>
    <w:rsid w:val="00E75BE5"/>
    <w:rsid w:val="00E75DBD"/>
    <w:rsid w:val="00E775B8"/>
    <w:rsid w:val="00E775C1"/>
    <w:rsid w:val="00E77A09"/>
    <w:rsid w:val="00E803B0"/>
    <w:rsid w:val="00E80743"/>
    <w:rsid w:val="00E81AFB"/>
    <w:rsid w:val="00E81E17"/>
    <w:rsid w:val="00E82E0D"/>
    <w:rsid w:val="00E8384A"/>
    <w:rsid w:val="00E84319"/>
    <w:rsid w:val="00E915E3"/>
    <w:rsid w:val="00E92090"/>
    <w:rsid w:val="00E92273"/>
    <w:rsid w:val="00E93DCD"/>
    <w:rsid w:val="00E971C4"/>
    <w:rsid w:val="00EA0C53"/>
    <w:rsid w:val="00EA1536"/>
    <w:rsid w:val="00EA202D"/>
    <w:rsid w:val="00EA3743"/>
    <w:rsid w:val="00EA4548"/>
    <w:rsid w:val="00EA5F52"/>
    <w:rsid w:val="00EA6929"/>
    <w:rsid w:val="00EA77E9"/>
    <w:rsid w:val="00EB0125"/>
    <w:rsid w:val="00EB0B54"/>
    <w:rsid w:val="00EB13E4"/>
    <w:rsid w:val="00EB1E9C"/>
    <w:rsid w:val="00EB28E8"/>
    <w:rsid w:val="00EB6577"/>
    <w:rsid w:val="00EB78FF"/>
    <w:rsid w:val="00EC4244"/>
    <w:rsid w:val="00EC6682"/>
    <w:rsid w:val="00ED0628"/>
    <w:rsid w:val="00ED08F1"/>
    <w:rsid w:val="00ED156E"/>
    <w:rsid w:val="00ED369C"/>
    <w:rsid w:val="00ED39B9"/>
    <w:rsid w:val="00ED6FBF"/>
    <w:rsid w:val="00ED70F4"/>
    <w:rsid w:val="00EE0042"/>
    <w:rsid w:val="00EE1A9D"/>
    <w:rsid w:val="00EE2DE7"/>
    <w:rsid w:val="00EE5F3B"/>
    <w:rsid w:val="00EE755E"/>
    <w:rsid w:val="00EF1614"/>
    <w:rsid w:val="00EF7123"/>
    <w:rsid w:val="00F014D1"/>
    <w:rsid w:val="00F03565"/>
    <w:rsid w:val="00F042C4"/>
    <w:rsid w:val="00F05174"/>
    <w:rsid w:val="00F063C4"/>
    <w:rsid w:val="00F06DA0"/>
    <w:rsid w:val="00F10B30"/>
    <w:rsid w:val="00F10B9B"/>
    <w:rsid w:val="00F1616D"/>
    <w:rsid w:val="00F17BDD"/>
    <w:rsid w:val="00F205D1"/>
    <w:rsid w:val="00F211C3"/>
    <w:rsid w:val="00F22987"/>
    <w:rsid w:val="00F2451C"/>
    <w:rsid w:val="00F24DAD"/>
    <w:rsid w:val="00F25F9F"/>
    <w:rsid w:val="00F26E25"/>
    <w:rsid w:val="00F27BD9"/>
    <w:rsid w:val="00F31DD1"/>
    <w:rsid w:val="00F33237"/>
    <w:rsid w:val="00F335D3"/>
    <w:rsid w:val="00F338E1"/>
    <w:rsid w:val="00F34153"/>
    <w:rsid w:val="00F35771"/>
    <w:rsid w:val="00F36F4C"/>
    <w:rsid w:val="00F40125"/>
    <w:rsid w:val="00F41B82"/>
    <w:rsid w:val="00F41C64"/>
    <w:rsid w:val="00F426B0"/>
    <w:rsid w:val="00F42817"/>
    <w:rsid w:val="00F428B0"/>
    <w:rsid w:val="00F46B0C"/>
    <w:rsid w:val="00F525A4"/>
    <w:rsid w:val="00F53E0D"/>
    <w:rsid w:val="00F550F0"/>
    <w:rsid w:val="00F572C7"/>
    <w:rsid w:val="00F5797D"/>
    <w:rsid w:val="00F57A38"/>
    <w:rsid w:val="00F57C8F"/>
    <w:rsid w:val="00F57DE1"/>
    <w:rsid w:val="00F6015C"/>
    <w:rsid w:val="00F60961"/>
    <w:rsid w:val="00F63475"/>
    <w:rsid w:val="00F64966"/>
    <w:rsid w:val="00F67B38"/>
    <w:rsid w:val="00F70067"/>
    <w:rsid w:val="00F7299D"/>
    <w:rsid w:val="00F72F84"/>
    <w:rsid w:val="00F81631"/>
    <w:rsid w:val="00F81DCB"/>
    <w:rsid w:val="00F825F5"/>
    <w:rsid w:val="00F82770"/>
    <w:rsid w:val="00F82D52"/>
    <w:rsid w:val="00F852C4"/>
    <w:rsid w:val="00F8593E"/>
    <w:rsid w:val="00F85AE6"/>
    <w:rsid w:val="00F861DD"/>
    <w:rsid w:val="00F9052B"/>
    <w:rsid w:val="00F91AE3"/>
    <w:rsid w:val="00F9391D"/>
    <w:rsid w:val="00F958D7"/>
    <w:rsid w:val="00F9671F"/>
    <w:rsid w:val="00F96CBF"/>
    <w:rsid w:val="00F9780D"/>
    <w:rsid w:val="00F97F7C"/>
    <w:rsid w:val="00FA0781"/>
    <w:rsid w:val="00FA0A78"/>
    <w:rsid w:val="00FA0D4A"/>
    <w:rsid w:val="00FA117B"/>
    <w:rsid w:val="00FA1F7C"/>
    <w:rsid w:val="00FA2087"/>
    <w:rsid w:val="00FA2B4C"/>
    <w:rsid w:val="00FA3D60"/>
    <w:rsid w:val="00FB3E64"/>
    <w:rsid w:val="00FB4082"/>
    <w:rsid w:val="00FB49F8"/>
    <w:rsid w:val="00FB4C9E"/>
    <w:rsid w:val="00FB5C44"/>
    <w:rsid w:val="00FB6FC0"/>
    <w:rsid w:val="00FB7683"/>
    <w:rsid w:val="00FB7C2A"/>
    <w:rsid w:val="00FC3A69"/>
    <w:rsid w:val="00FC4862"/>
    <w:rsid w:val="00FC48FF"/>
    <w:rsid w:val="00FC54D2"/>
    <w:rsid w:val="00FC5C84"/>
    <w:rsid w:val="00FD0756"/>
    <w:rsid w:val="00FD097B"/>
    <w:rsid w:val="00FD2696"/>
    <w:rsid w:val="00FD3A69"/>
    <w:rsid w:val="00FD6BD8"/>
    <w:rsid w:val="00FD6D2F"/>
    <w:rsid w:val="00FD7FC0"/>
    <w:rsid w:val="00FE0E2E"/>
    <w:rsid w:val="00FE1CBF"/>
    <w:rsid w:val="00FE2530"/>
    <w:rsid w:val="00FE369A"/>
    <w:rsid w:val="00FF1BBD"/>
    <w:rsid w:val="00FF207B"/>
    <w:rsid w:val="00FF2481"/>
    <w:rsid w:val="00FF2B7C"/>
    <w:rsid w:val="00FF2CCF"/>
    <w:rsid w:val="00FF2F23"/>
    <w:rsid w:val="00FF4296"/>
    <w:rsid w:val="00FF44F0"/>
    <w:rsid w:val="00FF4FF2"/>
    <w:rsid w:val="00FF55D5"/>
    <w:rsid w:val="00FF57C2"/>
    <w:rsid w:val="00FF7E5F"/>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02D"/>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03418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List Paragraph 1,Chapter Numbering,Table of contents numbered,MB SUB A,Indent 1,numbers normal cal,Riana Table Bullets 1,Grey Bullet List,Grey Bullet Style,Gov 2,Indent Paragraph,Colorful List - Accent 11,Bullets,normal"/>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 2 Char,List Paragraph 1 Char,Chapter Numbering Char,Table of contents numbered Char,MB SUB A Char,Indent 1 Char,numbers normal cal Char,Riana Table Bullets 1 Char,Grey Bullet List Char,Grey Bullet Style Char"/>
    <w:link w:val="ListParagraph"/>
    <w:uiPriority w:val="34"/>
    <w:locked/>
    <w:rsid w:val="009225D0"/>
    <w:rPr>
      <w:rFonts w:ascii="Calibri" w:eastAsia="Calibri" w:hAnsi="Calibri" w:cs="Times New Roman"/>
      <w:lang w:val="en-US"/>
    </w:rPr>
  </w:style>
  <w:style w:type="table" w:customStyle="1" w:styleId="TableGrid2">
    <w:name w:val="Table Grid2"/>
    <w:basedOn w:val="TableNormal"/>
    <w:next w:val="TableGrid"/>
    <w:uiPriority w:val="39"/>
    <w:rsid w:val="00563DB2"/>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718D"/>
    <w:rPr>
      <w:b/>
      <w:bCs/>
    </w:rPr>
  </w:style>
  <w:style w:type="character" w:customStyle="1" w:styleId="CommentSubjectChar">
    <w:name w:val="Comment Subject Char"/>
    <w:basedOn w:val="CommentTextChar"/>
    <w:link w:val="CommentSubject"/>
    <w:uiPriority w:val="99"/>
    <w:semiHidden/>
    <w:rsid w:val="00C6718D"/>
    <w:rPr>
      <w:b/>
      <w:bCs/>
      <w:sz w:val="20"/>
      <w:szCs w:val="20"/>
    </w:rPr>
  </w:style>
  <w:style w:type="character" w:customStyle="1" w:styleId="Heading7Char">
    <w:name w:val="Heading 7 Char"/>
    <w:basedOn w:val="DefaultParagraphFont"/>
    <w:link w:val="Heading7"/>
    <w:uiPriority w:val="9"/>
    <w:semiHidden/>
    <w:rsid w:val="0003418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3467">
      <w:bodyDiv w:val="1"/>
      <w:marLeft w:val="0"/>
      <w:marRight w:val="0"/>
      <w:marTop w:val="0"/>
      <w:marBottom w:val="0"/>
      <w:divBdr>
        <w:top w:val="none" w:sz="0" w:space="0" w:color="auto"/>
        <w:left w:val="none" w:sz="0" w:space="0" w:color="auto"/>
        <w:bottom w:val="none" w:sz="0" w:space="0" w:color="auto"/>
        <w:right w:val="none" w:sz="0" w:space="0" w:color="auto"/>
      </w:divBdr>
    </w:div>
    <w:div w:id="55204655">
      <w:bodyDiv w:val="1"/>
      <w:marLeft w:val="0"/>
      <w:marRight w:val="0"/>
      <w:marTop w:val="0"/>
      <w:marBottom w:val="0"/>
      <w:divBdr>
        <w:top w:val="none" w:sz="0" w:space="0" w:color="auto"/>
        <w:left w:val="none" w:sz="0" w:space="0" w:color="auto"/>
        <w:bottom w:val="none" w:sz="0" w:space="0" w:color="auto"/>
        <w:right w:val="none" w:sz="0" w:space="0" w:color="auto"/>
      </w:divBdr>
      <w:divsChild>
        <w:div w:id="1622106782">
          <w:marLeft w:val="360"/>
          <w:marRight w:val="0"/>
          <w:marTop w:val="100"/>
          <w:marBottom w:val="0"/>
          <w:divBdr>
            <w:top w:val="none" w:sz="0" w:space="0" w:color="auto"/>
            <w:left w:val="none" w:sz="0" w:space="0" w:color="auto"/>
            <w:bottom w:val="none" w:sz="0" w:space="0" w:color="auto"/>
            <w:right w:val="none" w:sz="0" w:space="0" w:color="auto"/>
          </w:divBdr>
        </w:div>
        <w:div w:id="194513307">
          <w:marLeft w:val="360"/>
          <w:marRight w:val="0"/>
          <w:marTop w:val="100"/>
          <w:marBottom w:val="0"/>
          <w:divBdr>
            <w:top w:val="none" w:sz="0" w:space="0" w:color="auto"/>
            <w:left w:val="none" w:sz="0" w:space="0" w:color="auto"/>
            <w:bottom w:val="none" w:sz="0" w:space="0" w:color="auto"/>
            <w:right w:val="none" w:sz="0" w:space="0" w:color="auto"/>
          </w:divBdr>
        </w:div>
        <w:div w:id="86468729">
          <w:marLeft w:val="360"/>
          <w:marRight w:val="0"/>
          <w:marTop w:val="100"/>
          <w:marBottom w:val="0"/>
          <w:divBdr>
            <w:top w:val="none" w:sz="0" w:space="0" w:color="auto"/>
            <w:left w:val="none" w:sz="0" w:space="0" w:color="auto"/>
            <w:bottom w:val="none" w:sz="0" w:space="0" w:color="auto"/>
            <w:right w:val="none" w:sz="0" w:space="0" w:color="auto"/>
          </w:divBdr>
        </w:div>
        <w:div w:id="1902710342">
          <w:marLeft w:val="360"/>
          <w:marRight w:val="0"/>
          <w:marTop w:val="100"/>
          <w:marBottom w:val="0"/>
          <w:divBdr>
            <w:top w:val="none" w:sz="0" w:space="0" w:color="auto"/>
            <w:left w:val="none" w:sz="0" w:space="0" w:color="auto"/>
            <w:bottom w:val="none" w:sz="0" w:space="0" w:color="auto"/>
            <w:right w:val="none" w:sz="0" w:space="0" w:color="auto"/>
          </w:divBdr>
        </w:div>
        <w:div w:id="2019576761">
          <w:marLeft w:val="360"/>
          <w:marRight w:val="0"/>
          <w:marTop w:val="100"/>
          <w:marBottom w:val="0"/>
          <w:divBdr>
            <w:top w:val="none" w:sz="0" w:space="0" w:color="auto"/>
            <w:left w:val="none" w:sz="0" w:space="0" w:color="auto"/>
            <w:bottom w:val="none" w:sz="0" w:space="0" w:color="auto"/>
            <w:right w:val="none" w:sz="0" w:space="0" w:color="auto"/>
          </w:divBdr>
        </w:div>
        <w:div w:id="327558908">
          <w:marLeft w:val="360"/>
          <w:marRight w:val="0"/>
          <w:marTop w:val="100"/>
          <w:marBottom w:val="0"/>
          <w:divBdr>
            <w:top w:val="none" w:sz="0" w:space="0" w:color="auto"/>
            <w:left w:val="none" w:sz="0" w:space="0" w:color="auto"/>
            <w:bottom w:val="none" w:sz="0" w:space="0" w:color="auto"/>
            <w:right w:val="none" w:sz="0" w:space="0" w:color="auto"/>
          </w:divBdr>
        </w:div>
        <w:div w:id="59986526">
          <w:marLeft w:val="360"/>
          <w:marRight w:val="0"/>
          <w:marTop w:val="100"/>
          <w:marBottom w:val="0"/>
          <w:divBdr>
            <w:top w:val="none" w:sz="0" w:space="0" w:color="auto"/>
            <w:left w:val="none" w:sz="0" w:space="0" w:color="auto"/>
            <w:bottom w:val="none" w:sz="0" w:space="0" w:color="auto"/>
            <w:right w:val="none" w:sz="0" w:space="0" w:color="auto"/>
          </w:divBdr>
        </w:div>
      </w:divsChild>
    </w:div>
    <w:div w:id="65538449">
      <w:bodyDiv w:val="1"/>
      <w:marLeft w:val="0"/>
      <w:marRight w:val="0"/>
      <w:marTop w:val="0"/>
      <w:marBottom w:val="0"/>
      <w:divBdr>
        <w:top w:val="none" w:sz="0" w:space="0" w:color="auto"/>
        <w:left w:val="none" w:sz="0" w:space="0" w:color="auto"/>
        <w:bottom w:val="none" w:sz="0" w:space="0" w:color="auto"/>
        <w:right w:val="none" w:sz="0" w:space="0" w:color="auto"/>
      </w:divBdr>
      <w:divsChild>
        <w:div w:id="105195270">
          <w:marLeft w:val="360"/>
          <w:marRight w:val="0"/>
          <w:marTop w:val="100"/>
          <w:marBottom w:val="0"/>
          <w:divBdr>
            <w:top w:val="none" w:sz="0" w:space="0" w:color="auto"/>
            <w:left w:val="none" w:sz="0" w:space="0" w:color="auto"/>
            <w:bottom w:val="none" w:sz="0" w:space="0" w:color="auto"/>
            <w:right w:val="none" w:sz="0" w:space="0" w:color="auto"/>
          </w:divBdr>
        </w:div>
        <w:div w:id="1614970267">
          <w:marLeft w:val="360"/>
          <w:marRight w:val="0"/>
          <w:marTop w:val="100"/>
          <w:marBottom w:val="0"/>
          <w:divBdr>
            <w:top w:val="none" w:sz="0" w:space="0" w:color="auto"/>
            <w:left w:val="none" w:sz="0" w:space="0" w:color="auto"/>
            <w:bottom w:val="none" w:sz="0" w:space="0" w:color="auto"/>
            <w:right w:val="none" w:sz="0" w:space="0" w:color="auto"/>
          </w:divBdr>
        </w:div>
        <w:div w:id="1238521012">
          <w:marLeft w:val="360"/>
          <w:marRight w:val="0"/>
          <w:marTop w:val="100"/>
          <w:marBottom w:val="0"/>
          <w:divBdr>
            <w:top w:val="none" w:sz="0" w:space="0" w:color="auto"/>
            <w:left w:val="none" w:sz="0" w:space="0" w:color="auto"/>
            <w:bottom w:val="none" w:sz="0" w:space="0" w:color="auto"/>
            <w:right w:val="none" w:sz="0" w:space="0" w:color="auto"/>
          </w:divBdr>
        </w:div>
        <w:div w:id="1698963195">
          <w:marLeft w:val="360"/>
          <w:marRight w:val="0"/>
          <w:marTop w:val="100"/>
          <w:marBottom w:val="0"/>
          <w:divBdr>
            <w:top w:val="none" w:sz="0" w:space="0" w:color="auto"/>
            <w:left w:val="none" w:sz="0" w:space="0" w:color="auto"/>
            <w:bottom w:val="none" w:sz="0" w:space="0" w:color="auto"/>
            <w:right w:val="none" w:sz="0" w:space="0" w:color="auto"/>
          </w:divBdr>
        </w:div>
      </w:divsChild>
    </w:div>
    <w:div w:id="161167258">
      <w:bodyDiv w:val="1"/>
      <w:marLeft w:val="0"/>
      <w:marRight w:val="0"/>
      <w:marTop w:val="0"/>
      <w:marBottom w:val="0"/>
      <w:divBdr>
        <w:top w:val="none" w:sz="0" w:space="0" w:color="auto"/>
        <w:left w:val="none" w:sz="0" w:space="0" w:color="auto"/>
        <w:bottom w:val="none" w:sz="0" w:space="0" w:color="auto"/>
        <w:right w:val="none" w:sz="0" w:space="0" w:color="auto"/>
      </w:divBdr>
      <w:divsChild>
        <w:div w:id="481041036">
          <w:marLeft w:val="360"/>
          <w:marRight w:val="0"/>
          <w:marTop w:val="200"/>
          <w:marBottom w:val="0"/>
          <w:divBdr>
            <w:top w:val="none" w:sz="0" w:space="0" w:color="auto"/>
            <w:left w:val="none" w:sz="0" w:space="0" w:color="auto"/>
            <w:bottom w:val="none" w:sz="0" w:space="0" w:color="auto"/>
            <w:right w:val="none" w:sz="0" w:space="0" w:color="auto"/>
          </w:divBdr>
        </w:div>
        <w:div w:id="1789666680">
          <w:marLeft w:val="360"/>
          <w:marRight w:val="0"/>
          <w:marTop w:val="200"/>
          <w:marBottom w:val="0"/>
          <w:divBdr>
            <w:top w:val="none" w:sz="0" w:space="0" w:color="auto"/>
            <w:left w:val="none" w:sz="0" w:space="0" w:color="auto"/>
            <w:bottom w:val="none" w:sz="0" w:space="0" w:color="auto"/>
            <w:right w:val="none" w:sz="0" w:space="0" w:color="auto"/>
          </w:divBdr>
        </w:div>
      </w:divsChild>
    </w:div>
    <w:div w:id="163395847">
      <w:bodyDiv w:val="1"/>
      <w:marLeft w:val="0"/>
      <w:marRight w:val="0"/>
      <w:marTop w:val="0"/>
      <w:marBottom w:val="0"/>
      <w:divBdr>
        <w:top w:val="none" w:sz="0" w:space="0" w:color="auto"/>
        <w:left w:val="none" w:sz="0" w:space="0" w:color="auto"/>
        <w:bottom w:val="none" w:sz="0" w:space="0" w:color="auto"/>
        <w:right w:val="none" w:sz="0" w:space="0" w:color="auto"/>
      </w:divBdr>
    </w:div>
    <w:div w:id="168176676">
      <w:bodyDiv w:val="1"/>
      <w:marLeft w:val="0"/>
      <w:marRight w:val="0"/>
      <w:marTop w:val="0"/>
      <w:marBottom w:val="0"/>
      <w:divBdr>
        <w:top w:val="none" w:sz="0" w:space="0" w:color="auto"/>
        <w:left w:val="none" w:sz="0" w:space="0" w:color="auto"/>
        <w:bottom w:val="none" w:sz="0" w:space="0" w:color="auto"/>
        <w:right w:val="none" w:sz="0" w:space="0" w:color="auto"/>
      </w:divBdr>
    </w:div>
    <w:div w:id="207256283">
      <w:bodyDiv w:val="1"/>
      <w:marLeft w:val="0"/>
      <w:marRight w:val="0"/>
      <w:marTop w:val="0"/>
      <w:marBottom w:val="0"/>
      <w:divBdr>
        <w:top w:val="none" w:sz="0" w:space="0" w:color="auto"/>
        <w:left w:val="none" w:sz="0" w:space="0" w:color="auto"/>
        <w:bottom w:val="none" w:sz="0" w:space="0" w:color="auto"/>
        <w:right w:val="none" w:sz="0" w:space="0" w:color="auto"/>
      </w:divBdr>
    </w:div>
    <w:div w:id="239876491">
      <w:bodyDiv w:val="1"/>
      <w:marLeft w:val="0"/>
      <w:marRight w:val="0"/>
      <w:marTop w:val="0"/>
      <w:marBottom w:val="0"/>
      <w:divBdr>
        <w:top w:val="none" w:sz="0" w:space="0" w:color="auto"/>
        <w:left w:val="none" w:sz="0" w:space="0" w:color="auto"/>
        <w:bottom w:val="none" w:sz="0" w:space="0" w:color="auto"/>
        <w:right w:val="none" w:sz="0" w:space="0" w:color="auto"/>
      </w:divBdr>
    </w:div>
    <w:div w:id="265164170">
      <w:bodyDiv w:val="1"/>
      <w:marLeft w:val="0"/>
      <w:marRight w:val="0"/>
      <w:marTop w:val="0"/>
      <w:marBottom w:val="0"/>
      <w:divBdr>
        <w:top w:val="none" w:sz="0" w:space="0" w:color="auto"/>
        <w:left w:val="none" w:sz="0" w:space="0" w:color="auto"/>
        <w:bottom w:val="none" w:sz="0" w:space="0" w:color="auto"/>
        <w:right w:val="none" w:sz="0" w:space="0" w:color="auto"/>
      </w:divBdr>
      <w:divsChild>
        <w:div w:id="1770930730">
          <w:marLeft w:val="360"/>
          <w:marRight w:val="0"/>
          <w:marTop w:val="200"/>
          <w:marBottom w:val="0"/>
          <w:divBdr>
            <w:top w:val="none" w:sz="0" w:space="0" w:color="auto"/>
            <w:left w:val="none" w:sz="0" w:space="0" w:color="auto"/>
            <w:bottom w:val="none" w:sz="0" w:space="0" w:color="auto"/>
            <w:right w:val="none" w:sz="0" w:space="0" w:color="auto"/>
          </w:divBdr>
        </w:div>
        <w:div w:id="70927545">
          <w:marLeft w:val="360"/>
          <w:marRight w:val="0"/>
          <w:marTop w:val="200"/>
          <w:marBottom w:val="0"/>
          <w:divBdr>
            <w:top w:val="none" w:sz="0" w:space="0" w:color="auto"/>
            <w:left w:val="none" w:sz="0" w:space="0" w:color="auto"/>
            <w:bottom w:val="none" w:sz="0" w:space="0" w:color="auto"/>
            <w:right w:val="none" w:sz="0" w:space="0" w:color="auto"/>
          </w:divBdr>
        </w:div>
        <w:div w:id="417212228">
          <w:marLeft w:val="360"/>
          <w:marRight w:val="0"/>
          <w:marTop w:val="200"/>
          <w:marBottom w:val="0"/>
          <w:divBdr>
            <w:top w:val="none" w:sz="0" w:space="0" w:color="auto"/>
            <w:left w:val="none" w:sz="0" w:space="0" w:color="auto"/>
            <w:bottom w:val="none" w:sz="0" w:space="0" w:color="auto"/>
            <w:right w:val="none" w:sz="0" w:space="0" w:color="auto"/>
          </w:divBdr>
        </w:div>
        <w:div w:id="2062904770">
          <w:marLeft w:val="360"/>
          <w:marRight w:val="0"/>
          <w:marTop w:val="200"/>
          <w:marBottom w:val="0"/>
          <w:divBdr>
            <w:top w:val="none" w:sz="0" w:space="0" w:color="auto"/>
            <w:left w:val="none" w:sz="0" w:space="0" w:color="auto"/>
            <w:bottom w:val="none" w:sz="0" w:space="0" w:color="auto"/>
            <w:right w:val="none" w:sz="0" w:space="0" w:color="auto"/>
          </w:divBdr>
        </w:div>
        <w:div w:id="60300146">
          <w:marLeft w:val="360"/>
          <w:marRight w:val="0"/>
          <w:marTop w:val="200"/>
          <w:marBottom w:val="0"/>
          <w:divBdr>
            <w:top w:val="none" w:sz="0" w:space="0" w:color="auto"/>
            <w:left w:val="none" w:sz="0" w:space="0" w:color="auto"/>
            <w:bottom w:val="none" w:sz="0" w:space="0" w:color="auto"/>
            <w:right w:val="none" w:sz="0" w:space="0" w:color="auto"/>
          </w:divBdr>
        </w:div>
        <w:div w:id="831482141">
          <w:marLeft w:val="360"/>
          <w:marRight w:val="0"/>
          <w:marTop w:val="200"/>
          <w:marBottom w:val="0"/>
          <w:divBdr>
            <w:top w:val="none" w:sz="0" w:space="0" w:color="auto"/>
            <w:left w:val="none" w:sz="0" w:space="0" w:color="auto"/>
            <w:bottom w:val="none" w:sz="0" w:space="0" w:color="auto"/>
            <w:right w:val="none" w:sz="0" w:space="0" w:color="auto"/>
          </w:divBdr>
        </w:div>
        <w:div w:id="1819758867">
          <w:marLeft w:val="360"/>
          <w:marRight w:val="0"/>
          <w:marTop w:val="200"/>
          <w:marBottom w:val="0"/>
          <w:divBdr>
            <w:top w:val="none" w:sz="0" w:space="0" w:color="auto"/>
            <w:left w:val="none" w:sz="0" w:space="0" w:color="auto"/>
            <w:bottom w:val="none" w:sz="0" w:space="0" w:color="auto"/>
            <w:right w:val="none" w:sz="0" w:space="0" w:color="auto"/>
          </w:divBdr>
        </w:div>
        <w:div w:id="341929791">
          <w:marLeft w:val="360"/>
          <w:marRight w:val="0"/>
          <w:marTop w:val="200"/>
          <w:marBottom w:val="0"/>
          <w:divBdr>
            <w:top w:val="none" w:sz="0" w:space="0" w:color="auto"/>
            <w:left w:val="none" w:sz="0" w:space="0" w:color="auto"/>
            <w:bottom w:val="none" w:sz="0" w:space="0" w:color="auto"/>
            <w:right w:val="none" w:sz="0" w:space="0" w:color="auto"/>
          </w:divBdr>
        </w:div>
        <w:div w:id="1450511750">
          <w:marLeft w:val="360"/>
          <w:marRight w:val="0"/>
          <w:marTop w:val="200"/>
          <w:marBottom w:val="0"/>
          <w:divBdr>
            <w:top w:val="none" w:sz="0" w:space="0" w:color="auto"/>
            <w:left w:val="none" w:sz="0" w:space="0" w:color="auto"/>
            <w:bottom w:val="none" w:sz="0" w:space="0" w:color="auto"/>
            <w:right w:val="none" w:sz="0" w:space="0" w:color="auto"/>
          </w:divBdr>
        </w:div>
        <w:div w:id="1315449065">
          <w:marLeft w:val="360"/>
          <w:marRight w:val="0"/>
          <w:marTop w:val="200"/>
          <w:marBottom w:val="0"/>
          <w:divBdr>
            <w:top w:val="none" w:sz="0" w:space="0" w:color="auto"/>
            <w:left w:val="none" w:sz="0" w:space="0" w:color="auto"/>
            <w:bottom w:val="none" w:sz="0" w:space="0" w:color="auto"/>
            <w:right w:val="none" w:sz="0" w:space="0" w:color="auto"/>
          </w:divBdr>
        </w:div>
      </w:divsChild>
    </w:div>
    <w:div w:id="322316903">
      <w:bodyDiv w:val="1"/>
      <w:marLeft w:val="0"/>
      <w:marRight w:val="0"/>
      <w:marTop w:val="0"/>
      <w:marBottom w:val="0"/>
      <w:divBdr>
        <w:top w:val="none" w:sz="0" w:space="0" w:color="auto"/>
        <w:left w:val="none" w:sz="0" w:space="0" w:color="auto"/>
        <w:bottom w:val="none" w:sz="0" w:space="0" w:color="auto"/>
        <w:right w:val="none" w:sz="0" w:space="0" w:color="auto"/>
      </w:divBdr>
    </w:div>
    <w:div w:id="390033258">
      <w:bodyDiv w:val="1"/>
      <w:marLeft w:val="0"/>
      <w:marRight w:val="0"/>
      <w:marTop w:val="0"/>
      <w:marBottom w:val="0"/>
      <w:divBdr>
        <w:top w:val="none" w:sz="0" w:space="0" w:color="auto"/>
        <w:left w:val="none" w:sz="0" w:space="0" w:color="auto"/>
        <w:bottom w:val="none" w:sz="0" w:space="0" w:color="auto"/>
        <w:right w:val="none" w:sz="0" w:space="0" w:color="auto"/>
      </w:divBdr>
      <w:divsChild>
        <w:div w:id="1259363793">
          <w:marLeft w:val="360"/>
          <w:marRight w:val="0"/>
          <w:marTop w:val="100"/>
          <w:marBottom w:val="0"/>
          <w:divBdr>
            <w:top w:val="none" w:sz="0" w:space="0" w:color="auto"/>
            <w:left w:val="none" w:sz="0" w:space="0" w:color="auto"/>
            <w:bottom w:val="none" w:sz="0" w:space="0" w:color="auto"/>
            <w:right w:val="none" w:sz="0" w:space="0" w:color="auto"/>
          </w:divBdr>
        </w:div>
        <w:div w:id="1045104106">
          <w:marLeft w:val="360"/>
          <w:marRight w:val="0"/>
          <w:marTop w:val="100"/>
          <w:marBottom w:val="0"/>
          <w:divBdr>
            <w:top w:val="none" w:sz="0" w:space="0" w:color="auto"/>
            <w:left w:val="none" w:sz="0" w:space="0" w:color="auto"/>
            <w:bottom w:val="none" w:sz="0" w:space="0" w:color="auto"/>
            <w:right w:val="none" w:sz="0" w:space="0" w:color="auto"/>
          </w:divBdr>
        </w:div>
        <w:div w:id="1735590969">
          <w:marLeft w:val="360"/>
          <w:marRight w:val="0"/>
          <w:marTop w:val="100"/>
          <w:marBottom w:val="0"/>
          <w:divBdr>
            <w:top w:val="none" w:sz="0" w:space="0" w:color="auto"/>
            <w:left w:val="none" w:sz="0" w:space="0" w:color="auto"/>
            <w:bottom w:val="none" w:sz="0" w:space="0" w:color="auto"/>
            <w:right w:val="none" w:sz="0" w:space="0" w:color="auto"/>
          </w:divBdr>
        </w:div>
        <w:div w:id="426001807">
          <w:marLeft w:val="360"/>
          <w:marRight w:val="0"/>
          <w:marTop w:val="100"/>
          <w:marBottom w:val="0"/>
          <w:divBdr>
            <w:top w:val="none" w:sz="0" w:space="0" w:color="auto"/>
            <w:left w:val="none" w:sz="0" w:space="0" w:color="auto"/>
            <w:bottom w:val="none" w:sz="0" w:space="0" w:color="auto"/>
            <w:right w:val="none" w:sz="0" w:space="0" w:color="auto"/>
          </w:divBdr>
        </w:div>
      </w:divsChild>
    </w:div>
    <w:div w:id="496574696">
      <w:bodyDiv w:val="1"/>
      <w:marLeft w:val="0"/>
      <w:marRight w:val="0"/>
      <w:marTop w:val="0"/>
      <w:marBottom w:val="0"/>
      <w:divBdr>
        <w:top w:val="none" w:sz="0" w:space="0" w:color="auto"/>
        <w:left w:val="none" w:sz="0" w:space="0" w:color="auto"/>
        <w:bottom w:val="none" w:sz="0" w:space="0" w:color="auto"/>
        <w:right w:val="none" w:sz="0" w:space="0" w:color="auto"/>
      </w:divBdr>
    </w:div>
    <w:div w:id="519201642">
      <w:bodyDiv w:val="1"/>
      <w:marLeft w:val="0"/>
      <w:marRight w:val="0"/>
      <w:marTop w:val="0"/>
      <w:marBottom w:val="0"/>
      <w:divBdr>
        <w:top w:val="none" w:sz="0" w:space="0" w:color="auto"/>
        <w:left w:val="none" w:sz="0" w:space="0" w:color="auto"/>
        <w:bottom w:val="none" w:sz="0" w:space="0" w:color="auto"/>
        <w:right w:val="none" w:sz="0" w:space="0" w:color="auto"/>
      </w:divBdr>
      <w:divsChild>
        <w:div w:id="34473344">
          <w:marLeft w:val="360"/>
          <w:marRight w:val="0"/>
          <w:marTop w:val="100"/>
          <w:marBottom w:val="0"/>
          <w:divBdr>
            <w:top w:val="none" w:sz="0" w:space="0" w:color="auto"/>
            <w:left w:val="none" w:sz="0" w:space="0" w:color="auto"/>
            <w:bottom w:val="none" w:sz="0" w:space="0" w:color="auto"/>
            <w:right w:val="none" w:sz="0" w:space="0" w:color="auto"/>
          </w:divBdr>
        </w:div>
        <w:div w:id="1789617150">
          <w:marLeft w:val="360"/>
          <w:marRight w:val="0"/>
          <w:marTop w:val="100"/>
          <w:marBottom w:val="0"/>
          <w:divBdr>
            <w:top w:val="none" w:sz="0" w:space="0" w:color="auto"/>
            <w:left w:val="none" w:sz="0" w:space="0" w:color="auto"/>
            <w:bottom w:val="none" w:sz="0" w:space="0" w:color="auto"/>
            <w:right w:val="none" w:sz="0" w:space="0" w:color="auto"/>
          </w:divBdr>
        </w:div>
        <w:div w:id="326906583">
          <w:marLeft w:val="360"/>
          <w:marRight w:val="0"/>
          <w:marTop w:val="100"/>
          <w:marBottom w:val="0"/>
          <w:divBdr>
            <w:top w:val="none" w:sz="0" w:space="0" w:color="auto"/>
            <w:left w:val="none" w:sz="0" w:space="0" w:color="auto"/>
            <w:bottom w:val="none" w:sz="0" w:space="0" w:color="auto"/>
            <w:right w:val="none" w:sz="0" w:space="0" w:color="auto"/>
          </w:divBdr>
        </w:div>
        <w:div w:id="2044595751">
          <w:marLeft w:val="360"/>
          <w:marRight w:val="0"/>
          <w:marTop w:val="100"/>
          <w:marBottom w:val="0"/>
          <w:divBdr>
            <w:top w:val="none" w:sz="0" w:space="0" w:color="auto"/>
            <w:left w:val="none" w:sz="0" w:space="0" w:color="auto"/>
            <w:bottom w:val="none" w:sz="0" w:space="0" w:color="auto"/>
            <w:right w:val="none" w:sz="0" w:space="0" w:color="auto"/>
          </w:divBdr>
        </w:div>
        <w:div w:id="48959805">
          <w:marLeft w:val="360"/>
          <w:marRight w:val="0"/>
          <w:marTop w:val="100"/>
          <w:marBottom w:val="0"/>
          <w:divBdr>
            <w:top w:val="none" w:sz="0" w:space="0" w:color="auto"/>
            <w:left w:val="none" w:sz="0" w:space="0" w:color="auto"/>
            <w:bottom w:val="none" w:sz="0" w:space="0" w:color="auto"/>
            <w:right w:val="none" w:sz="0" w:space="0" w:color="auto"/>
          </w:divBdr>
        </w:div>
        <w:div w:id="1319193444">
          <w:marLeft w:val="360"/>
          <w:marRight w:val="0"/>
          <w:marTop w:val="100"/>
          <w:marBottom w:val="0"/>
          <w:divBdr>
            <w:top w:val="none" w:sz="0" w:space="0" w:color="auto"/>
            <w:left w:val="none" w:sz="0" w:space="0" w:color="auto"/>
            <w:bottom w:val="none" w:sz="0" w:space="0" w:color="auto"/>
            <w:right w:val="none" w:sz="0" w:space="0" w:color="auto"/>
          </w:divBdr>
        </w:div>
        <w:div w:id="860435340">
          <w:marLeft w:val="360"/>
          <w:marRight w:val="0"/>
          <w:marTop w:val="100"/>
          <w:marBottom w:val="0"/>
          <w:divBdr>
            <w:top w:val="none" w:sz="0" w:space="0" w:color="auto"/>
            <w:left w:val="none" w:sz="0" w:space="0" w:color="auto"/>
            <w:bottom w:val="none" w:sz="0" w:space="0" w:color="auto"/>
            <w:right w:val="none" w:sz="0" w:space="0" w:color="auto"/>
          </w:divBdr>
        </w:div>
      </w:divsChild>
    </w:div>
    <w:div w:id="690958412">
      <w:bodyDiv w:val="1"/>
      <w:marLeft w:val="0"/>
      <w:marRight w:val="0"/>
      <w:marTop w:val="0"/>
      <w:marBottom w:val="0"/>
      <w:divBdr>
        <w:top w:val="none" w:sz="0" w:space="0" w:color="auto"/>
        <w:left w:val="none" w:sz="0" w:space="0" w:color="auto"/>
        <w:bottom w:val="none" w:sz="0" w:space="0" w:color="auto"/>
        <w:right w:val="none" w:sz="0" w:space="0" w:color="auto"/>
      </w:divBdr>
      <w:divsChild>
        <w:div w:id="409691278">
          <w:marLeft w:val="360"/>
          <w:marRight w:val="0"/>
          <w:marTop w:val="100"/>
          <w:marBottom w:val="0"/>
          <w:divBdr>
            <w:top w:val="none" w:sz="0" w:space="0" w:color="auto"/>
            <w:left w:val="none" w:sz="0" w:space="0" w:color="auto"/>
            <w:bottom w:val="none" w:sz="0" w:space="0" w:color="auto"/>
            <w:right w:val="none" w:sz="0" w:space="0" w:color="auto"/>
          </w:divBdr>
        </w:div>
        <w:div w:id="28458226">
          <w:marLeft w:val="360"/>
          <w:marRight w:val="0"/>
          <w:marTop w:val="200"/>
          <w:marBottom w:val="0"/>
          <w:divBdr>
            <w:top w:val="none" w:sz="0" w:space="0" w:color="auto"/>
            <w:left w:val="none" w:sz="0" w:space="0" w:color="auto"/>
            <w:bottom w:val="none" w:sz="0" w:space="0" w:color="auto"/>
            <w:right w:val="none" w:sz="0" w:space="0" w:color="auto"/>
          </w:divBdr>
        </w:div>
      </w:divsChild>
    </w:div>
    <w:div w:id="724333195">
      <w:bodyDiv w:val="1"/>
      <w:marLeft w:val="0"/>
      <w:marRight w:val="0"/>
      <w:marTop w:val="0"/>
      <w:marBottom w:val="0"/>
      <w:divBdr>
        <w:top w:val="none" w:sz="0" w:space="0" w:color="auto"/>
        <w:left w:val="none" w:sz="0" w:space="0" w:color="auto"/>
        <w:bottom w:val="none" w:sz="0" w:space="0" w:color="auto"/>
        <w:right w:val="none" w:sz="0" w:space="0" w:color="auto"/>
      </w:divBdr>
    </w:div>
    <w:div w:id="725227518">
      <w:bodyDiv w:val="1"/>
      <w:marLeft w:val="0"/>
      <w:marRight w:val="0"/>
      <w:marTop w:val="0"/>
      <w:marBottom w:val="0"/>
      <w:divBdr>
        <w:top w:val="none" w:sz="0" w:space="0" w:color="auto"/>
        <w:left w:val="none" w:sz="0" w:space="0" w:color="auto"/>
        <w:bottom w:val="none" w:sz="0" w:space="0" w:color="auto"/>
        <w:right w:val="none" w:sz="0" w:space="0" w:color="auto"/>
      </w:divBdr>
    </w:div>
    <w:div w:id="741028048">
      <w:bodyDiv w:val="1"/>
      <w:marLeft w:val="0"/>
      <w:marRight w:val="0"/>
      <w:marTop w:val="0"/>
      <w:marBottom w:val="0"/>
      <w:divBdr>
        <w:top w:val="none" w:sz="0" w:space="0" w:color="auto"/>
        <w:left w:val="none" w:sz="0" w:space="0" w:color="auto"/>
        <w:bottom w:val="none" w:sz="0" w:space="0" w:color="auto"/>
        <w:right w:val="none" w:sz="0" w:space="0" w:color="auto"/>
      </w:divBdr>
    </w:div>
    <w:div w:id="833641474">
      <w:bodyDiv w:val="1"/>
      <w:marLeft w:val="0"/>
      <w:marRight w:val="0"/>
      <w:marTop w:val="0"/>
      <w:marBottom w:val="0"/>
      <w:divBdr>
        <w:top w:val="none" w:sz="0" w:space="0" w:color="auto"/>
        <w:left w:val="none" w:sz="0" w:space="0" w:color="auto"/>
        <w:bottom w:val="none" w:sz="0" w:space="0" w:color="auto"/>
        <w:right w:val="none" w:sz="0" w:space="0" w:color="auto"/>
      </w:divBdr>
    </w:div>
    <w:div w:id="849759178">
      <w:bodyDiv w:val="1"/>
      <w:marLeft w:val="0"/>
      <w:marRight w:val="0"/>
      <w:marTop w:val="0"/>
      <w:marBottom w:val="0"/>
      <w:divBdr>
        <w:top w:val="none" w:sz="0" w:space="0" w:color="auto"/>
        <w:left w:val="none" w:sz="0" w:space="0" w:color="auto"/>
        <w:bottom w:val="none" w:sz="0" w:space="0" w:color="auto"/>
        <w:right w:val="none" w:sz="0" w:space="0" w:color="auto"/>
      </w:divBdr>
      <w:divsChild>
        <w:div w:id="591202272">
          <w:marLeft w:val="547"/>
          <w:marRight w:val="0"/>
          <w:marTop w:val="0"/>
          <w:marBottom w:val="0"/>
          <w:divBdr>
            <w:top w:val="none" w:sz="0" w:space="0" w:color="auto"/>
            <w:left w:val="none" w:sz="0" w:space="0" w:color="auto"/>
            <w:bottom w:val="none" w:sz="0" w:space="0" w:color="auto"/>
            <w:right w:val="none" w:sz="0" w:space="0" w:color="auto"/>
          </w:divBdr>
        </w:div>
      </w:divsChild>
    </w:div>
    <w:div w:id="924724812">
      <w:bodyDiv w:val="1"/>
      <w:marLeft w:val="0"/>
      <w:marRight w:val="0"/>
      <w:marTop w:val="0"/>
      <w:marBottom w:val="0"/>
      <w:divBdr>
        <w:top w:val="none" w:sz="0" w:space="0" w:color="auto"/>
        <w:left w:val="none" w:sz="0" w:space="0" w:color="auto"/>
        <w:bottom w:val="none" w:sz="0" w:space="0" w:color="auto"/>
        <w:right w:val="none" w:sz="0" w:space="0" w:color="auto"/>
      </w:divBdr>
      <w:divsChild>
        <w:div w:id="1129081526">
          <w:marLeft w:val="360"/>
          <w:marRight w:val="0"/>
          <w:marTop w:val="100"/>
          <w:marBottom w:val="0"/>
          <w:divBdr>
            <w:top w:val="none" w:sz="0" w:space="0" w:color="auto"/>
            <w:left w:val="none" w:sz="0" w:space="0" w:color="auto"/>
            <w:bottom w:val="none" w:sz="0" w:space="0" w:color="auto"/>
            <w:right w:val="none" w:sz="0" w:space="0" w:color="auto"/>
          </w:divBdr>
        </w:div>
        <w:div w:id="764887753">
          <w:marLeft w:val="360"/>
          <w:marRight w:val="0"/>
          <w:marTop w:val="200"/>
          <w:marBottom w:val="0"/>
          <w:divBdr>
            <w:top w:val="none" w:sz="0" w:space="0" w:color="auto"/>
            <w:left w:val="none" w:sz="0" w:space="0" w:color="auto"/>
            <w:bottom w:val="none" w:sz="0" w:space="0" w:color="auto"/>
            <w:right w:val="none" w:sz="0" w:space="0" w:color="auto"/>
          </w:divBdr>
        </w:div>
      </w:divsChild>
    </w:div>
    <w:div w:id="947740428">
      <w:bodyDiv w:val="1"/>
      <w:marLeft w:val="0"/>
      <w:marRight w:val="0"/>
      <w:marTop w:val="0"/>
      <w:marBottom w:val="0"/>
      <w:divBdr>
        <w:top w:val="none" w:sz="0" w:space="0" w:color="auto"/>
        <w:left w:val="none" w:sz="0" w:space="0" w:color="auto"/>
        <w:bottom w:val="none" w:sz="0" w:space="0" w:color="auto"/>
        <w:right w:val="none" w:sz="0" w:space="0" w:color="auto"/>
      </w:divBdr>
    </w:div>
    <w:div w:id="1134102219">
      <w:bodyDiv w:val="1"/>
      <w:marLeft w:val="0"/>
      <w:marRight w:val="0"/>
      <w:marTop w:val="0"/>
      <w:marBottom w:val="0"/>
      <w:divBdr>
        <w:top w:val="none" w:sz="0" w:space="0" w:color="auto"/>
        <w:left w:val="none" w:sz="0" w:space="0" w:color="auto"/>
        <w:bottom w:val="none" w:sz="0" w:space="0" w:color="auto"/>
        <w:right w:val="none" w:sz="0" w:space="0" w:color="auto"/>
      </w:divBdr>
    </w:div>
    <w:div w:id="1174495179">
      <w:bodyDiv w:val="1"/>
      <w:marLeft w:val="0"/>
      <w:marRight w:val="0"/>
      <w:marTop w:val="0"/>
      <w:marBottom w:val="0"/>
      <w:divBdr>
        <w:top w:val="none" w:sz="0" w:space="0" w:color="auto"/>
        <w:left w:val="none" w:sz="0" w:space="0" w:color="auto"/>
        <w:bottom w:val="none" w:sz="0" w:space="0" w:color="auto"/>
        <w:right w:val="none" w:sz="0" w:space="0" w:color="auto"/>
      </w:divBdr>
      <w:divsChild>
        <w:div w:id="1675953904">
          <w:marLeft w:val="360"/>
          <w:marRight w:val="0"/>
          <w:marTop w:val="100"/>
          <w:marBottom w:val="0"/>
          <w:divBdr>
            <w:top w:val="none" w:sz="0" w:space="0" w:color="auto"/>
            <w:left w:val="none" w:sz="0" w:space="0" w:color="auto"/>
            <w:bottom w:val="none" w:sz="0" w:space="0" w:color="auto"/>
            <w:right w:val="none" w:sz="0" w:space="0" w:color="auto"/>
          </w:divBdr>
        </w:div>
        <w:div w:id="716204302">
          <w:marLeft w:val="360"/>
          <w:marRight w:val="0"/>
          <w:marTop w:val="100"/>
          <w:marBottom w:val="0"/>
          <w:divBdr>
            <w:top w:val="none" w:sz="0" w:space="0" w:color="auto"/>
            <w:left w:val="none" w:sz="0" w:space="0" w:color="auto"/>
            <w:bottom w:val="none" w:sz="0" w:space="0" w:color="auto"/>
            <w:right w:val="none" w:sz="0" w:space="0" w:color="auto"/>
          </w:divBdr>
        </w:div>
        <w:div w:id="938563484">
          <w:marLeft w:val="360"/>
          <w:marRight w:val="0"/>
          <w:marTop w:val="100"/>
          <w:marBottom w:val="0"/>
          <w:divBdr>
            <w:top w:val="none" w:sz="0" w:space="0" w:color="auto"/>
            <w:left w:val="none" w:sz="0" w:space="0" w:color="auto"/>
            <w:bottom w:val="none" w:sz="0" w:space="0" w:color="auto"/>
            <w:right w:val="none" w:sz="0" w:space="0" w:color="auto"/>
          </w:divBdr>
        </w:div>
        <w:div w:id="1223253587">
          <w:marLeft w:val="360"/>
          <w:marRight w:val="0"/>
          <w:marTop w:val="100"/>
          <w:marBottom w:val="0"/>
          <w:divBdr>
            <w:top w:val="none" w:sz="0" w:space="0" w:color="auto"/>
            <w:left w:val="none" w:sz="0" w:space="0" w:color="auto"/>
            <w:bottom w:val="none" w:sz="0" w:space="0" w:color="auto"/>
            <w:right w:val="none" w:sz="0" w:space="0" w:color="auto"/>
          </w:divBdr>
        </w:div>
      </w:divsChild>
    </w:div>
    <w:div w:id="1204828459">
      <w:bodyDiv w:val="1"/>
      <w:marLeft w:val="0"/>
      <w:marRight w:val="0"/>
      <w:marTop w:val="0"/>
      <w:marBottom w:val="0"/>
      <w:divBdr>
        <w:top w:val="none" w:sz="0" w:space="0" w:color="auto"/>
        <w:left w:val="none" w:sz="0" w:space="0" w:color="auto"/>
        <w:bottom w:val="none" w:sz="0" w:space="0" w:color="auto"/>
        <w:right w:val="none" w:sz="0" w:space="0" w:color="auto"/>
      </w:divBdr>
    </w:div>
    <w:div w:id="1256403264">
      <w:bodyDiv w:val="1"/>
      <w:marLeft w:val="0"/>
      <w:marRight w:val="0"/>
      <w:marTop w:val="0"/>
      <w:marBottom w:val="0"/>
      <w:divBdr>
        <w:top w:val="none" w:sz="0" w:space="0" w:color="auto"/>
        <w:left w:val="none" w:sz="0" w:space="0" w:color="auto"/>
        <w:bottom w:val="none" w:sz="0" w:space="0" w:color="auto"/>
        <w:right w:val="none" w:sz="0" w:space="0" w:color="auto"/>
      </w:divBdr>
      <w:divsChild>
        <w:div w:id="1390348965">
          <w:marLeft w:val="360"/>
          <w:marRight w:val="0"/>
          <w:marTop w:val="200"/>
          <w:marBottom w:val="0"/>
          <w:divBdr>
            <w:top w:val="none" w:sz="0" w:space="0" w:color="auto"/>
            <w:left w:val="none" w:sz="0" w:space="0" w:color="auto"/>
            <w:bottom w:val="none" w:sz="0" w:space="0" w:color="auto"/>
            <w:right w:val="none" w:sz="0" w:space="0" w:color="auto"/>
          </w:divBdr>
        </w:div>
        <w:div w:id="1324897053">
          <w:marLeft w:val="360"/>
          <w:marRight w:val="0"/>
          <w:marTop w:val="200"/>
          <w:marBottom w:val="0"/>
          <w:divBdr>
            <w:top w:val="none" w:sz="0" w:space="0" w:color="auto"/>
            <w:left w:val="none" w:sz="0" w:space="0" w:color="auto"/>
            <w:bottom w:val="none" w:sz="0" w:space="0" w:color="auto"/>
            <w:right w:val="none" w:sz="0" w:space="0" w:color="auto"/>
          </w:divBdr>
        </w:div>
        <w:div w:id="967509972">
          <w:marLeft w:val="360"/>
          <w:marRight w:val="0"/>
          <w:marTop w:val="200"/>
          <w:marBottom w:val="0"/>
          <w:divBdr>
            <w:top w:val="none" w:sz="0" w:space="0" w:color="auto"/>
            <w:left w:val="none" w:sz="0" w:space="0" w:color="auto"/>
            <w:bottom w:val="none" w:sz="0" w:space="0" w:color="auto"/>
            <w:right w:val="none" w:sz="0" w:space="0" w:color="auto"/>
          </w:divBdr>
        </w:div>
        <w:div w:id="1836604295">
          <w:marLeft w:val="360"/>
          <w:marRight w:val="0"/>
          <w:marTop w:val="200"/>
          <w:marBottom w:val="0"/>
          <w:divBdr>
            <w:top w:val="none" w:sz="0" w:space="0" w:color="auto"/>
            <w:left w:val="none" w:sz="0" w:space="0" w:color="auto"/>
            <w:bottom w:val="none" w:sz="0" w:space="0" w:color="auto"/>
            <w:right w:val="none" w:sz="0" w:space="0" w:color="auto"/>
          </w:divBdr>
        </w:div>
        <w:div w:id="1228419199">
          <w:marLeft w:val="360"/>
          <w:marRight w:val="0"/>
          <w:marTop w:val="200"/>
          <w:marBottom w:val="0"/>
          <w:divBdr>
            <w:top w:val="none" w:sz="0" w:space="0" w:color="auto"/>
            <w:left w:val="none" w:sz="0" w:space="0" w:color="auto"/>
            <w:bottom w:val="none" w:sz="0" w:space="0" w:color="auto"/>
            <w:right w:val="none" w:sz="0" w:space="0" w:color="auto"/>
          </w:divBdr>
        </w:div>
        <w:div w:id="1381393634">
          <w:marLeft w:val="360"/>
          <w:marRight w:val="0"/>
          <w:marTop w:val="200"/>
          <w:marBottom w:val="0"/>
          <w:divBdr>
            <w:top w:val="none" w:sz="0" w:space="0" w:color="auto"/>
            <w:left w:val="none" w:sz="0" w:space="0" w:color="auto"/>
            <w:bottom w:val="none" w:sz="0" w:space="0" w:color="auto"/>
            <w:right w:val="none" w:sz="0" w:space="0" w:color="auto"/>
          </w:divBdr>
        </w:div>
        <w:div w:id="2066946689">
          <w:marLeft w:val="360"/>
          <w:marRight w:val="0"/>
          <w:marTop w:val="200"/>
          <w:marBottom w:val="0"/>
          <w:divBdr>
            <w:top w:val="none" w:sz="0" w:space="0" w:color="auto"/>
            <w:left w:val="none" w:sz="0" w:space="0" w:color="auto"/>
            <w:bottom w:val="none" w:sz="0" w:space="0" w:color="auto"/>
            <w:right w:val="none" w:sz="0" w:space="0" w:color="auto"/>
          </w:divBdr>
        </w:div>
        <w:div w:id="1915776947">
          <w:marLeft w:val="360"/>
          <w:marRight w:val="0"/>
          <w:marTop w:val="200"/>
          <w:marBottom w:val="0"/>
          <w:divBdr>
            <w:top w:val="none" w:sz="0" w:space="0" w:color="auto"/>
            <w:left w:val="none" w:sz="0" w:space="0" w:color="auto"/>
            <w:bottom w:val="none" w:sz="0" w:space="0" w:color="auto"/>
            <w:right w:val="none" w:sz="0" w:space="0" w:color="auto"/>
          </w:divBdr>
        </w:div>
      </w:divsChild>
    </w:div>
    <w:div w:id="1258826919">
      <w:bodyDiv w:val="1"/>
      <w:marLeft w:val="0"/>
      <w:marRight w:val="0"/>
      <w:marTop w:val="0"/>
      <w:marBottom w:val="0"/>
      <w:divBdr>
        <w:top w:val="none" w:sz="0" w:space="0" w:color="auto"/>
        <w:left w:val="none" w:sz="0" w:space="0" w:color="auto"/>
        <w:bottom w:val="none" w:sz="0" w:space="0" w:color="auto"/>
        <w:right w:val="none" w:sz="0" w:space="0" w:color="auto"/>
      </w:divBdr>
      <w:divsChild>
        <w:div w:id="1968120037">
          <w:marLeft w:val="360"/>
          <w:marRight w:val="0"/>
          <w:marTop w:val="200"/>
          <w:marBottom w:val="0"/>
          <w:divBdr>
            <w:top w:val="none" w:sz="0" w:space="0" w:color="auto"/>
            <w:left w:val="none" w:sz="0" w:space="0" w:color="auto"/>
            <w:bottom w:val="none" w:sz="0" w:space="0" w:color="auto"/>
            <w:right w:val="none" w:sz="0" w:space="0" w:color="auto"/>
          </w:divBdr>
        </w:div>
        <w:div w:id="1587108827">
          <w:marLeft w:val="360"/>
          <w:marRight w:val="0"/>
          <w:marTop w:val="200"/>
          <w:marBottom w:val="0"/>
          <w:divBdr>
            <w:top w:val="none" w:sz="0" w:space="0" w:color="auto"/>
            <w:left w:val="none" w:sz="0" w:space="0" w:color="auto"/>
            <w:bottom w:val="none" w:sz="0" w:space="0" w:color="auto"/>
            <w:right w:val="none" w:sz="0" w:space="0" w:color="auto"/>
          </w:divBdr>
        </w:div>
        <w:div w:id="223757077">
          <w:marLeft w:val="360"/>
          <w:marRight w:val="0"/>
          <w:marTop w:val="200"/>
          <w:marBottom w:val="0"/>
          <w:divBdr>
            <w:top w:val="none" w:sz="0" w:space="0" w:color="auto"/>
            <w:left w:val="none" w:sz="0" w:space="0" w:color="auto"/>
            <w:bottom w:val="none" w:sz="0" w:space="0" w:color="auto"/>
            <w:right w:val="none" w:sz="0" w:space="0" w:color="auto"/>
          </w:divBdr>
        </w:div>
        <w:div w:id="1219122677">
          <w:marLeft w:val="360"/>
          <w:marRight w:val="0"/>
          <w:marTop w:val="200"/>
          <w:marBottom w:val="0"/>
          <w:divBdr>
            <w:top w:val="none" w:sz="0" w:space="0" w:color="auto"/>
            <w:left w:val="none" w:sz="0" w:space="0" w:color="auto"/>
            <w:bottom w:val="none" w:sz="0" w:space="0" w:color="auto"/>
            <w:right w:val="none" w:sz="0" w:space="0" w:color="auto"/>
          </w:divBdr>
        </w:div>
      </w:divsChild>
    </w:div>
    <w:div w:id="1286041093">
      <w:bodyDiv w:val="1"/>
      <w:marLeft w:val="0"/>
      <w:marRight w:val="0"/>
      <w:marTop w:val="0"/>
      <w:marBottom w:val="0"/>
      <w:divBdr>
        <w:top w:val="none" w:sz="0" w:space="0" w:color="auto"/>
        <w:left w:val="none" w:sz="0" w:space="0" w:color="auto"/>
        <w:bottom w:val="none" w:sz="0" w:space="0" w:color="auto"/>
        <w:right w:val="none" w:sz="0" w:space="0" w:color="auto"/>
      </w:divBdr>
      <w:divsChild>
        <w:div w:id="292904271">
          <w:marLeft w:val="360"/>
          <w:marRight w:val="0"/>
          <w:marTop w:val="200"/>
          <w:marBottom w:val="0"/>
          <w:divBdr>
            <w:top w:val="none" w:sz="0" w:space="0" w:color="auto"/>
            <w:left w:val="none" w:sz="0" w:space="0" w:color="auto"/>
            <w:bottom w:val="none" w:sz="0" w:space="0" w:color="auto"/>
            <w:right w:val="none" w:sz="0" w:space="0" w:color="auto"/>
          </w:divBdr>
        </w:div>
        <w:div w:id="1302466452">
          <w:marLeft w:val="360"/>
          <w:marRight w:val="0"/>
          <w:marTop w:val="200"/>
          <w:marBottom w:val="0"/>
          <w:divBdr>
            <w:top w:val="none" w:sz="0" w:space="0" w:color="auto"/>
            <w:left w:val="none" w:sz="0" w:space="0" w:color="auto"/>
            <w:bottom w:val="none" w:sz="0" w:space="0" w:color="auto"/>
            <w:right w:val="none" w:sz="0" w:space="0" w:color="auto"/>
          </w:divBdr>
        </w:div>
        <w:div w:id="1066101919">
          <w:marLeft w:val="360"/>
          <w:marRight w:val="0"/>
          <w:marTop w:val="200"/>
          <w:marBottom w:val="0"/>
          <w:divBdr>
            <w:top w:val="none" w:sz="0" w:space="0" w:color="auto"/>
            <w:left w:val="none" w:sz="0" w:space="0" w:color="auto"/>
            <w:bottom w:val="none" w:sz="0" w:space="0" w:color="auto"/>
            <w:right w:val="none" w:sz="0" w:space="0" w:color="auto"/>
          </w:divBdr>
        </w:div>
        <w:div w:id="514542382">
          <w:marLeft w:val="360"/>
          <w:marRight w:val="0"/>
          <w:marTop w:val="200"/>
          <w:marBottom w:val="0"/>
          <w:divBdr>
            <w:top w:val="none" w:sz="0" w:space="0" w:color="auto"/>
            <w:left w:val="none" w:sz="0" w:space="0" w:color="auto"/>
            <w:bottom w:val="none" w:sz="0" w:space="0" w:color="auto"/>
            <w:right w:val="none" w:sz="0" w:space="0" w:color="auto"/>
          </w:divBdr>
        </w:div>
      </w:divsChild>
    </w:div>
    <w:div w:id="1301765431">
      <w:bodyDiv w:val="1"/>
      <w:marLeft w:val="0"/>
      <w:marRight w:val="0"/>
      <w:marTop w:val="0"/>
      <w:marBottom w:val="0"/>
      <w:divBdr>
        <w:top w:val="none" w:sz="0" w:space="0" w:color="auto"/>
        <w:left w:val="none" w:sz="0" w:space="0" w:color="auto"/>
        <w:bottom w:val="none" w:sz="0" w:space="0" w:color="auto"/>
        <w:right w:val="none" w:sz="0" w:space="0" w:color="auto"/>
      </w:divBdr>
    </w:div>
    <w:div w:id="1377853617">
      <w:bodyDiv w:val="1"/>
      <w:marLeft w:val="0"/>
      <w:marRight w:val="0"/>
      <w:marTop w:val="0"/>
      <w:marBottom w:val="0"/>
      <w:divBdr>
        <w:top w:val="none" w:sz="0" w:space="0" w:color="auto"/>
        <w:left w:val="none" w:sz="0" w:space="0" w:color="auto"/>
        <w:bottom w:val="none" w:sz="0" w:space="0" w:color="auto"/>
        <w:right w:val="none" w:sz="0" w:space="0" w:color="auto"/>
      </w:divBdr>
    </w:div>
    <w:div w:id="1393774754">
      <w:bodyDiv w:val="1"/>
      <w:marLeft w:val="0"/>
      <w:marRight w:val="0"/>
      <w:marTop w:val="0"/>
      <w:marBottom w:val="0"/>
      <w:divBdr>
        <w:top w:val="none" w:sz="0" w:space="0" w:color="auto"/>
        <w:left w:val="none" w:sz="0" w:space="0" w:color="auto"/>
        <w:bottom w:val="none" w:sz="0" w:space="0" w:color="auto"/>
        <w:right w:val="none" w:sz="0" w:space="0" w:color="auto"/>
      </w:divBdr>
    </w:div>
    <w:div w:id="1439442940">
      <w:bodyDiv w:val="1"/>
      <w:marLeft w:val="0"/>
      <w:marRight w:val="0"/>
      <w:marTop w:val="0"/>
      <w:marBottom w:val="0"/>
      <w:divBdr>
        <w:top w:val="none" w:sz="0" w:space="0" w:color="auto"/>
        <w:left w:val="none" w:sz="0" w:space="0" w:color="auto"/>
        <w:bottom w:val="none" w:sz="0" w:space="0" w:color="auto"/>
        <w:right w:val="none" w:sz="0" w:space="0" w:color="auto"/>
      </w:divBdr>
      <w:divsChild>
        <w:div w:id="932936150">
          <w:marLeft w:val="360"/>
          <w:marRight w:val="0"/>
          <w:marTop w:val="100"/>
          <w:marBottom w:val="0"/>
          <w:divBdr>
            <w:top w:val="none" w:sz="0" w:space="0" w:color="auto"/>
            <w:left w:val="none" w:sz="0" w:space="0" w:color="auto"/>
            <w:bottom w:val="none" w:sz="0" w:space="0" w:color="auto"/>
            <w:right w:val="none" w:sz="0" w:space="0" w:color="auto"/>
          </w:divBdr>
        </w:div>
        <w:div w:id="964039856">
          <w:marLeft w:val="360"/>
          <w:marRight w:val="0"/>
          <w:marTop w:val="100"/>
          <w:marBottom w:val="0"/>
          <w:divBdr>
            <w:top w:val="none" w:sz="0" w:space="0" w:color="auto"/>
            <w:left w:val="none" w:sz="0" w:space="0" w:color="auto"/>
            <w:bottom w:val="none" w:sz="0" w:space="0" w:color="auto"/>
            <w:right w:val="none" w:sz="0" w:space="0" w:color="auto"/>
          </w:divBdr>
        </w:div>
        <w:div w:id="477067290">
          <w:marLeft w:val="360"/>
          <w:marRight w:val="0"/>
          <w:marTop w:val="100"/>
          <w:marBottom w:val="0"/>
          <w:divBdr>
            <w:top w:val="none" w:sz="0" w:space="0" w:color="auto"/>
            <w:left w:val="none" w:sz="0" w:space="0" w:color="auto"/>
            <w:bottom w:val="none" w:sz="0" w:space="0" w:color="auto"/>
            <w:right w:val="none" w:sz="0" w:space="0" w:color="auto"/>
          </w:divBdr>
        </w:div>
        <w:div w:id="979922979">
          <w:marLeft w:val="360"/>
          <w:marRight w:val="0"/>
          <w:marTop w:val="100"/>
          <w:marBottom w:val="0"/>
          <w:divBdr>
            <w:top w:val="none" w:sz="0" w:space="0" w:color="auto"/>
            <w:left w:val="none" w:sz="0" w:space="0" w:color="auto"/>
            <w:bottom w:val="none" w:sz="0" w:space="0" w:color="auto"/>
            <w:right w:val="none" w:sz="0" w:space="0" w:color="auto"/>
          </w:divBdr>
        </w:div>
        <w:div w:id="8528178">
          <w:marLeft w:val="360"/>
          <w:marRight w:val="0"/>
          <w:marTop w:val="100"/>
          <w:marBottom w:val="0"/>
          <w:divBdr>
            <w:top w:val="none" w:sz="0" w:space="0" w:color="auto"/>
            <w:left w:val="none" w:sz="0" w:space="0" w:color="auto"/>
            <w:bottom w:val="none" w:sz="0" w:space="0" w:color="auto"/>
            <w:right w:val="none" w:sz="0" w:space="0" w:color="auto"/>
          </w:divBdr>
        </w:div>
        <w:div w:id="1459834773">
          <w:marLeft w:val="360"/>
          <w:marRight w:val="0"/>
          <w:marTop w:val="100"/>
          <w:marBottom w:val="0"/>
          <w:divBdr>
            <w:top w:val="none" w:sz="0" w:space="0" w:color="auto"/>
            <w:left w:val="none" w:sz="0" w:space="0" w:color="auto"/>
            <w:bottom w:val="none" w:sz="0" w:space="0" w:color="auto"/>
            <w:right w:val="none" w:sz="0" w:space="0" w:color="auto"/>
          </w:divBdr>
        </w:div>
        <w:div w:id="1174996197">
          <w:marLeft w:val="360"/>
          <w:marRight w:val="0"/>
          <w:marTop w:val="100"/>
          <w:marBottom w:val="0"/>
          <w:divBdr>
            <w:top w:val="none" w:sz="0" w:space="0" w:color="auto"/>
            <w:left w:val="none" w:sz="0" w:space="0" w:color="auto"/>
            <w:bottom w:val="none" w:sz="0" w:space="0" w:color="auto"/>
            <w:right w:val="none" w:sz="0" w:space="0" w:color="auto"/>
          </w:divBdr>
        </w:div>
      </w:divsChild>
    </w:div>
    <w:div w:id="1476869903">
      <w:bodyDiv w:val="1"/>
      <w:marLeft w:val="0"/>
      <w:marRight w:val="0"/>
      <w:marTop w:val="0"/>
      <w:marBottom w:val="0"/>
      <w:divBdr>
        <w:top w:val="none" w:sz="0" w:space="0" w:color="auto"/>
        <w:left w:val="none" w:sz="0" w:space="0" w:color="auto"/>
        <w:bottom w:val="none" w:sz="0" w:space="0" w:color="auto"/>
        <w:right w:val="none" w:sz="0" w:space="0" w:color="auto"/>
      </w:divBdr>
      <w:divsChild>
        <w:div w:id="2026206219">
          <w:marLeft w:val="360"/>
          <w:marRight w:val="0"/>
          <w:marTop w:val="200"/>
          <w:marBottom w:val="0"/>
          <w:divBdr>
            <w:top w:val="none" w:sz="0" w:space="0" w:color="auto"/>
            <w:left w:val="none" w:sz="0" w:space="0" w:color="auto"/>
            <w:bottom w:val="none" w:sz="0" w:space="0" w:color="auto"/>
            <w:right w:val="none" w:sz="0" w:space="0" w:color="auto"/>
          </w:divBdr>
        </w:div>
        <w:div w:id="1755470701">
          <w:marLeft w:val="360"/>
          <w:marRight w:val="0"/>
          <w:marTop w:val="200"/>
          <w:marBottom w:val="0"/>
          <w:divBdr>
            <w:top w:val="none" w:sz="0" w:space="0" w:color="auto"/>
            <w:left w:val="none" w:sz="0" w:space="0" w:color="auto"/>
            <w:bottom w:val="none" w:sz="0" w:space="0" w:color="auto"/>
            <w:right w:val="none" w:sz="0" w:space="0" w:color="auto"/>
          </w:divBdr>
        </w:div>
        <w:div w:id="1157458053">
          <w:marLeft w:val="360"/>
          <w:marRight w:val="0"/>
          <w:marTop w:val="200"/>
          <w:marBottom w:val="0"/>
          <w:divBdr>
            <w:top w:val="none" w:sz="0" w:space="0" w:color="auto"/>
            <w:left w:val="none" w:sz="0" w:space="0" w:color="auto"/>
            <w:bottom w:val="none" w:sz="0" w:space="0" w:color="auto"/>
            <w:right w:val="none" w:sz="0" w:space="0" w:color="auto"/>
          </w:divBdr>
        </w:div>
      </w:divsChild>
    </w:div>
    <w:div w:id="1562011958">
      <w:bodyDiv w:val="1"/>
      <w:marLeft w:val="0"/>
      <w:marRight w:val="0"/>
      <w:marTop w:val="0"/>
      <w:marBottom w:val="0"/>
      <w:divBdr>
        <w:top w:val="none" w:sz="0" w:space="0" w:color="auto"/>
        <w:left w:val="none" w:sz="0" w:space="0" w:color="auto"/>
        <w:bottom w:val="none" w:sz="0" w:space="0" w:color="auto"/>
        <w:right w:val="none" w:sz="0" w:space="0" w:color="auto"/>
      </w:divBdr>
      <w:divsChild>
        <w:div w:id="397679188">
          <w:marLeft w:val="360"/>
          <w:marRight w:val="0"/>
          <w:marTop w:val="100"/>
          <w:marBottom w:val="0"/>
          <w:divBdr>
            <w:top w:val="none" w:sz="0" w:space="0" w:color="auto"/>
            <w:left w:val="none" w:sz="0" w:space="0" w:color="auto"/>
            <w:bottom w:val="none" w:sz="0" w:space="0" w:color="auto"/>
            <w:right w:val="none" w:sz="0" w:space="0" w:color="auto"/>
          </w:divBdr>
        </w:div>
        <w:div w:id="611713407">
          <w:marLeft w:val="360"/>
          <w:marRight w:val="0"/>
          <w:marTop w:val="100"/>
          <w:marBottom w:val="0"/>
          <w:divBdr>
            <w:top w:val="none" w:sz="0" w:space="0" w:color="auto"/>
            <w:left w:val="none" w:sz="0" w:space="0" w:color="auto"/>
            <w:bottom w:val="none" w:sz="0" w:space="0" w:color="auto"/>
            <w:right w:val="none" w:sz="0" w:space="0" w:color="auto"/>
          </w:divBdr>
        </w:div>
        <w:div w:id="1000084391">
          <w:marLeft w:val="360"/>
          <w:marRight w:val="0"/>
          <w:marTop w:val="100"/>
          <w:marBottom w:val="0"/>
          <w:divBdr>
            <w:top w:val="none" w:sz="0" w:space="0" w:color="auto"/>
            <w:left w:val="none" w:sz="0" w:space="0" w:color="auto"/>
            <w:bottom w:val="none" w:sz="0" w:space="0" w:color="auto"/>
            <w:right w:val="none" w:sz="0" w:space="0" w:color="auto"/>
          </w:divBdr>
        </w:div>
        <w:div w:id="1118454670">
          <w:marLeft w:val="360"/>
          <w:marRight w:val="0"/>
          <w:marTop w:val="100"/>
          <w:marBottom w:val="0"/>
          <w:divBdr>
            <w:top w:val="none" w:sz="0" w:space="0" w:color="auto"/>
            <w:left w:val="none" w:sz="0" w:space="0" w:color="auto"/>
            <w:bottom w:val="none" w:sz="0" w:space="0" w:color="auto"/>
            <w:right w:val="none" w:sz="0" w:space="0" w:color="auto"/>
          </w:divBdr>
        </w:div>
        <w:div w:id="2082409108">
          <w:marLeft w:val="360"/>
          <w:marRight w:val="0"/>
          <w:marTop w:val="100"/>
          <w:marBottom w:val="0"/>
          <w:divBdr>
            <w:top w:val="none" w:sz="0" w:space="0" w:color="auto"/>
            <w:left w:val="none" w:sz="0" w:space="0" w:color="auto"/>
            <w:bottom w:val="none" w:sz="0" w:space="0" w:color="auto"/>
            <w:right w:val="none" w:sz="0" w:space="0" w:color="auto"/>
          </w:divBdr>
        </w:div>
        <w:div w:id="37629979">
          <w:marLeft w:val="360"/>
          <w:marRight w:val="0"/>
          <w:marTop w:val="100"/>
          <w:marBottom w:val="0"/>
          <w:divBdr>
            <w:top w:val="none" w:sz="0" w:space="0" w:color="auto"/>
            <w:left w:val="none" w:sz="0" w:space="0" w:color="auto"/>
            <w:bottom w:val="none" w:sz="0" w:space="0" w:color="auto"/>
            <w:right w:val="none" w:sz="0" w:space="0" w:color="auto"/>
          </w:divBdr>
        </w:div>
        <w:div w:id="2029484667">
          <w:marLeft w:val="360"/>
          <w:marRight w:val="0"/>
          <w:marTop w:val="100"/>
          <w:marBottom w:val="0"/>
          <w:divBdr>
            <w:top w:val="none" w:sz="0" w:space="0" w:color="auto"/>
            <w:left w:val="none" w:sz="0" w:space="0" w:color="auto"/>
            <w:bottom w:val="none" w:sz="0" w:space="0" w:color="auto"/>
            <w:right w:val="none" w:sz="0" w:space="0" w:color="auto"/>
          </w:divBdr>
        </w:div>
      </w:divsChild>
    </w:div>
    <w:div w:id="1574199049">
      <w:bodyDiv w:val="1"/>
      <w:marLeft w:val="0"/>
      <w:marRight w:val="0"/>
      <w:marTop w:val="0"/>
      <w:marBottom w:val="0"/>
      <w:divBdr>
        <w:top w:val="none" w:sz="0" w:space="0" w:color="auto"/>
        <w:left w:val="none" w:sz="0" w:space="0" w:color="auto"/>
        <w:bottom w:val="none" w:sz="0" w:space="0" w:color="auto"/>
        <w:right w:val="none" w:sz="0" w:space="0" w:color="auto"/>
      </w:divBdr>
    </w:div>
    <w:div w:id="1581480299">
      <w:bodyDiv w:val="1"/>
      <w:marLeft w:val="0"/>
      <w:marRight w:val="0"/>
      <w:marTop w:val="0"/>
      <w:marBottom w:val="0"/>
      <w:divBdr>
        <w:top w:val="none" w:sz="0" w:space="0" w:color="auto"/>
        <w:left w:val="none" w:sz="0" w:space="0" w:color="auto"/>
        <w:bottom w:val="none" w:sz="0" w:space="0" w:color="auto"/>
        <w:right w:val="none" w:sz="0" w:space="0" w:color="auto"/>
      </w:divBdr>
      <w:divsChild>
        <w:div w:id="283079807">
          <w:marLeft w:val="360"/>
          <w:marRight w:val="0"/>
          <w:marTop w:val="200"/>
          <w:marBottom w:val="0"/>
          <w:divBdr>
            <w:top w:val="none" w:sz="0" w:space="0" w:color="auto"/>
            <w:left w:val="none" w:sz="0" w:space="0" w:color="auto"/>
            <w:bottom w:val="none" w:sz="0" w:space="0" w:color="auto"/>
            <w:right w:val="none" w:sz="0" w:space="0" w:color="auto"/>
          </w:divBdr>
        </w:div>
        <w:div w:id="185293439">
          <w:marLeft w:val="360"/>
          <w:marRight w:val="0"/>
          <w:marTop w:val="200"/>
          <w:marBottom w:val="0"/>
          <w:divBdr>
            <w:top w:val="none" w:sz="0" w:space="0" w:color="auto"/>
            <w:left w:val="none" w:sz="0" w:space="0" w:color="auto"/>
            <w:bottom w:val="none" w:sz="0" w:space="0" w:color="auto"/>
            <w:right w:val="none" w:sz="0" w:space="0" w:color="auto"/>
          </w:divBdr>
        </w:div>
        <w:div w:id="511798260">
          <w:marLeft w:val="360"/>
          <w:marRight w:val="0"/>
          <w:marTop w:val="200"/>
          <w:marBottom w:val="0"/>
          <w:divBdr>
            <w:top w:val="none" w:sz="0" w:space="0" w:color="auto"/>
            <w:left w:val="none" w:sz="0" w:space="0" w:color="auto"/>
            <w:bottom w:val="none" w:sz="0" w:space="0" w:color="auto"/>
            <w:right w:val="none" w:sz="0" w:space="0" w:color="auto"/>
          </w:divBdr>
        </w:div>
        <w:div w:id="2058236022">
          <w:marLeft w:val="360"/>
          <w:marRight w:val="0"/>
          <w:marTop w:val="200"/>
          <w:marBottom w:val="0"/>
          <w:divBdr>
            <w:top w:val="none" w:sz="0" w:space="0" w:color="auto"/>
            <w:left w:val="none" w:sz="0" w:space="0" w:color="auto"/>
            <w:bottom w:val="none" w:sz="0" w:space="0" w:color="auto"/>
            <w:right w:val="none" w:sz="0" w:space="0" w:color="auto"/>
          </w:divBdr>
        </w:div>
        <w:div w:id="1052267109">
          <w:marLeft w:val="360"/>
          <w:marRight w:val="0"/>
          <w:marTop w:val="200"/>
          <w:marBottom w:val="0"/>
          <w:divBdr>
            <w:top w:val="none" w:sz="0" w:space="0" w:color="auto"/>
            <w:left w:val="none" w:sz="0" w:space="0" w:color="auto"/>
            <w:bottom w:val="none" w:sz="0" w:space="0" w:color="auto"/>
            <w:right w:val="none" w:sz="0" w:space="0" w:color="auto"/>
          </w:divBdr>
        </w:div>
        <w:div w:id="197551630">
          <w:marLeft w:val="360"/>
          <w:marRight w:val="0"/>
          <w:marTop w:val="200"/>
          <w:marBottom w:val="0"/>
          <w:divBdr>
            <w:top w:val="none" w:sz="0" w:space="0" w:color="auto"/>
            <w:left w:val="none" w:sz="0" w:space="0" w:color="auto"/>
            <w:bottom w:val="none" w:sz="0" w:space="0" w:color="auto"/>
            <w:right w:val="none" w:sz="0" w:space="0" w:color="auto"/>
          </w:divBdr>
        </w:div>
      </w:divsChild>
    </w:div>
    <w:div w:id="1790120416">
      <w:bodyDiv w:val="1"/>
      <w:marLeft w:val="0"/>
      <w:marRight w:val="0"/>
      <w:marTop w:val="0"/>
      <w:marBottom w:val="0"/>
      <w:divBdr>
        <w:top w:val="none" w:sz="0" w:space="0" w:color="auto"/>
        <w:left w:val="none" w:sz="0" w:space="0" w:color="auto"/>
        <w:bottom w:val="none" w:sz="0" w:space="0" w:color="auto"/>
        <w:right w:val="none" w:sz="0" w:space="0" w:color="auto"/>
      </w:divBdr>
    </w:div>
    <w:div w:id="1889951636">
      <w:bodyDiv w:val="1"/>
      <w:marLeft w:val="0"/>
      <w:marRight w:val="0"/>
      <w:marTop w:val="0"/>
      <w:marBottom w:val="0"/>
      <w:divBdr>
        <w:top w:val="none" w:sz="0" w:space="0" w:color="auto"/>
        <w:left w:val="none" w:sz="0" w:space="0" w:color="auto"/>
        <w:bottom w:val="none" w:sz="0" w:space="0" w:color="auto"/>
        <w:right w:val="none" w:sz="0" w:space="0" w:color="auto"/>
      </w:divBdr>
      <w:divsChild>
        <w:div w:id="2041007833">
          <w:marLeft w:val="547"/>
          <w:marRight w:val="0"/>
          <w:marTop w:val="0"/>
          <w:marBottom w:val="0"/>
          <w:divBdr>
            <w:top w:val="none" w:sz="0" w:space="0" w:color="auto"/>
            <w:left w:val="none" w:sz="0" w:space="0" w:color="auto"/>
            <w:bottom w:val="none" w:sz="0" w:space="0" w:color="auto"/>
            <w:right w:val="none" w:sz="0" w:space="0" w:color="auto"/>
          </w:divBdr>
        </w:div>
      </w:divsChild>
    </w:div>
    <w:div w:id="1942764410">
      <w:bodyDiv w:val="1"/>
      <w:marLeft w:val="0"/>
      <w:marRight w:val="0"/>
      <w:marTop w:val="0"/>
      <w:marBottom w:val="0"/>
      <w:divBdr>
        <w:top w:val="none" w:sz="0" w:space="0" w:color="auto"/>
        <w:left w:val="none" w:sz="0" w:space="0" w:color="auto"/>
        <w:bottom w:val="none" w:sz="0" w:space="0" w:color="auto"/>
        <w:right w:val="none" w:sz="0" w:space="0" w:color="auto"/>
      </w:divBdr>
    </w:div>
    <w:div w:id="1985430807">
      <w:bodyDiv w:val="1"/>
      <w:marLeft w:val="0"/>
      <w:marRight w:val="0"/>
      <w:marTop w:val="0"/>
      <w:marBottom w:val="0"/>
      <w:divBdr>
        <w:top w:val="none" w:sz="0" w:space="0" w:color="auto"/>
        <w:left w:val="none" w:sz="0" w:space="0" w:color="auto"/>
        <w:bottom w:val="none" w:sz="0" w:space="0" w:color="auto"/>
        <w:right w:val="none" w:sz="0" w:space="0" w:color="auto"/>
      </w:divBdr>
      <w:divsChild>
        <w:div w:id="1017541000">
          <w:marLeft w:val="360"/>
          <w:marRight w:val="0"/>
          <w:marTop w:val="200"/>
          <w:marBottom w:val="0"/>
          <w:divBdr>
            <w:top w:val="none" w:sz="0" w:space="0" w:color="auto"/>
            <w:left w:val="none" w:sz="0" w:space="0" w:color="auto"/>
            <w:bottom w:val="none" w:sz="0" w:space="0" w:color="auto"/>
            <w:right w:val="none" w:sz="0" w:space="0" w:color="auto"/>
          </w:divBdr>
        </w:div>
        <w:div w:id="1099450696">
          <w:marLeft w:val="360"/>
          <w:marRight w:val="0"/>
          <w:marTop w:val="200"/>
          <w:marBottom w:val="0"/>
          <w:divBdr>
            <w:top w:val="none" w:sz="0" w:space="0" w:color="auto"/>
            <w:left w:val="none" w:sz="0" w:space="0" w:color="auto"/>
            <w:bottom w:val="none" w:sz="0" w:space="0" w:color="auto"/>
            <w:right w:val="none" w:sz="0" w:space="0" w:color="auto"/>
          </w:divBdr>
        </w:div>
        <w:div w:id="1186136831">
          <w:marLeft w:val="360"/>
          <w:marRight w:val="0"/>
          <w:marTop w:val="200"/>
          <w:marBottom w:val="0"/>
          <w:divBdr>
            <w:top w:val="none" w:sz="0" w:space="0" w:color="auto"/>
            <w:left w:val="none" w:sz="0" w:space="0" w:color="auto"/>
            <w:bottom w:val="none" w:sz="0" w:space="0" w:color="auto"/>
            <w:right w:val="none" w:sz="0" w:space="0" w:color="auto"/>
          </w:divBdr>
        </w:div>
      </w:divsChild>
    </w:div>
    <w:div w:id="1988589499">
      <w:bodyDiv w:val="1"/>
      <w:marLeft w:val="0"/>
      <w:marRight w:val="0"/>
      <w:marTop w:val="0"/>
      <w:marBottom w:val="0"/>
      <w:divBdr>
        <w:top w:val="none" w:sz="0" w:space="0" w:color="auto"/>
        <w:left w:val="none" w:sz="0" w:space="0" w:color="auto"/>
        <w:bottom w:val="none" w:sz="0" w:space="0" w:color="auto"/>
        <w:right w:val="none" w:sz="0" w:space="0" w:color="auto"/>
      </w:divBdr>
    </w:div>
    <w:div w:id="1994792782">
      <w:bodyDiv w:val="1"/>
      <w:marLeft w:val="0"/>
      <w:marRight w:val="0"/>
      <w:marTop w:val="0"/>
      <w:marBottom w:val="0"/>
      <w:divBdr>
        <w:top w:val="none" w:sz="0" w:space="0" w:color="auto"/>
        <w:left w:val="none" w:sz="0" w:space="0" w:color="auto"/>
        <w:bottom w:val="none" w:sz="0" w:space="0" w:color="auto"/>
        <w:right w:val="none" w:sz="0" w:space="0" w:color="auto"/>
      </w:divBdr>
    </w:div>
    <w:div w:id="2051680451">
      <w:bodyDiv w:val="1"/>
      <w:marLeft w:val="0"/>
      <w:marRight w:val="0"/>
      <w:marTop w:val="0"/>
      <w:marBottom w:val="0"/>
      <w:divBdr>
        <w:top w:val="none" w:sz="0" w:space="0" w:color="auto"/>
        <w:left w:val="none" w:sz="0" w:space="0" w:color="auto"/>
        <w:bottom w:val="none" w:sz="0" w:space="0" w:color="auto"/>
        <w:right w:val="none" w:sz="0" w:space="0" w:color="auto"/>
      </w:divBdr>
    </w:div>
    <w:div w:id="2067023858">
      <w:bodyDiv w:val="1"/>
      <w:marLeft w:val="0"/>
      <w:marRight w:val="0"/>
      <w:marTop w:val="0"/>
      <w:marBottom w:val="0"/>
      <w:divBdr>
        <w:top w:val="none" w:sz="0" w:space="0" w:color="auto"/>
        <w:left w:val="none" w:sz="0" w:space="0" w:color="auto"/>
        <w:bottom w:val="none" w:sz="0" w:space="0" w:color="auto"/>
        <w:right w:val="none" w:sz="0" w:space="0" w:color="auto"/>
      </w:divBdr>
    </w:div>
    <w:div w:id="20694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59838844EFE469032E4BCDFC875C7" ma:contentTypeVersion="13" ma:contentTypeDescription="Create a new document." ma:contentTypeScope="" ma:versionID="a5456bbd86a14dea8ea94686c9cf60fc">
  <xsd:schema xmlns:xsd="http://www.w3.org/2001/XMLSchema" xmlns:xs="http://www.w3.org/2001/XMLSchema" xmlns:p="http://schemas.microsoft.com/office/2006/metadata/properties" xmlns:ns3="13d0d8ea-76a9-4371-9fec-94f9fb8aa006" xmlns:ns4="9eeab659-c46c-45e0-b1ad-2884d13ea558" targetNamespace="http://schemas.microsoft.com/office/2006/metadata/properties" ma:root="true" ma:fieldsID="5094ad5dbd5b720bf57c342185c32a00" ns3:_="" ns4:_="">
    <xsd:import namespace="13d0d8ea-76a9-4371-9fec-94f9fb8aa006"/>
    <xsd:import namespace="9eeab659-c46c-45e0-b1ad-2884d13ea5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d8ea-76a9-4371-9fec-94f9fb8aa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ab659-c46c-45e0-b1ad-2884d13ea5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60AB-FEFE-421E-A255-4F95A1F8B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d8ea-76a9-4371-9fec-94f9fb8aa006"/>
    <ds:schemaRef ds:uri="9eeab659-c46c-45e0-b1ad-2884d13e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37494-DD78-44D1-8C69-821E2002A467}">
  <ds:schemaRefs>
    <ds:schemaRef ds:uri="http://schemas.microsoft.com/sharepoint/v3/contenttype/forms"/>
  </ds:schemaRefs>
</ds:datastoreItem>
</file>

<file path=customXml/itemProps3.xml><?xml version="1.0" encoding="utf-8"?>
<ds:datastoreItem xmlns:ds="http://schemas.openxmlformats.org/officeDocument/2006/customXml" ds:itemID="{34B5EF17-3DE2-4EFD-83CC-68E012D526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646F7-9A79-4ACE-82AC-36B69F2F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6913</Words>
  <Characters>39409</Characters>
  <Application>Microsoft Office Word</Application>
  <DocSecurity>0</DocSecurity>
  <Lines>328</Lines>
  <Paragraphs>92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ABBREVIATIONS</vt:lpstr>
      <vt:lpstr>SUMMARY</vt:lpstr>
      <vt:lpstr>INTRODUCTION</vt:lpstr>
      <vt:lpstr>PROCESS FOLLOWED</vt:lpstr>
      <vt:lpstr>OVERSIGHT ON DEPARTMENT / ENTITY ACHIEVEMENT OF STRATEGIC PRIORITIES</vt:lpstr>
      <vt:lpstr>2	OVERSIGHT ON DEPARTMENT / ENTITY ACHIEVEMENT OF APP TARGETS</vt:lpstr>
      <vt:lpstr>3	OVERSIGHT ON DEPARTMENT / ENTITY PROJECT MANAGEMENT</vt:lpstr>
      <vt:lpstr>4	OVERSIGHT ON DEPARTMENT / ENTITY FINANCIAL PERFORMANCE</vt:lpstr>
      <vt:lpstr>5	OVERSIGHT ON DEPARTMENT / ENTITY RESOLUTIONS AND PETITIONS MANAGEMENT</vt:lpstr>
      <vt:lpstr>6	OVERSIGHT ON DEPARTMENT / ENTITY PUBLIC ENGAGEMENT</vt:lpstr>
      <vt:lpstr>7	OVERSIGHT ON INTERNATIONAL TREATISE / AGREEMENTS</vt:lpstr>
      <vt:lpstr>8	OVERSIGHT ON DEPARTMENT / ENTITY GEYODI EMPOWERMENT</vt:lpstr>
      <vt:lpstr>9	OVERSIGHT ON DEPARTMENT / ENTITY COMPLIANCE WITH FIDUCIARY REQUIREMENTS</vt:lpstr>
      <vt:lpstr>10	OVERSIGHT ON A CAPACITATED PUBLIC SERVICE </vt:lpstr>
      <vt:lpstr>11	OVERSIGHT ON ANY OTHER COMMITTEE FOCUS AREA </vt:lpstr>
      <vt:lpstr>12	COMMITTEE FINDINGS / CONCERNS </vt:lpstr>
      <vt:lpstr>13	COMMITTEE RECOMMENDATIONS </vt:lpstr>
      <vt:lpstr>14	ACKNOWLEDGEMENTS </vt:lpstr>
      <vt:lpstr>15	ADOPTION</vt:lpstr>
    </vt:vector>
  </TitlesOfParts>
  <Company>HP</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2022-06-09T13:09:00Z</cp:lastPrinted>
  <dcterms:created xsi:type="dcterms:W3CDTF">2022-06-20T07:22:00Z</dcterms:created>
  <dcterms:modified xsi:type="dcterms:W3CDTF">2022-06-20T07:22:00Z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0x010100E5659838844EFE469032E4BCDFC875C7</vt:lpwstr>
  </property>
</Properties>
</file>