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285D6" w14:textId="77777777" w:rsidR="006744F0" w:rsidRDefault="006744F0" w:rsidP="00453CC4">
      <w:pPr>
        <w:pStyle w:val="Heading1"/>
        <w:spacing w:line="276" w:lineRule="auto"/>
        <w:rPr>
          <w:rFonts w:ascii="Arial" w:hAnsi="Arial" w:cs="Arial"/>
          <w:sz w:val="22"/>
          <w:szCs w:val="22"/>
        </w:rPr>
      </w:pPr>
    </w:p>
    <w:p w14:paraId="31D47494" w14:textId="77777777" w:rsidR="006744F0" w:rsidRDefault="006744F0" w:rsidP="00453CC4">
      <w:pPr>
        <w:pStyle w:val="Heading1"/>
        <w:spacing w:line="276" w:lineRule="auto"/>
        <w:rPr>
          <w:rFonts w:ascii="Arial" w:hAnsi="Arial" w:cs="Arial"/>
          <w:sz w:val="22"/>
          <w:szCs w:val="22"/>
        </w:rPr>
      </w:pPr>
    </w:p>
    <w:p w14:paraId="0F793DE5" w14:textId="77777777" w:rsidR="006744F0" w:rsidRDefault="006744F0" w:rsidP="006744F0">
      <w:pPr>
        <w:jc w:val="both"/>
      </w:pPr>
      <w:r>
        <w:t>No.170 - 2022: Fourth Session, Sixth Legislature</w:t>
      </w:r>
    </w:p>
    <w:p w14:paraId="39483623" w14:textId="77777777" w:rsidR="006744F0" w:rsidRDefault="006744F0" w:rsidP="006744F0">
      <w:pPr>
        <w:jc w:val="both"/>
      </w:pPr>
    </w:p>
    <w:p w14:paraId="22519C2E" w14:textId="77777777" w:rsidR="006744F0" w:rsidRDefault="006744F0" w:rsidP="006744F0">
      <w:pPr>
        <w:jc w:val="both"/>
      </w:pPr>
    </w:p>
    <w:p w14:paraId="2FE164C8" w14:textId="77777777" w:rsidR="006744F0" w:rsidRDefault="006744F0" w:rsidP="006744F0">
      <w:pPr>
        <w:jc w:val="both"/>
      </w:pPr>
    </w:p>
    <w:p w14:paraId="74E41EDA" w14:textId="77777777" w:rsidR="006744F0" w:rsidRDefault="006744F0" w:rsidP="006744F0">
      <w:pPr>
        <w:jc w:val="both"/>
      </w:pPr>
    </w:p>
    <w:p w14:paraId="6E8074FF" w14:textId="77777777" w:rsidR="006744F0" w:rsidRDefault="006744F0" w:rsidP="006744F0">
      <w:pPr>
        <w:jc w:val="center"/>
        <w:rPr>
          <w:rFonts w:ascii="Times New Roman" w:hAnsi="Times New Roman"/>
          <w:sz w:val="28"/>
        </w:rPr>
      </w:pPr>
      <w:r>
        <w:rPr>
          <w:b/>
          <w:sz w:val="33"/>
        </w:rPr>
        <w:t>GAUTENG PROVINCIAL LEGISLATURE</w:t>
      </w:r>
    </w:p>
    <w:p w14:paraId="511558BE" w14:textId="77777777" w:rsidR="006744F0" w:rsidRDefault="006744F0" w:rsidP="006744F0">
      <w:pPr>
        <w:jc w:val="center"/>
        <w:rPr>
          <w:sz w:val="28"/>
        </w:rPr>
      </w:pPr>
    </w:p>
    <w:p w14:paraId="3AFA3F79" w14:textId="77777777" w:rsidR="006744F0" w:rsidRDefault="006744F0" w:rsidP="006744F0">
      <w:pPr>
        <w:jc w:val="center"/>
        <w:rPr>
          <w:sz w:val="28"/>
        </w:rPr>
      </w:pPr>
    </w:p>
    <w:p w14:paraId="2D61E59E" w14:textId="77777777" w:rsidR="006744F0" w:rsidRDefault="006744F0" w:rsidP="006744F0">
      <w:pPr>
        <w:jc w:val="center"/>
        <w:rPr>
          <w:b/>
          <w:spacing w:val="-20"/>
          <w:sz w:val="24"/>
        </w:rPr>
      </w:pPr>
      <w:r>
        <w:rPr>
          <w:b/>
          <w:spacing w:val="-20"/>
        </w:rPr>
        <w:t xml:space="preserve">======================== </w:t>
      </w:r>
    </w:p>
    <w:p w14:paraId="1FB29E04" w14:textId="77777777" w:rsidR="006744F0" w:rsidRDefault="006744F0" w:rsidP="006744F0">
      <w:pPr>
        <w:jc w:val="center"/>
        <w:rPr>
          <w:sz w:val="28"/>
        </w:rPr>
      </w:pPr>
    </w:p>
    <w:p w14:paraId="2264BB19" w14:textId="77777777" w:rsidR="006744F0" w:rsidRDefault="006744F0" w:rsidP="006744F0">
      <w:pPr>
        <w:jc w:val="center"/>
        <w:rPr>
          <w:b/>
          <w:sz w:val="56"/>
        </w:rPr>
      </w:pPr>
      <w:r>
        <w:rPr>
          <w:b/>
          <w:sz w:val="56"/>
        </w:rPr>
        <w:t>ANNOUNCEMENTS,</w:t>
      </w:r>
    </w:p>
    <w:p w14:paraId="0D6A780A" w14:textId="77777777" w:rsidR="006744F0" w:rsidRDefault="006744F0" w:rsidP="006744F0">
      <w:pPr>
        <w:jc w:val="center"/>
        <w:rPr>
          <w:b/>
          <w:sz w:val="56"/>
        </w:rPr>
      </w:pPr>
      <w:r>
        <w:rPr>
          <w:b/>
          <w:sz w:val="56"/>
        </w:rPr>
        <w:t>TABLINGS AND</w:t>
      </w:r>
    </w:p>
    <w:p w14:paraId="488BD5D3" w14:textId="77777777" w:rsidR="006744F0" w:rsidRDefault="006744F0" w:rsidP="006744F0">
      <w:pPr>
        <w:jc w:val="center"/>
        <w:rPr>
          <w:b/>
          <w:sz w:val="56"/>
        </w:rPr>
      </w:pPr>
      <w:r>
        <w:rPr>
          <w:b/>
          <w:sz w:val="56"/>
        </w:rPr>
        <w:t>COMMITTEE REPORTS</w:t>
      </w:r>
    </w:p>
    <w:p w14:paraId="3796D05A" w14:textId="77777777" w:rsidR="006744F0" w:rsidRDefault="006744F0" w:rsidP="006744F0">
      <w:pPr>
        <w:jc w:val="center"/>
        <w:rPr>
          <w:b/>
          <w:spacing w:val="-20"/>
          <w:sz w:val="24"/>
        </w:rPr>
      </w:pPr>
    </w:p>
    <w:p w14:paraId="2FC3D839" w14:textId="77777777" w:rsidR="006744F0" w:rsidRDefault="006744F0" w:rsidP="006744F0">
      <w:pPr>
        <w:jc w:val="center"/>
        <w:rPr>
          <w:b/>
          <w:spacing w:val="-20"/>
        </w:rPr>
      </w:pPr>
      <w:r>
        <w:rPr>
          <w:b/>
          <w:spacing w:val="-20"/>
        </w:rPr>
        <w:t>========================</w:t>
      </w:r>
    </w:p>
    <w:p w14:paraId="074AE025" w14:textId="77777777" w:rsidR="006744F0" w:rsidRDefault="006744F0" w:rsidP="006744F0">
      <w:pPr>
        <w:jc w:val="center"/>
      </w:pPr>
    </w:p>
    <w:p w14:paraId="5E85B252" w14:textId="77777777" w:rsidR="006744F0" w:rsidRDefault="006744F0" w:rsidP="006744F0">
      <w:pPr>
        <w:jc w:val="center"/>
      </w:pPr>
      <w:r>
        <w:t>Wednesday, 18 May 2022</w:t>
      </w:r>
    </w:p>
    <w:p w14:paraId="4A16ED8C" w14:textId="77777777" w:rsidR="006744F0" w:rsidRDefault="006744F0" w:rsidP="006744F0">
      <w:pPr>
        <w:jc w:val="center"/>
      </w:pPr>
    </w:p>
    <w:p w14:paraId="6CA3F411" w14:textId="77777777" w:rsidR="006744F0" w:rsidRDefault="006744F0" w:rsidP="006744F0">
      <w:pPr>
        <w:tabs>
          <w:tab w:val="left" w:pos="2127"/>
        </w:tabs>
        <w:jc w:val="center"/>
      </w:pPr>
    </w:p>
    <w:p w14:paraId="68D712B4" w14:textId="77777777" w:rsidR="006744F0" w:rsidRDefault="006744F0" w:rsidP="006744F0">
      <w:pPr>
        <w:pStyle w:val="Heading1"/>
        <w:tabs>
          <w:tab w:val="center" w:pos="4489"/>
        </w:tabs>
        <w:rPr>
          <w:rFonts w:ascii="Arial" w:hAnsi="Arial" w:cs="Arial"/>
          <w:sz w:val="24"/>
          <w:szCs w:val="24"/>
        </w:rPr>
      </w:pPr>
      <w:r>
        <w:rPr>
          <w:rFonts w:cs="Arial"/>
          <w:szCs w:val="24"/>
        </w:rPr>
        <w:t>ANNOUNCEMENTS</w:t>
      </w:r>
    </w:p>
    <w:p w14:paraId="1DF57E33" w14:textId="77777777" w:rsidR="006744F0" w:rsidRDefault="006744F0" w:rsidP="006744F0">
      <w:pPr>
        <w:ind w:left="720" w:right="-694"/>
        <w:jc w:val="both"/>
        <w:rPr>
          <w:rFonts w:cs="Arial"/>
        </w:rPr>
      </w:pPr>
      <w:r>
        <w:rPr>
          <w:rFonts w:cs="Arial"/>
        </w:rPr>
        <w:t>none</w:t>
      </w:r>
    </w:p>
    <w:p w14:paraId="6DF73933" w14:textId="77777777" w:rsidR="006744F0" w:rsidRDefault="006744F0" w:rsidP="006744F0">
      <w:pPr>
        <w:ind w:left="720" w:hanging="720"/>
        <w:rPr>
          <w:rFonts w:cs="Arial"/>
          <w:b/>
          <w:bCs/>
        </w:rPr>
      </w:pPr>
    </w:p>
    <w:p w14:paraId="405A4F17" w14:textId="77777777" w:rsidR="006744F0" w:rsidRDefault="006744F0" w:rsidP="006744F0">
      <w:pPr>
        <w:pStyle w:val="Heading1"/>
        <w:tabs>
          <w:tab w:val="center" w:pos="4489"/>
        </w:tabs>
        <w:rPr>
          <w:rFonts w:ascii="Arial" w:hAnsi="Arial"/>
          <w:sz w:val="24"/>
        </w:rPr>
      </w:pPr>
    </w:p>
    <w:p w14:paraId="6398FF0B" w14:textId="77777777" w:rsidR="006744F0" w:rsidRDefault="006744F0" w:rsidP="006744F0">
      <w:pPr>
        <w:pStyle w:val="Heading1"/>
        <w:tabs>
          <w:tab w:val="center" w:pos="4489"/>
        </w:tabs>
      </w:pPr>
      <w:r>
        <w:t>TABLINGS</w:t>
      </w:r>
    </w:p>
    <w:p w14:paraId="7F7D3317" w14:textId="77777777" w:rsidR="006744F0" w:rsidRDefault="006744F0" w:rsidP="006744F0">
      <w:pPr>
        <w:ind w:firstLine="720"/>
        <w:rPr>
          <w:rFonts w:cs="Arial"/>
        </w:rPr>
      </w:pPr>
      <w:r>
        <w:rPr>
          <w:rFonts w:cs="Arial"/>
          <w:bCs/>
        </w:rPr>
        <w:t>none</w:t>
      </w:r>
    </w:p>
    <w:p w14:paraId="011E015B" w14:textId="77777777" w:rsidR="006744F0" w:rsidRDefault="006744F0" w:rsidP="006744F0">
      <w:pPr>
        <w:rPr>
          <w:rFonts w:cs="Arial"/>
          <w:b/>
          <w:szCs w:val="24"/>
        </w:rPr>
      </w:pPr>
    </w:p>
    <w:p w14:paraId="7726A73E" w14:textId="77777777" w:rsidR="006744F0" w:rsidRDefault="006744F0" w:rsidP="006744F0">
      <w:pPr>
        <w:rPr>
          <w:rFonts w:cs="Arial"/>
          <w:b/>
        </w:rPr>
      </w:pPr>
      <w:r>
        <w:rPr>
          <w:rFonts w:cs="Arial"/>
          <w:b/>
        </w:rPr>
        <w:tab/>
      </w:r>
    </w:p>
    <w:p w14:paraId="20EAF5A7" w14:textId="77777777" w:rsidR="006744F0" w:rsidRDefault="006744F0" w:rsidP="006744F0">
      <w:pPr>
        <w:rPr>
          <w:rFonts w:cs="Arial"/>
          <w:snapToGrid w:val="0"/>
          <w:sz w:val="24"/>
        </w:rPr>
      </w:pPr>
    </w:p>
    <w:p w14:paraId="70DEDDE8" w14:textId="45164741" w:rsidR="006744F0" w:rsidRDefault="006744F0" w:rsidP="006744F0">
      <w:pPr>
        <w:pStyle w:val="Heading7"/>
        <w:widowControl w:val="0"/>
        <w:rPr>
          <w:rFonts w:ascii="Arial" w:hAnsi="Arial" w:cs="Arial"/>
          <w:b/>
          <w:bCs/>
          <w:i w:val="0"/>
          <w:iCs w:val="0"/>
          <w:snapToGrid w:val="0"/>
          <w:color w:val="auto"/>
        </w:rPr>
      </w:pPr>
      <w:r w:rsidRPr="006744F0">
        <w:rPr>
          <w:rFonts w:ascii="Arial" w:hAnsi="Arial" w:cs="Arial"/>
          <w:b/>
          <w:bCs/>
          <w:i w:val="0"/>
          <w:iCs w:val="0"/>
          <w:snapToGrid w:val="0"/>
          <w:color w:val="auto"/>
        </w:rPr>
        <w:t>COMMITTEE REPORTS</w:t>
      </w:r>
    </w:p>
    <w:p w14:paraId="02B86C46" w14:textId="77777777" w:rsidR="006744F0" w:rsidRPr="006744F0" w:rsidRDefault="006744F0" w:rsidP="006744F0"/>
    <w:p w14:paraId="277CDBA3" w14:textId="3FDDADA2" w:rsidR="006744F0" w:rsidRPr="006744F0" w:rsidRDefault="006744F0" w:rsidP="006744F0">
      <w:pPr>
        <w:ind w:left="720" w:hanging="720"/>
        <w:jc w:val="both"/>
        <w:rPr>
          <w:rFonts w:cs="Arial"/>
        </w:rPr>
      </w:pPr>
      <w:r>
        <w:rPr>
          <w:rFonts w:cs="Arial"/>
          <w:b/>
          <w:bCs/>
        </w:rPr>
        <w:t>1.</w:t>
      </w:r>
      <w:r>
        <w:rPr>
          <w:rFonts w:cs="Arial"/>
          <w:b/>
          <w:bCs/>
        </w:rPr>
        <w:tab/>
        <w:t xml:space="preserve">The Chairperson of the Economic Development, Environment, Agriculture and Rural Development Portfolio Committee, Hon. F Hassan, tabled the Committee’s Oversight Report on the Detail of the Department of Agriculture and Rural Development Budget Vote 11 of the Provincial Appropriation Bill </w:t>
      </w:r>
      <w:r>
        <w:rPr>
          <w:rFonts w:cs="Arial"/>
          <w:b/>
          <w:bCs/>
          <w:i/>
          <w:iCs/>
        </w:rPr>
        <w:t>[G001-2022]</w:t>
      </w:r>
      <w:r>
        <w:rPr>
          <w:rFonts w:cs="Arial"/>
          <w:b/>
          <w:bCs/>
        </w:rPr>
        <w:t xml:space="preserve"> for the 2022/23 FY, as follows</w:t>
      </w:r>
    </w:p>
    <w:p w14:paraId="12DDB424" w14:textId="77777777" w:rsidR="006744F0" w:rsidRDefault="006744F0" w:rsidP="00453CC4">
      <w:pPr>
        <w:pStyle w:val="Heading1"/>
        <w:spacing w:line="276" w:lineRule="auto"/>
        <w:rPr>
          <w:rFonts w:ascii="Arial" w:hAnsi="Arial" w:cs="Arial"/>
          <w:sz w:val="22"/>
          <w:szCs w:val="22"/>
        </w:rPr>
      </w:pPr>
    </w:p>
    <w:p w14:paraId="6CCA87C5" w14:textId="77777777" w:rsidR="006744F0" w:rsidRDefault="006744F0" w:rsidP="00453CC4">
      <w:pPr>
        <w:pStyle w:val="Heading1"/>
        <w:spacing w:line="276" w:lineRule="auto"/>
        <w:rPr>
          <w:rFonts w:ascii="Arial" w:hAnsi="Arial" w:cs="Arial"/>
          <w:sz w:val="22"/>
          <w:szCs w:val="22"/>
        </w:rPr>
      </w:pPr>
    </w:p>
    <w:p w14:paraId="702408AD" w14:textId="77777777" w:rsidR="006744F0" w:rsidRDefault="006744F0" w:rsidP="00453CC4">
      <w:pPr>
        <w:pStyle w:val="Heading1"/>
        <w:spacing w:line="276" w:lineRule="auto"/>
        <w:rPr>
          <w:rFonts w:ascii="Arial" w:hAnsi="Arial" w:cs="Arial"/>
          <w:sz w:val="22"/>
          <w:szCs w:val="22"/>
        </w:rPr>
      </w:pPr>
    </w:p>
    <w:p w14:paraId="5CE98D06" w14:textId="77777777" w:rsidR="006744F0" w:rsidRDefault="006744F0" w:rsidP="00453CC4">
      <w:pPr>
        <w:pStyle w:val="Heading1"/>
        <w:spacing w:line="276" w:lineRule="auto"/>
        <w:rPr>
          <w:rFonts w:ascii="Arial" w:hAnsi="Arial" w:cs="Arial"/>
          <w:sz w:val="22"/>
          <w:szCs w:val="22"/>
        </w:rPr>
      </w:pPr>
    </w:p>
    <w:p w14:paraId="0EE510E5" w14:textId="77777777" w:rsidR="006744F0" w:rsidRDefault="006744F0" w:rsidP="00453CC4">
      <w:pPr>
        <w:pStyle w:val="Heading1"/>
        <w:spacing w:line="276" w:lineRule="auto"/>
        <w:rPr>
          <w:rFonts w:ascii="Arial" w:hAnsi="Arial" w:cs="Arial"/>
          <w:sz w:val="22"/>
          <w:szCs w:val="22"/>
        </w:rPr>
      </w:pPr>
    </w:p>
    <w:p w14:paraId="74AD0366" w14:textId="06D40589" w:rsidR="00453CC4" w:rsidRPr="004424DD" w:rsidRDefault="00FA0FF8" w:rsidP="00453CC4">
      <w:pPr>
        <w:pStyle w:val="Heading1"/>
        <w:spacing w:line="276" w:lineRule="auto"/>
        <w:rPr>
          <w:rFonts w:ascii="Arial" w:hAnsi="Arial" w:cs="Arial"/>
          <w:sz w:val="22"/>
          <w:szCs w:val="22"/>
        </w:rPr>
      </w:pPr>
      <w:r>
        <w:rPr>
          <w:rFonts w:ascii="Arial" w:hAnsi="Arial" w:cs="Arial"/>
          <w:noProof/>
          <w:sz w:val="22"/>
          <w:szCs w:val="22"/>
          <w:lang w:val="en-US"/>
        </w:rPr>
        <w:object w:dxaOrig="1440" w:dyaOrig="1440" w14:anchorId="0B9A8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3.05pt;margin-top:6.95pt;width:180pt;height:141.35pt;z-index:251660288;mso-wrap-edited:f" wrapcoords="-38 0 -38 21551 21600 21551 21600 0 -38 0">
            <v:imagedata r:id="rId12" o:title=""/>
            <w10:wrap type="through"/>
          </v:shape>
          <o:OLEObject Type="Embed" ProgID="MSPhotoEd.3" ShapeID="_x0000_s1026" DrawAspect="Content" ObjectID="_1714452621" r:id="rId13"/>
        </w:object>
      </w:r>
    </w:p>
    <w:p w14:paraId="2C684356" w14:textId="77777777" w:rsidR="00453CC4" w:rsidRPr="004424DD" w:rsidRDefault="00453CC4" w:rsidP="00453CC4">
      <w:pPr>
        <w:pStyle w:val="Heading1"/>
        <w:spacing w:line="276" w:lineRule="auto"/>
        <w:rPr>
          <w:rFonts w:ascii="Arial" w:hAnsi="Arial" w:cs="Arial"/>
          <w:sz w:val="22"/>
          <w:szCs w:val="22"/>
        </w:rPr>
      </w:pPr>
    </w:p>
    <w:p w14:paraId="36EC07A5" w14:textId="77777777" w:rsidR="00453CC4" w:rsidRPr="004424DD" w:rsidRDefault="00453CC4" w:rsidP="00453CC4">
      <w:pPr>
        <w:pStyle w:val="Heading1"/>
        <w:spacing w:line="276" w:lineRule="auto"/>
        <w:jc w:val="center"/>
        <w:rPr>
          <w:rFonts w:ascii="Arial" w:hAnsi="Arial" w:cs="Arial"/>
          <w:sz w:val="22"/>
          <w:szCs w:val="22"/>
        </w:rPr>
      </w:pPr>
    </w:p>
    <w:p w14:paraId="17EE10C6" w14:textId="77777777" w:rsidR="00453CC4" w:rsidRPr="004424DD" w:rsidRDefault="00453CC4" w:rsidP="00453CC4">
      <w:pPr>
        <w:pStyle w:val="Heading1"/>
        <w:spacing w:line="276" w:lineRule="auto"/>
        <w:jc w:val="center"/>
        <w:rPr>
          <w:rFonts w:ascii="Arial" w:hAnsi="Arial" w:cs="Arial"/>
          <w:sz w:val="22"/>
          <w:szCs w:val="22"/>
        </w:rPr>
      </w:pPr>
    </w:p>
    <w:p w14:paraId="23062884" w14:textId="77777777" w:rsidR="00453CC4" w:rsidRPr="004424DD" w:rsidRDefault="00453CC4" w:rsidP="00453CC4">
      <w:pPr>
        <w:pStyle w:val="Heading1"/>
        <w:spacing w:line="276" w:lineRule="auto"/>
        <w:jc w:val="center"/>
        <w:rPr>
          <w:rFonts w:ascii="Arial" w:hAnsi="Arial" w:cs="Arial"/>
          <w:sz w:val="22"/>
          <w:szCs w:val="22"/>
        </w:rPr>
      </w:pPr>
    </w:p>
    <w:p w14:paraId="3E4D065A" w14:textId="77777777" w:rsidR="00453CC4" w:rsidRPr="004424DD" w:rsidRDefault="00453CC4" w:rsidP="00453CC4">
      <w:pPr>
        <w:pStyle w:val="Heading1"/>
        <w:spacing w:line="276" w:lineRule="auto"/>
        <w:jc w:val="center"/>
        <w:rPr>
          <w:rFonts w:ascii="Arial" w:hAnsi="Arial" w:cs="Arial"/>
          <w:sz w:val="22"/>
          <w:szCs w:val="22"/>
        </w:rPr>
      </w:pPr>
    </w:p>
    <w:p w14:paraId="2BF97F97" w14:textId="77777777" w:rsidR="00453CC4" w:rsidRPr="004424DD" w:rsidRDefault="00453CC4" w:rsidP="00453CC4">
      <w:pPr>
        <w:pStyle w:val="Heading1"/>
        <w:spacing w:line="276" w:lineRule="auto"/>
        <w:jc w:val="center"/>
        <w:rPr>
          <w:rFonts w:ascii="Arial" w:hAnsi="Arial" w:cs="Arial"/>
          <w:sz w:val="22"/>
          <w:szCs w:val="22"/>
        </w:rPr>
      </w:pPr>
    </w:p>
    <w:p w14:paraId="1DA095FB" w14:textId="77777777" w:rsidR="00453CC4" w:rsidRPr="004424DD" w:rsidRDefault="000C4924" w:rsidP="00453CC4">
      <w:pPr>
        <w:pStyle w:val="Heading1"/>
        <w:spacing w:line="276" w:lineRule="auto"/>
        <w:jc w:val="center"/>
        <w:rPr>
          <w:rFonts w:ascii="Arial" w:hAnsi="Arial" w:cs="Arial"/>
          <w:sz w:val="24"/>
          <w:szCs w:val="24"/>
        </w:rPr>
      </w:pPr>
      <w:r>
        <w:rPr>
          <w:rFonts w:ascii="Arial" w:hAnsi="Arial" w:cs="Arial"/>
          <w:sz w:val="24"/>
          <w:szCs w:val="24"/>
        </w:rPr>
        <w:t>ECONOMIC DEVELOPMENT, ENVIRONMENT, AGRICULTURE AND RURAL DEVELOPMENT,</w:t>
      </w:r>
      <w:r w:rsidR="00453CC4" w:rsidRPr="004424DD">
        <w:rPr>
          <w:rFonts w:ascii="Arial" w:hAnsi="Arial" w:cs="Arial"/>
          <w:sz w:val="24"/>
          <w:szCs w:val="24"/>
        </w:rPr>
        <w:t xml:space="preserve"> PORTFOLIO COMMITTEE </w:t>
      </w:r>
    </w:p>
    <w:p w14:paraId="34A674A8" w14:textId="77777777" w:rsidR="00453CC4" w:rsidRPr="004424DD" w:rsidRDefault="00453CC4" w:rsidP="00453CC4">
      <w:pPr>
        <w:pStyle w:val="Heading1"/>
        <w:spacing w:line="276" w:lineRule="auto"/>
        <w:jc w:val="center"/>
        <w:rPr>
          <w:rFonts w:ascii="Arial" w:hAnsi="Arial" w:cs="Arial"/>
          <w:b w:val="0"/>
          <w:sz w:val="24"/>
          <w:szCs w:val="24"/>
        </w:rPr>
      </w:pPr>
    </w:p>
    <w:p w14:paraId="70D62CE4" w14:textId="77777777" w:rsidR="00453CC4" w:rsidRPr="004424DD" w:rsidRDefault="00453CC4" w:rsidP="00453CC4">
      <w:pPr>
        <w:pStyle w:val="BodyText"/>
        <w:spacing w:line="276" w:lineRule="auto"/>
        <w:rPr>
          <w:rFonts w:cs="Arial"/>
          <w:sz w:val="24"/>
          <w:szCs w:val="24"/>
          <w:lang w:val="en-GB"/>
        </w:rPr>
      </w:pPr>
      <w:r w:rsidRPr="004424DD">
        <w:rPr>
          <w:rFonts w:cs="Arial"/>
          <w:sz w:val="24"/>
          <w:szCs w:val="24"/>
          <w:lang w:val="en-GB"/>
        </w:rPr>
        <w:tab/>
      </w:r>
      <w:r w:rsidRPr="004424DD">
        <w:rPr>
          <w:rFonts w:cs="Arial"/>
          <w:sz w:val="24"/>
          <w:szCs w:val="24"/>
          <w:lang w:val="en-GB"/>
        </w:rPr>
        <w:tab/>
      </w:r>
    </w:p>
    <w:p w14:paraId="63851B31" w14:textId="49CDE9C7" w:rsidR="00453CC4" w:rsidRPr="004424DD" w:rsidRDefault="00C9327A" w:rsidP="00D92407">
      <w:pPr>
        <w:pStyle w:val="Heading1"/>
        <w:spacing w:line="276" w:lineRule="auto"/>
        <w:jc w:val="center"/>
        <w:rPr>
          <w:rFonts w:ascii="Arial" w:hAnsi="Arial" w:cs="Arial"/>
          <w:sz w:val="24"/>
          <w:szCs w:val="24"/>
        </w:rPr>
      </w:pPr>
      <w:r>
        <w:rPr>
          <w:rFonts w:ascii="Arial" w:hAnsi="Arial" w:cs="Arial"/>
          <w:sz w:val="24"/>
          <w:szCs w:val="24"/>
          <w:lang w:val="en-ZA"/>
        </w:rPr>
        <w:t xml:space="preserve">Adopted </w:t>
      </w:r>
      <w:r w:rsidR="00A61EAB">
        <w:rPr>
          <w:rFonts w:ascii="Arial" w:hAnsi="Arial" w:cs="Arial"/>
          <w:sz w:val="24"/>
          <w:szCs w:val="24"/>
          <w:lang w:val="en-ZA"/>
        </w:rPr>
        <w:t>Committee</w:t>
      </w:r>
      <w:r w:rsidR="006F15BA" w:rsidRPr="006F15BA">
        <w:rPr>
          <w:rFonts w:ascii="Arial" w:hAnsi="Arial" w:cs="Arial"/>
          <w:sz w:val="24"/>
          <w:szCs w:val="24"/>
          <w:lang w:val="en-ZA"/>
        </w:rPr>
        <w:t xml:space="preserve"> Oversight Report on Budget Vote 11</w:t>
      </w:r>
      <w:r w:rsidR="002B0A48">
        <w:rPr>
          <w:rFonts w:ascii="Arial" w:hAnsi="Arial" w:cs="Arial"/>
          <w:sz w:val="24"/>
          <w:szCs w:val="24"/>
          <w:lang w:val="en-ZA"/>
        </w:rPr>
        <w:t xml:space="preserve"> for the 20</w:t>
      </w:r>
      <w:r w:rsidR="00262DA6">
        <w:rPr>
          <w:rFonts w:ascii="Arial" w:hAnsi="Arial" w:cs="Arial"/>
          <w:sz w:val="24"/>
          <w:szCs w:val="24"/>
          <w:lang w:val="en-ZA"/>
        </w:rPr>
        <w:t>2</w:t>
      </w:r>
      <w:r w:rsidR="0004205B">
        <w:rPr>
          <w:rFonts w:ascii="Arial" w:hAnsi="Arial" w:cs="Arial"/>
          <w:sz w:val="24"/>
          <w:szCs w:val="24"/>
          <w:lang w:val="en-ZA"/>
        </w:rPr>
        <w:t>2</w:t>
      </w:r>
      <w:r w:rsidR="002B0A48">
        <w:rPr>
          <w:rFonts w:ascii="Arial" w:hAnsi="Arial" w:cs="Arial"/>
          <w:sz w:val="24"/>
          <w:szCs w:val="24"/>
          <w:lang w:val="en-ZA"/>
        </w:rPr>
        <w:t>/</w:t>
      </w:r>
      <w:r w:rsidR="001F31B4">
        <w:rPr>
          <w:rFonts w:ascii="Arial" w:hAnsi="Arial" w:cs="Arial"/>
          <w:sz w:val="24"/>
          <w:szCs w:val="24"/>
          <w:lang w:val="en-ZA"/>
        </w:rPr>
        <w:t>2</w:t>
      </w:r>
      <w:r w:rsidR="0004205B">
        <w:rPr>
          <w:rFonts w:ascii="Arial" w:hAnsi="Arial" w:cs="Arial"/>
          <w:sz w:val="24"/>
          <w:szCs w:val="24"/>
          <w:lang w:val="en-ZA"/>
        </w:rPr>
        <w:t>3</w:t>
      </w:r>
      <w:r w:rsidR="006F15BA">
        <w:rPr>
          <w:rFonts w:ascii="Arial" w:hAnsi="Arial" w:cs="Arial"/>
          <w:sz w:val="24"/>
          <w:szCs w:val="24"/>
          <w:lang w:val="en-ZA"/>
        </w:rPr>
        <w:t xml:space="preserve"> </w:t>
      </w:r>
      <w:r w:rsidR="00041375">
        <w:rPr>
          <w:rFonts w:ascii="Arial" w:hAnsi="Arial" w:cs="Arial"/>
          <w:sz w:val="24"/>
          <w:szCs w:val="24"/>
          <w:lang w:val="en-ZA"/>
        </w:rPr>
        <w:t>F</w:t>
      </w:r>
      <w:r w:rsidR="004F57BE">
        <w:rPr>
          <w:rFonts w:ascii="Arial" w:hAnsi="Arial" w:cs="Arial"/>
          <w:sz w:val="24"/>
          <w:szCs w:val="24"/>
          <w:lang w:val="en-ZA"/>
        </w:rPr>
        <w:t>inancial</w:t>
      </w:r>
      <w:r w:rsidR="006F15BA">
        <w:rPr>
          <w:rFonts w:ascii="Arial" w:hAnsi="Arial" w:cs="Arial"/>
          <w:sz w:val="24"/>
          <w:szCs w:val="24"/>
          <w:lang w:val="en-ZA"/>
        </w:rPr>
        <w:t xml:space="preserve"> </w:t>
      </w:r>
      <w:r w:rsidR="00041375">
        <w:rPr>
          <w:rFonts w:ascii="Arial" w:hAnsi="Arial" w:cs="Arial"/>
          <w:sz w:val="24"/>
          <w:szCs w:val="24"/>
          <w:lang w:val="en-ZA"/>
        </w:rPr>
        <w:t>Y</w:t>
      </w:r>
      <w:r w:rsidR="006F15BA">
        <w:rPr>
          <w:rFonts w:ascii="Arial" w:hAnsi="Arial" w:cs="Arial"/>
          <w:sz w:val="24"/>
          <w:szCs w:val="24"/>
          <w:lang w:val="en-ZA"/>
        </w:rPr>
        <w:t>ear</w:t>
      </w:r>
      <w:r w:rsidR="009413A1">
        <w:rPr>
          <w:rFonts w:ascii="Arial" w:hAnsi="Arial" w:cs="Arial"/>
          <w:sz w:val="24"/>
          <w:szCs w:val="24"/>
          <w:lang w:val="en-ZA"/>
        </w:rPr>
        <w:t xml:space="preserve">: </w:t>
      </w:r>
      <w:r w:rsidR="006F15BA" w:rsidRPr="006F15BA">
        <w:rPr>
          <w:rFonts w:ascii="Arial" w:hAnsi="Arial" w:cs="Arial"/>
          <w:sz w:val="24"/>
          <w:szCs w:val="24"/>
          <w:lang w:val="en-ZA"/>
        </w:rPr>
        <w:t>Gauteng Department of Agriculture and Rural Devel</w:t>
      </w:r>
      <w:r w:rsidR="009413A1">
        <w:rPr>
          <w:rFonts w:ascii="Arial" w:hAnsi="Arial" w:cs="Arial"/>
          <w:sz w:val="24"/>
          <w:szCs w:val="24"/>
          <w:lang w:val="en-ZA"/>
        </w:rPr>
        <w:t xml:space="preserve">opment </w:t>
      </w:r>
    </w:p>
    <w:p w14:paraId="04710417" w14:textId="77777777" w:rsidR="000B017B" w:rsidRPr="004424DD" w:rsidRDefault="00731FF5" w:rsidP="00731FF5">
      <w:pPr>
        <w:tabs>
          <w:tab w:val="left" w:pos="3090"/>
        </w:tabs>
        <w:rPr>
          <w:rFonts w:cs="Arial"/>
        </w:rPr>
      </w:pPr>
      <w:r>
        <w:rPr>
          <w:rFonts w:cs="Arial"/>
        </w:rPr>
        <w:tab/>
      </w:r>
    </w:p>
    <w:p w14:paraId="7EB69F4C" w14:textId="77777777" w:rsidR="00806D2D" w:rsidRPr="004424DD" w:rsidRDefault="00806D2D" w:rsidP="00453CC4">
      <w:pPr>
        <w:jc w:val="center"/>
        <w:rPr>
          <w:rFonts w:cs="Arial"/>
        </w:rPr>
      </w:pPr>
    </w:p>
    <w:p w14:paraId="3F0A289C" w14:textId="77777777" w:rsidR="00806D2D" w:rsidRPr="004424DD" w:rsidRDefault="00806D2D" w:rsidP="00453CC4">
      <w:pPr>
        <w:jc w:val="center"/>
        <w:rPr>
          <w:rFonts w:cs="Arial"/>
        </w:rPr>
      </w:pPr>
    </w:p>
    <w:p w14:paraId="03C4C836" w14:textId="77777777" w:rsidR="00806D2D" w:rsidRPr="004424DD" w:rsidRDefault="00806D2D" w:rsidP="00453CC4">
      <w:pPr>
        <w:jc w:val="center"/>
        <w:rPr>
          <w:rFonts w:cs="Arial"/>
        </w:rPr>
      </w:pPr>
    </w:p>
    <w:p w14:paraId="2F41636F" w14:textId="77777777" w:rsidR="00806D2D" w:rsidRPr="004424DD" w:rsidRDefault="00806D2D" w:rsidP="00453CC4">
      <w:pPr>
        <w:jc w:val="center"/>
        <w:rPr>
          <w:rFonts w:cs="Arial"/>
        </w:rPr>
      </w:pPr>
    </w:p>
    <w:p w14:paraId="7A906C6B" w14:textId="77777777" w:rsidR="00806D2D" w:rsidRPr="004424DD" w:rsidRDefault="00806D2D" w:rsidP="00453CC4">
      <w:pPr>
        <w:jc w:val="center"/>
        <w:rPr>
          <w:rFonts w:cs="Arial"/>
        </w:rPr>
      </w:pPr>
    </w:p>
    <w:p w14:paraId="119C2F92" w14:textId="77777777" w:rsidR="00806D2D" w:rsidRPr="004424DD" w:rsidRDefault="00806D2D" w:rsidP="00453CC4">
      <w:pPr>
        <w:jc w:val="center"/>
        <w:rPr>
          <w:rFonts w:cs="Arial"/>
        </w:rPr>
      </w:pPr>
    </w:p>
    <w:p w14:paraId="2FD9C0B1" w14:textId="77777777" w:rsidR="00806D2D" w:rsidRPr="004424DD" w:rsidRDefault="00806D2D" w:rsidP="00453CC4">
      <w:pPr>
        <w:jc w:val="center"/>
        <w:rPr>
          <w:rFonts w:cs="Arial"/>
        </w:rPr>
      </w:pPr>
    </w:p>
    <w:p w14:paraId="4FC2192C" w14:textId="77777777" w:rsidR="00806D2D" w:rsidRPr="004424DD" w:rsidRDefault="00806D2D" w:rsidP="00453CC4">
      <w:pPr>
        <w:jc w:val="center"/>
        <w:rPr>
          <w:rFonts w:cs="Arial"/>
        </w:rPr>
      </w:pPr>
    </w:p>
    <w:p w14:paraId="644C82C6" w14:textId="77777777" w:rsidR="00806D2D" w:rsidRPr="004424DD" w:rsidRDefault="00806D2D" w:rsidP="00453CC4">
      <w:pPr>
        <w:jc w:val="center"/>
        <w:rPr>
          <w:rFonts w:cs="Arial"/>
        </w:rPr>
      </w:pPr>
    </w:p>
    <w:p w14:paraId="6641E54E" w14:textId="77777777" w:rsidR="00806D2D" w:rsidRPr="004424DD" w:rsidRDefault="00806D2D" w:rsidP="00453CC4">
      <w:pPr>
        <w:jc w:val="center"/>
        <w:rPr>
          <w:rFonts w:cs="Arial"/>
        </w:rPr>
      </w:pPr>
    </w:p>
    <w:p w14:paraId="0906D973" w14:textId="77777777" w:rsidR="00806D2D" w:rsidRPr="004424DD" w:rsidRDefault="00806D2D" w:rsidP="00453CC4">
      <w:pPr>
        <w:jc w:val="center"/>
        <w:rPr>
          <w:rFonts w:cs="Arial"/>
        </w:rPr>
      </w:pPr>
    </w:p>
    <w:p w14:paraId="66D0CAC5" w14:textId="77777777" w:rsidR="00806D2D" w:rsidRPr="004424DD" w:rsidRDefault="00806D2D" w:rsidP="00453CC4">
      <w:pPr>
        <w:jc w:val="center"/>
        <w:rPr>
          <w:rFonts w:cs="Arial"/>
        </w:rPr>
      </w:pPr>
    </w:p>
    <w:p w14:paraId="72FFD808" w14:textId="77777777" w:rsidR="00806D2D" w:rsidRPr="004424DD" w:rsidRDefault="00806D2D" w:rsidP="00453CC4">
      <w:pPr>
        <w:jc w:val="center"/>
        <w:rPr>
          <w:rFonts w:cs="Arial"/>
        </w:rPr>
      </w:pPr>
    </w:p>
    <w:p w14:paraId="5C0F9D65" w14:textId="77777777" w:rsidR="00806D2D" w:rsidRPr="004424DD" w:rsidRDefault="00806D2D" w:rsidP="00453CC4">
      <w:pPr>
        <w:jc w:val="center"/>
        <w:rPr>
          <w:rFonts w:cs="Arial"/>
        </w:rPr>
      </w:pPr>
    </w:p>
    <w:p w14:paraId="5E161A82" w14:textId="77777777" w:rsidR="00806D2D" w:rsidRPr="004424DD" w:rsidRDefault="00806D2D" w:rsidP="00453CC4">
      <w:pPr>
        <w:jc w:val="center"/>
        <w:rPr>
          <w:rFonts w:cs="Arial"/>
        </w:rPr>
      </w:pPr>
    </w:p>
    <w:p w14:paraId="1103DFDF" w14:textId="77777777" w:rsidR="00806D2D" w:rsidRPr="004424DD" w:rsidRDefault="00806D2D" w:rsidP="00453CC4">
      <w:pPr>
        <w:jc w:val="center"/>
        <w:rPr>
          <w:rFonts w:cs="Arial"/>
        </w:rPr>
      </w:pPr>
    </w:p>
    <w:p w14:paraId="5CB01E0A" w14:textId="77777777" w:rsidR="00806D2D" w:rsidRPr="004424DD" w:rsidRDefault="00806D2D" w:rsidP="00453CC4">
      <w:pPr>
        <w:jc w:val="center"/>
        <w:rPr>
          <w:rFonts w:cs="Arial"/>
        </w:rPr>
      </w:pPr>
    </w:p>
    <w:p w14:paraId="6B7D5007" w14:textId="77777777" w:rsidR="00806D2D" w:rsidRPr="004424DD" w:rsidRDefault="00806D2D" w:rsidP="00453CC4">
      <w:pPr>
        <w:jc w:val="center"/>
        <w:rPr>
          <w:rFonts w:cs="Arial"/>
        </w:rPr>
      </w:pPr>
    </w:p>
    <w:p w14:paraId="41741A0C" w14:textId="77777777" w:rsidR="00806D2D" w:rsidRPr="004424DD" w:rsidRDefault="00806D2D" w:rsidP="00453CC4">
      <w:pPr>
        <w:jc w:val="center"/>
        <w:rPr>
          <w:rFonts w:cs="Arial"/>
        </w:rPr>
      </w:pPr>
    </w:p>
    <w:p w14:paraId="1E1821CB" w14:textId="77777777" w:rsidR="00806D2D" w:rsidRDefault="00806D2D" w:rsidP="00453CC4">
      <w:pPr>
        <w:jc w:val="center"/>
        <w:rPr>
          <w:rFonts w:cs="Arial"/>
        </w:rPr>
      </w:pPr>
    </w:p>
    <w:p w14:paraId="1ED51DA6" w14:textId="77777777" w:rsidR="00FF4786" w:rsidRDefault="00FF4786" w:rsidP="00453CC4">
      <w:pPr>
        <w:jc w:val="center"/>
        <w:rPr>
          <w:rFonts w:cs="Arial"/>
        </w:rPr>
      </w:pPr>
    </w:p>
    <w:p w14:paraId="70DF25EB" w14:textId="77777777" w:rsidR="00FF4786" w:rsidRPr="004424DD" w:rsidRDefault="00FF4786" w:rsidP="00453CC4">
      <w:pPr>
        <w:jc w:val="center"/>
        <w:rPr>
          <w:rFonts w:cs="Arial"/>
        </w:rPr>
      </w:pPr>
    </w:p>
    <w:p w14:paraId="3BBEA68D" w14:textId="77777777" w:rsidR="00806D2D" w:rsidRPr="004424DD" w:rsidRDefault="00806D2D" w:rsidP="00453CC4">
      <w:pPr>
        <w:jc w:val="center"/>
        <w:rPr>
          <w:rFonts w:cs="Arial"/>
        </w:rPr>
      </w:pPr>
    </w:p>
    <w:p w14:paraId="1C084492" w14:textId="77777777" w:rsidR="00806D2D" w:rsidRPr="004424DD" w:rsidRDefault="00806D2D" w:rsidP="00453CC4">
      <w:pPr>
        <w:jc w:val="center"/>
        <w:rPr>
          <w:rFonts w:cs="Arial"/>
        </w:rPr>
      </w:pPr>
    </w:p>
    <w:p w14:paraId="043B443F" w14:textId="77777777" w:rsidR="00806D2D" w:rsidRPr="004424DD" w:rsidRDefault="00806D2D" w:rsidP="00453CC4">
      <w:pPr>
        <w:jc w:val="center"/>
        <w:rPr>
          <w:rFonts w:cs="Arial"/>
        </w:rPr>
      </w:pPr>
    </w:p>
    <w:p w14:paraId="70B5E8FE" w14:textId="77777777" w:rsidR="00806D2D" w:rsidRPr="004424DD" w:rsidRDefault="00806D2D" w:rsidP="00453CC4">
      <w:pPr>
        <w:jc w:val="center"/>
        <w:rPr>
          <w:rFonts w:cs="Arial"/>
        </w:rPr>
      </w:pPr>
    </w:p>
    <w:p w14:paraId="0DB85CC0" w14:textId="77777777" w:rsidR="00806D2D" w:rsidRPr="004424DD" w:rsidRDefault="00806D2D" w:rsidP="00453CC4">
      <w:pPr>
        <w:jc w:val="center"/>
        <w:rPr>
          <w:rFonts w:cs="Arial"/>
        </w:rPr>
      </w:pPr>
    </w:p>
    <w:p w14:paraId="74CAEA9E" w14:textId="77777777" w:rsidR="00806D2D" w:rsidRPr="004424DD" w:rsidRDefault="00806D2D" w:rsidP="00453CC4">
      <w:pPr>
        <w:jc w:val="center"/>
        <w:rPr>
          <w:rFonts w:cs="Arial"/>
        </w:rPr>
      </w:pPr>
    </w:p>
    <w:p w14:paraId="2797AA6F" w14:textId="77777777" w:rsidR="00806D2D" w:rsidRPr="004424DD" w:rsidRDefault="00806D2D" w:rsidP="00453CC4">
      <w:pPr>
        <w:jc w:val="center"/>
        <w:rPr>
          <w:rFonts w:cs="Arial"/>
        </w:rPr>
      </w:pPr>
    </w:p>
    <w:p w14:paraId="007221B2" w14:textId="77777777" w:rsidR="00806D2D" w:rsidRDefault="00806D2D" w:rsidP="00453CC4">
      <w:pPr>
        <w:jc w:val="center"/>
        <w:rPr>
          <w:rFonts w:cs="Arial"/>
          <w:b/>
          <w:sz w:val="22"/>
          <w:szCs w:val="22"/>
        </w:rPr>
      </w:pPr>
    </w:p>
    <w:p w14:paraId="35835413" w14:textId="77777777" w:rsidR="00EB56C9" w:rsidRDefault="00EB56C9" w:rsidP="00453CC4">
      <w:pPr>
        <w:jc w:val="center"/>
        <w:rPr>
          <w:rFonts w:cs="Arial"/>
          <w:b/>
          <w:sz w:val="22"/>
          <w:szCs w:val="22"/>
        </w:rPr>
      </w:pPr>
    </w:p>
    <w:p w14:paraId="0A3D2F67" w14:textId="77777777" w:rsidR="00FF2537" w:rsidRDefault="00FF2537" w:rsidP="00453CC4">
      <w:pPr>
        <w:jc w:val="center"/>
        <w:rPr>
          <w:rFonts w:cs="Arial"/>
          <w:b/>
          <w:sz w:val="22"/>
          <w:szCs w:val="22"/>
        </w:rPr>
      </w:pPr>
    </w:p>
    <w:p w14:paraId="685040D5" w14:textId="77777777" w:rsidR="00FF2537" w:rsidRDefault="00FF2537" w:rsidP="00E51B6A">
      <w:pPr>
        <w:tabs>
          <w:tab w:val="left" w:pos="3255"/>
        </w:tabs>
        <w:rPr>
          <w:rFonts w:cs="Arial"/>
          <w:b/>
          <w:sz w:val="22"/>
          <w:szCs w:val="22"/>
        </w:rPr>
      </w:pPr>
    </w:p>
    <w:p w14:paraId="69D410FB" w14:textId="6F42D77F" w:rsidR="00806D2D" w:rsidRPr="004424DD" w:rsidRDefault="00B803FD" w:rsidP="002B0A48">
      <w:pPr>
        <w:jc w:val="center"/>
        <w:rPr>
          <w:rFonts w:cs="Arial"/>
          <w:b/>
          <w:sz w:val="22"/>
          <w:szCs w:val="22"/>
        </w:rPr>
      </w:pPr>
      <w:r>
        <w:rPr>
          <w:rFonts w:cs="Arial"/>
          <w:b/>
          <w:sz w:val="22"/>
          <w:szCs w:val="22"/>
          <w:vertAlign w:val="superscript"/>
        </w:rPr>
        <w:t xml:space="preserve"> </w:t>
      </w:r>
      <w:r w:rsidR="008C7B00">
        <w:rPr>
          <w:rFonts w:cs="Arial"/>
          <w:b/>
          <w:sz w:val="24"/>
          <w:szCs w:val="24"/>
        </w:rPr>
        <w:t>Friday</w:t>
      </w:r>
      <w:r w:rsidR="00262DA6">
        <w:rPr>
          <w:rFonts w:cs="Arial"/>
          <w:b/>
          <w:sz w:val="24"/>
          <w:szCs w:val="24"/>
        </w:rPr>
        <w:t xml:space="preserve">, </w:t>
      </w:r>
      <w:r w:rsidR="000F70FA">
        <w:rPr>
          <w:rFonts w:cs="Arial"/>
          <w:b/>
          <w:sz w:val="24"/>
          <w:szCs w:val="24"/>
        </w:rPr>
        <w:t>20</w:t>
      </w:r>
      <w:r w:rsidR="000F70FA" w:rsidRPr="000F70FA">
        <w:rPr>
          <w:rFonts w:cs="Arial"/>
          <w:b/>
          <w:sz w:val="24"/>
          <w:szCs w:val="24"/>
          <w:vertAlign w:val="superscript"/>
        </w:rPr>
        <w:t>th</w:t>
      </w:r>
      <w:r w:rsidR="000F70FA">
        <w:rPr>
          <w:rFonts w:cs="Arial"/>
          <w:b/>
          <w:sz w:val="24"/>
          <w:szCs w:val="24"/>
        </w:rPr>
        <w:t xml:space="preserve"> </w:t>
      </w:r>
      <w:r w:rsidR="0004205B">
        <w:rPr>
          <w:rFonts w:cs="Arial"/>
          <w:b/>
          <w:sz w:val="24"/>
          <w:szCs w:val="24"/>
        </w:rPr>
        <w:t>May 2022</w:t>
      </w:r>
      <w:r w:rsidR="008C2914">
        <w:rPr>
          <w:rFonts w:cs="Arial"/>
          <w:b/>
          <w:sz w:val="24"/>
          <w:szCs w:val="24"/>
        </w:rPr>
        <w:br w:type="page"/>
      </w:r>
      <w:r w:rsidR="00806D2D" w:rsidRPr="009F283F">
        <w:rPr>
          <w:rFonts w:cs="Arial"/>
          <w:b/>
          <w:sz w:val="24"/>
          <w:szCs w:val="24"/>
        </w:rPr>
        <w:lastRenderedPageBreak/>
        <w:t>Table of Contents</w:t>
      </w:r>
      <w:r w:rsidR="00806D2D" w:rsidRPr="004424DD">
        <w:rPr>
          <w:rFonts w:cs="Arial"/>
          <w:b/>
          <w:sz w:val="22"/>
          <w:szCs w:val="22"/>
        </w:rPr>
        <w:t xml:space="preserve"> </w:t>
      </w:r>
      <w:r w:rsidR="00806D2D" w:rsidRPr="004424DD">
        <w:rPr>
          <w:rFonts w:cs="Arial"/>
          <w:b/>
          <w:sz w:val="22"/>
          <w:szCs w:val="22"/>
        </w:rPr>
        <w:tab/>
      </w:r>
      <w:r w:rsidR="00806D2D" w:rsidRPr="004424DD">
        <w:rPr>
          <w:rFonts w:cs="Arial"/>
          <w:b/>
          <w:sz w:val="22"/>
          <w:szCs w:val="22"/>
        </w:rPr>
        <w:tab/>
      </w:r>
      <w:r w:rsidR="00806D2D" w:rsidRPr="004424DD">
        <w:rPr>
          <w:rFonts w:cs="Arial"/>
          <w:b/>
          <w:sz w:val="22"/>
          <w:szCs w:val="22"/>
        </w:rPr>
        <w:tab/>
      </w:r>
      <w:r w:rsidR="00806D2D" w:rsidRPr="004424DD">
        <w:rPr>
          <w:rFonts w:cs="Arial"/>
          <w:b/>
          <w:sz w:val="22"/>
          <w:szCs w:val="22"/>
        </w:rPr>
        <w:tab/>
      </w:r>
      <w:r w:rsidR="00806D2D" w:rsidRPr="004424DD">
        <w:rPr>
          <w:rFonts w:cs="Arial"/>
          <w:b/>
          <w:sz w:val="22"/>
          <w:szCs w:val="22"/>
        </w:rPr>
        <w:tab/>
        <w:t xml:space="preserve">               </w:t>
      </w:r>
      <w:r w:rsidR="00806D2D" w:rsidRPr="004424DD">
        <w:rPr>
          <w:rFonts w:cs="Arial"/>
          <w:b/>
          <w:sz w:val="22"/>
          <w:szCs w:val="22"/>
        </w:rPr>
        <w:tab/>
      </w:r>
      <w:r w:rsidR="00806D2D" w:rsidRPr="004424DD">
        <w:rPr>
          <w:rFonts w:cs="Arial"/>
          <w:b/>
          <w:sz w:val="22"/>
          <w:szCs w:val="22"/>
        </w:rPr>
        <w:tab/>
      </w:r>
      <w:r w:rsidR="00806D2D" w:rsidRPr="009F283F">
        <w:rPr>
          <w:rFonts w:cs="Arial"/>
          <w:b/>
          <w:sz w:val="24"/>
          <w:szCs w:val="24"/>
        </w:rPr>
        <w:t>Page No</w:t>
      </w:r>
    </w:p>
    <w:p w14:paraId="079C52B7" w14:textId="77777777" w:rsidR="00806D2D" w:rsidRPr="004424DD" w:rsidRDefault="00806D2D" w:rsidP="00806D2D">
      <w:pPr>
        <w:spacing w:line="276" w:lineRule="auto"/>
        <w:jc w:val="both"/>
        <w:rPr>
          <w:rFonts w:cs="Arial"/>
          <w:b/>
          <w:sz w:val="22"/>
          <w:szCs w:val="22"/>
        </w:rPr>
      </w:pPr>
      <w:r w:rsidRPr="004424DD">
        <w:rPr>
          <w:rFonts w:cs="Arial"/>
          <w:b/>
          <w:sz w:val="22"/>
          <w:szCs w:val="22"/>
        </w:rPr>
        <w:tab/>
      </w:r>
    </w:p>
    <w:p w14:paraId="131DEEAE" w14:textId="59A4A0E1" w:rsidR="008C2914" w:rsidRDefault="008C2914" w:rsidP="00303322">
      <w:pPr>
        <w:pStyle w:val="ListParagraph"/>
        <w:numPr>
          <w:ilvl w:val="0"/>
          <w:numId w:val="2"/>
        </w:numPr>
        <w:spacing w:after="200" w:line="360" w:lineRule="auto"/>
        <w:jc w:val="both"/>
        <w:rPr>
          <w:rFonts w:cs="Arial"/>
          <w:sz w:val="22"/>
          <w:szCs w:val="22"/>
        </w:rPr>
      </w:pPr>
      <w:r>
        <w:rPr>
          <w:rFonts w:cs="Arial"/>
          <w:sz w:val="22"/>
          <w:szCs w:val="22"/>
        </w:rPr>
        <w:t xml:space="preserve">Acronyms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9F2470">
        <w:rPr>
          <w:rFonts w:cs="Arial"/>
          <w:sz w:val="22"/>
          <w:szCs w:val="22"/>
        </w:rPr>
        <w:t>3</w:t>
      </w:r>
    </w:p>
    <w:p w14:paraId="7E5A4586" w14:textId="77777777" w:rsidR="008C2914" w:rsidRDefault="008C2914" w:rsidP="008C2914">
      <w:pPr>
        <w:pStyle w:val="ListParagraph"/>
        <w:spacing w:after="200" w:line="360" w:lineRule="auto"/>
        <w:jc w:val="both"/>
        <w:rPr>
          <w:rFonts w:cs="Arial"/>
          <w:sz w:val="22"/>
          <w:szCs w:val="22"/>
        </w:rPr>
      </w:pPr>
    </w:p>
    <w:p w14:paraId="682A2E59" w14:textId="651C5CE0" w:rsidR="008C2914" w:rsidRDefault="00806D2D" w:rsidP="00303322">
      <w:pPr>
        <w:pStyle w:val="ListParagraph"/>
        <w:numPr>
          <w:ilvl w:val="0"/>
          <w:numId w:val="2"/>
        </w:numPr>
        <w:spacing w:after="200" w:line="360" w:lineRule="auto"/>
        <w:jc w:val="both"/>
        <w:rPr>
          <w:rFonts w:cs="Arial"/>
          <w:sz w:val="22"/>
          <w:szCs w:val="22"/>
        </w:rPr>
      </w:pPr>
      <w:r w:rsidRPr="008C2914">
        <w:rPr>
          <w:rFonts w:cs="Arial"/>
          <w:sz w:val="22"/>
          <w:szCs w:val="22"/>
        </w:rPr>
        <w:t>Executive Summary</w:t>
      </w:r>
      <w:r w:rsidRPr="008C2914">
        <w:rPr>
          <w:rFonts w:cs="Arial"/>
          <w:sz w:val="22"/>
          <w:szCs w:val="22"/>
        </w:rPr>
        <w:tab/>
      </w:r>
      <w:r w:rsidR="00EF234B">
        <w:rPr>
          <w:rFonts w:cs="Arial"/>
          <w:sz w:val="22"/>
          <w:szCs w:val="22"/>
        </w:rPr>
        <w:tab/>
      </w:r>
      <w:r w:rsidR="00EF234B">
        <w:rPr>
          <w:rFonts w:cs="Arial"/>
          <w:sz w:val="22"/>
          <w:szCs w:val="22"/>
        </w:rPr>
        <w:tab/>
      </w:r>
      <w:r w:rsidR="00EF234B">
        <w:rPr>
          <w:rFonts w:cs="Arial"/>
          <w:sz w:val="22"/>
          <w:szCs w:val="22"/>
        </w:rPr>
        <w:tab/>
      </w:r>
      <w:r w:rsidR="00EF234B">
        <w:rPr>
          <w:rFonts w:cs="Arial"/>
          <w:sz w:val="22"/>
          <w:szCs w:val="22"/>
        </w:rPr>
        <w:tab/>
      </w:r>
      <w:r w:rsidR="00EF234B">
        <w:rPr>
          <w:rFonts w:cs="Arial"/>
          <w:sz w:val="22"/>
          <w:szCs w:val="22"/>
        </w:rPr>
        <w:tab/>
      </w:r>
      <w:r w:rsidR="00EF234B">
        <w:rPr>
          <w:rFonts w:cs="Arial"/>
          <w:sz w:val="22"/>
          <w:szCs w:val="22"/>
        </w:rPr>
        <w:tab/>
      </w:r>
      <w:r w:rsidR="009F2470">
        <w:rPr>
          <w:rFonts w:cs="Arial"/>
          <w:sz w:val="22"/>
          <w:szCs w:val="22"/>
        </w:rPr>
        <w:t>4</w:t>
      </w:r>
    </w:p>
    <w:p w14:paraId="3540F229" w14:textId="77777777" w:rsidR="00806D2D" w:rsidRPr="008C2914" w:rsidRDefault="00806D2D" w:rsidP="008C2914">
      <w:pPr>
        <w:pStyle w:val="ListParagraph"/>
        <w:spacing w:after="200" w:line="360" w:lineRule="auto"/>
        <w:jc w:val="both"/>
        <w:rPr>
          <w:rFonts w:cs="Arial"/>
          <w:sz w:val="22"/>
          <w:szCs w:val="22"/>
        </w:rPr>
      </w:pP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p>
    <w:p w14:paraId="1796E2F8" w14:textId="2BFAA743" w:rsidR="008C2914" w:rsidRDefault="00806D2D" w:rsidP="00303322">
      <w:pPr>
        <w:pStyle w:val="ListParagraph"/>
        <w:numPr>
          <w:ilvl w:val="0"/>
          <w:numId w:val="2"/>
        </w:numPr>
        <w:spacing w:after="200" w:line="360" w:lineRule="auto"/>
        <w:jc w:val="both"/>
        <w:rPr>
          <w:rFonts w:cs="Arial"/>
          <w:sz w:val="22"/>
          <w:szCs w:val="22"/>
        </w:rPr>
      </w:pPr>
      <w:r w:rsidRPr="008C2914">
        <w:rPr>
          <w:rFonts w:cs="Arial"/>
          <w:sz w:val="22"/>
          <w:szCs w:val="22"/>
        </w:rPr>
        <w:t>Introduction</w:t>
      </w:r>
      <w:r w:rsidRPr="008C2914">
        <w:rPr>
          <w:rFonts w:cs="Arial"/>
          <w:sz w:val="22"/>
          <w:szCs w:val="22"/>
        </w:rPr>
        <w:tab/>
      </w:r>
      <w:r w:rsidRPr="008C2914">
        <w:rPr>
          <w:rFonts w:cs="Arial"/>
          <w:sz w:val="22"/>
          <w:szCs w:val="22"/>
        </w:rPr>
        <w:tab/>
      </w:r>
      <w:r w:rsidR="008C2914">
        <w:rPr>
          <w:rFonts w:cs="Arial"/>
          <w:sz w:val="22"/>
          <w:szCs w:val="22"/>
        </w:rPr>
        <w:tab/>
      </w:r>
      <w:r w:rsidR="00EF234B">
        <w:rPr>
          <w:rFonts w:cs="Arial"/>
          <w:sz w:val="22"/>
          <w:szCs w:val="22"/>
        </w:rPr>
        <w:tab/>
      </w:r>
      <w:r w:rsidR="00EF234B">
        <w:rPr>
          <w:rFonts w:cs="Arial"/>
          <w:sz w:val="22"/>
          <w:szCs w:val="22"/>
        </w:rPr>
        <w:tab/>
      </w:r>
      <w:r w:rsidR="00EF234B">
        <w:rPr>
          <w:rFonts w:cs="Arial"/>
          <w:sz w:val="22"/>
          <w:szCs w:val="22"/>
        </w:rPr>
        <w:tab/>
      </w:r>
      <w:r w:rsidR="00EF234B">
        <w:rPr>
          <w:rFonts w:cs="Arial"/>
          <w:sz w:val="22"/>
          <w:szCs w:val="22"/>
        </w:rPr>
        <w:tab/>
      </w:r>
      <w:r w:rsidR="00EF234B">
        <w:rPr>
          <w:rFonts w:cs="Arial"/>
          <w:sz w:val="22"/>
          <w:szCs w:val="22"/>
        </w:rPr>
        <w:tab/>
      </w:r>
      <w:r w:rsidR="0053048E">
        <w:rPr>
          <w:rFonts w:cs="Arial"/>
          <w:sz w:val="22"/>
          <w:szCs w:val="22"/>
        </w:rPr>
        <w:t>4 - 5</w:t>
      </w:r>
    </w:p>
    <w:p w14:paraId="128DEFEE" w14:textId="77777777" w:rsidR="00806D2D" w:rsidRPr="008C2914" w:rsidRDefault="00806D2D" w:rsidP="008C2914">
      <w:pPr>
        <w:pStyle w:val="ListParagraph"/>
        <w:spacing w:after="200" w:line="360" w:lineRule="auto"/>
        <w:jc w:val="both"/>
        <w:rPr>
          <w:rFonts w:cs="Arial"/>
          <w:sz w:val="22"/>
          <w:szCs w:val="22"/>
        </w:rPr>
      </w:pP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p>
    <w:p w14:paraId="6A3A3AE6" w14:textId="77777777" w:rsidR="008C2914" w:rsidRDefault="00806D2D" w:rsidP="00303322">
      <w:pPr>
        <w:pStyle w:val="ListParagraph"/>
        <w:numPr>
          <w:ilvl w:val="0"/>
          <w:numId w:val="2"/>
        </w:numPr>
        <w:spacing w:after="200" w:line="360" w:lineRule="auto"/>
        <w:jc w:val="both"/>
        <w:rPr>
          <w:rFonts w:cs="Arial"/>
          <w:sz w:val="22"/>
          <w:szCs w:val="22"/>
        </w:rPr>
      </w:pPr>
      <w:r w:rsidRPr="008C2914">
        <w:rPr>
          <w:rFonts w:cs="Arial"/>
          <w:sz w:val="22"/>
          <w:szCs w:val="22"/>
        </w:rPr>
        <w:t>Process Followed</w:t>
      </w:r>
      <w:r w:rsidRPr="008C2914">
        <w:rPr>
          <w:rFonts w:cs="Arial"/>
          <w:sz w:val="22"/>
          <w:szCs w:val="22"/>
        </w:rPr>
        <w:tab/>
      </w:r>
      <w:r w:rsidR="002E2769">
        <w:rPr>
          <w:rFonts w:cs="Arial"/>
          <w:sz w:val="22"/>
          <w:szCs w:val="22"/>
        </w:rPr>
        <w:tab/>
      </w:r>
      <w:r w:rsidR="002E2769">
        <w:rPr>
          <w:rFonts w:cs="Arial"/>
          <w:sz w:val="22"/>
          <w:szCs w:val="22"/>
        </w:rPr>
        <w:tab/>
      </w:r>
      <w:r w:rsidR="002E2769">
        <w:rPr>
          <w:rFonts w:cs="Arial"/>
          <w:sz w:val="22"/>
          <w:szCs w:val="22"/>
        </w:rPr>
        <w:tab/>
      </w:r>
      <w:r w:rsidR="002E2769">
        <w:rPr>
          <w:rFonts w:cs="Arial"/>
          <w:sz w:val="22"/>
          <w:szCs w:val="22"/>
        </w:rPr>
        <w:tab/>
      </w:r>
      <w:r w:rsidR="002E2769">
        <w:rPr>
          <w:rFonts w:cs="Arial"/>
          <w:sz w:val="22"/>
          <w:szCs w:val="22"/>
        </w:rPr>
        <w:tab/>
      </w:r>
      <w:r w:rsidR="002E2769">
        <w:rPr>
          <w:rFonts w:cs="Arial"/>
          <w:sz w:val="22"/>
          <w:szCs w:val="22"/>
        </w:rPr>
        <w:tab/>
      </w:r>
      <w:r w:rsidR="00FB5F5F">
        <w:rPr>
          <w:rFonts w:cs="Arial"/>
          <w:sz w:val="22"/>
          <w:szCs w:val="22"/>
        </w:rPr>
        <w:t>5</w:t>
      </w:r>
    </w:p>
    <w:p w14:paraId="56F287A8" w14:textId="77777777" w:rsidR="00806D2D" w:rsidRPr="008C2914" w:rsidRDefault="00806D2D" w:rsidP="008C2914">
      <w:pPr>
        <w:pStyle w:val="ListParagraph"/>
        <w:spacing w:after="200" w:line="360" w:lineRule="auto"/>
        <w:jc w:val="both"/>
        <w:rPr>
          <w:rFonts w:cs="Arial"/>
          <w:sz w:val="22"/>
          <w:szCs w:val="22"/>
        </w:rPr>
      </w:pP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p>
    <w:p w14:paraId="314B2CC5" w14:textId="3C8D4A97" w:rsidR="00806D2D" w:rsidRPr="008C2914" w:rsidRDefault="00806D2D" w:rsidP="00303322">
      <w:pPr>
        <w:pStyle w:val="ListParagraph"/>
        <w:numPr>
          <w:ilvl w:val="0"/>
          <w:numId w:val="2"/>
        </w:numPr>
        <w:spacing w:after="200" w:line="360" w:lineRule="auto"/>
        <w:jc w:val="both"/>
        <w:rPr>
          <w:rFonts w:cs="Arial"/>
          <w:sz w:val="22"/>
          <w:szCs w:val="22"/>
        </w:rPr>
      </w:pPr>
      <w:r w:rsidRPr="008C2914">
        <w:rPr>
          <w:rFonts w:cs="Arial"/>
          <w:sz w:val="22"/>
          <w:szCs w:val="22"/>
        </w:rPr>
        <w:t>Overview of Policy Priorities</w:t>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Pr="008C2914">
        <w:rPr>
          <w:rFonts w:cs="Arial"/>
          <w:sz w:val="22"/>
          <w:szCs w:val="22"/>
        </w:rPr>
        <w:tab/>
      </w:r>
      <w:r w:rsidR="0053048E">
        <w:rPr>
          <w:rFonts w:cs="Arial"/>
          <w:sz w:val="22"/>
          <w:szCs w:val="22"/>
        </w:rPr>
        <w:t>5</w:t>
      </w:r>
      <w:r w:rsidR="009F2470">
        <w:rPr>
          <w:rFonts w:cs="Arial"/>
          <w:sz w:val="22"/>
          <w:szCs w:val="22"/>
        </w:rPr>
        <w:t xml:space="preserve"> - </w:t>
      </w:r>
      <w:r w:rsidR="0053048E">
        <w:rPr>
          <w:rFonts w:cs="Arial"/>
          <w:sz w:val="22"/>
          <w:szCs w:val="22"/>
        </w:rPr>
        <w:t>6</w:t>
      </w:r>
    </w:p>
    <w:p w14:paraId="2C015B42" w14:textId="4478B83F" w:rsidR="00FB5F5F" w:rsidRPr="00465DD0" w:rsidRDefault="00BE6A46" w:rsidP="00303322">
      <w:pPr>
        <w:numPr>
          <w:ilvl w:val="0"/>
          <w:numId w:val="2"/>
        </w:numPr>
        <w:spacing w:after="200" w:line="360" w:lineRule="auto"/>
        <w:jc w:val="both"/>
        <w:rPr>
          <w:rFonts w:cs="Arial"/>
          <w:sz w:val="22"/>
          <w:szCs w:val="22"/>
        </w:rPr>
      </w:pPr>
      <w:r w:rsidRPr="00465DD0">
        <w:rPr>
          <w:rFonts w:cs="Arial"/>
          <w:sz w:val="22"/>
          <w:szCs w:val="22"/>
        </w:rPr>
        <w:t xml:space="preserve">Committee’s Assessment of the Budget Vote </w:t>
      </w:r>
      <w:r w:rsidR="00D4406C" w:rsidRPr="00465DD0">
        <w:rPr>
          <w:rFonts w:cs="Arial"/>
          <w:sz w:val="22"/>
          <w:szCs w:val="22"/>
        </w:rPr>
        <w:tab/>
      </w:r>
      <w:r w:rsidR="00D4406C" w:rsidRPr="00465DD0">
        <w:rPr>
          <w:rFonts w:cs="Arial"/>
          <w:sz w:val="22"/>
          <w:szCs w:val="22"/>
        </w:rPr>
        <w:tab/>
      </w:r>
      <w:r w:rsidR="00D4406C" w:rsidRPr="00465DD0">
        <w:rPr>
          <w:rFonts w:cs="Arial"/>
          <w:sz w:val="22"/>
          <w:szCs w:val="22"/>
        </w:rPr>
        <w:tab/>
      </w:r>
      <w:r w:rsidR="00465DD0">
        <w:rPr>
          <w:rFonts w:cs="Arial"/>
          <w:sz w:val="22"/>
          <w:szCs w:val="22"/>
        </w:rPr>
        <w:t xml:space="preserve">7 </w:t>
      </w:r>
      <w:r w:rsidR="00EF234B" w:rsidRPr="00465DD0">
        <w:rPr>
          <w:rFonts w:cs="Arial"/>
          <w:sz w:val="22"/>
          <w:szCs w:val="22"/>
        </w:rPr>
        <w:t>-</w:t>
      </w:r>
      <w:r w:rsidR="009F2470" w:rsidRPr="00465DD0">
        <w:rPr>
          <w:rFonts w:cs="Arial"/>
          <w:sz w:val="22"/>
          <w:szCs w:val="22"/>
        </w:rPr>
        <w:t xml:space="preserve"> </w:t>
      </w:r>
      <w:r w:rsidR="00395E08">
        <w:rPr>
          <w:rFonts w:cs="Arial"/>
          <w:sz w:val="22"/>
          <w:szCs w:val="22"/>
        </w:rPr>
        <w:t>9</w:t>
      </w:r>
      <w:r w:rsidR="002E2769" w:rsidRPr="00465DD0">
        <w:rPr>
          <w:rFonts w:cs="Arial"/>
          <w:sz w:val="22"/>
          <w:szCs w:val="22"/>
        </w:rPr>
        <w:t xml:space="preserve"> </w:t>
      </w:r>
    </w:p>
    <w:p w14:paraId="43DA0455" w14:textId="162B69B9" w:rsidR="000D0418" w:rsidRDefault="000D0418" w:rsidP="00303322">
      <w:pPr>
        <w:numPr>
          <w:ilvl w:val="0"/>
          <w:numId w:val="2"/>
        </w:numPr>
        <w:spacing w:after="200" w:line="360" w:lineRule="auto"/>
        <w:jc w:val="both"/>
        <w:rPr>
          <w:rFonts w:cs="Arial"/>
          <w:sz w:val="22"/>
          <w:szCs w:val="22"/>
        </w:rPr>
      </w:pPr>
      <w:r w:rsidRPr="00465DD0">
        <w:rPr>
          <w:rFonts w:cs="Arial"/>
          <w:sz w:val="22"/>
          <w:szCs w:val="22"/>
        </w:rPr>
        <w:t>Payments and Estimates per Economic Classification</w:t>
      </w:r>
      <w:r w:rsidRPr="000D0418">
        <w:rPr>
          <w:rFonts w:cs="Arial"/>
          <w:sz w:val="22"/>
          <w:szCs w:val="22"/>
        </w:rPr>
        <w:t xml:space="preserve"> </w:t>
      </w:r>
      <w:r>
        <w:rPr>
          <w:rFonts w:cs="Arial"/>
          <w:sz w:val="22"/>
          <w:szCs w:val="22"/>
        </w:rPr>
        <w:tab/>
      </w:r>
      <w:r>
        <w:rPr>
          <w:rFonts w:cs="Arial"/>
          <w:sz w:val="22"/>
          <w:szCs w:val="22"/>
        </w:rPr>
        <w:tab/>
      </w:r>
      <w:r w:rsidR="00395E08">
        <w:rPr>
          <w:rFonts w:cs="Arial"/>
          <w:sz w:val="22"/>
          <w:szCs w:val="22"/>
        </w:rPr>
        <w:t>9</w:t>
      </w:r>
      <w:r>
        <w:rPr>
          <w:rFonts w:cs="Arial"/>
          <w:sz w:val="22"/>
          <w:szCs w:val="22"/>
        </w:rPr>
        <w:t xml:space="preserve"> </w:t>
      </w:r>
    </w:p>
    <w:p w14:paraId="416C45C0" w14:textId="4D457CB8" w:rsidR="00806D2D" w:rsidRPr="00B400CF" w:rsidRDefault="00FB5F5F" w:rsidP="00B400CF">
      <w:pPr>
        <w:numPr>
          <w:ilvl w:val="0"/>
          <w:numId w:val="2"/>
        </w:numPr>
        <w:spacing w:after="200" w:line="360" w:lineRule="auto"/>
        <w:jc w:val="both"/>
        <w:rPr>
          <w:rFonts w:cs="Arial"/>
          <w:sz w:val="22"/>
          <w:szCs w:val="22"/>
        </w:rPr>
      </w:pPr>
      <w:r>
        <w:rPr>
          <w:rFonts w:cs="Arial"/>
          <w:sz w:val="22"/>
          <w:szCs w:val="22"/>
        </w:rPr>
        <w:t>Assessments per Programme</w:t>
      </w:r>
      <w:r w:rsidR="00806D2D" w:rsidRPr="00BE6A46">
        <w:rPr>
          <w:rFonts w:cs="Arial"/>
          <w:sz w:val="22"/>
          <w:szCs w:val="22"/>
        </w:rPr>
        <w:tab/>
      </w:r>
      <w:r w:rsidR="00806D2D" w:rsidRPr="00BE6A46">
        <w:rPr>
          <w:rFonts w:cs="Arial"/>
          <w:sz w:val="22"/>
          <w:szCs w:val="22"/>
        </w:rPr>
        <w:tab/>
      </w:r>
      <w:r w:rsidR="002E2769">
        <w:rPr>
          <w:rFonts w:cs="Arial"/>
          <w:sz w:val="22"/>
          <w:szCs w:val="22"/>
        </w:rPr>
        <w:tab/>
      </w:r>
      <w:r w:rsidR="002E2769">
        <w:rPr>
          <w:rFonts w:cs="Arial"/>
          <w:sz w:val="22"/>
          <w:szCs w:val="22"/>
        </w:rPr>
        <w:tab/>
      </w:r>
      <w:r w:rsidR="002E2769">
        <w:rPr>
          <w:rFonts w:cs="Arial"/>
          <w:sz w:val="22"/>
          <w:szCs w:val="22"/>
        </w:rPr>
        <w:tab/>
      </w:r>
      <w:r w:rsidR="000D0418">
        <w:rPr>
          <w:rFonts w:cs="Arial"/>
          <w:sz w:val="22"/>
          <w:szCs w:val="22"/>
        </w:rPr>
        <w:t>1</w:t>
      </w:r>
      <w:r w:rsidR="000B4F48">
        <w:rPr>
          <w:rFonts w:cs="Arial"/>
          <w:sz w:val="22"/>
          <w:szCs w:val="22"/>
        </w:rPr>
        <w:t>0</w:t>
      </w:r>
      <w:r w:rsidR="002E2769">
        <w:rPr>
          <w:rFonts w:cs="Arial"/>
          <w:sz w:val="22"/>
          <w:szCs w:val="22"/>
        </w:rPr>
        <w:t xml:space="preserve"> </w:t>
      </w:r>
      <w:r>
        <w:rPr>
          <w:rFonts w:cs="Arial"/>
          <w:sz w:val="22"/>
          <w:szCs w:val="22"/>
        </w:rPr>
        <w:t>- 1</w:t>
      </w:r>
      <w:r w:rsidR="00B400CF">
        <w:rPr>
          <w:rFonts w:cs="Arial"/>
          <w:sz w:val="22"/>
          <w:szCs w:val="22"/>
        </w:rPr>
        <w:t>2</w:t>
      </w:r>
      <w:r w:rsidR="00806D2D" w:rsidRPr="00B400CF">
        <w:rPr>
          <w:rFonts w:cs="Arial"/>
          <w:sz w:val="22"/>
          <w:szCs w:val="22"/>
        </w:rPr>
        <w:tab/>
      </w:r>
    </w:p>
    <w:p w14:paraId="71BCA439" w14:textId="75A7FB5B" w:rsidR="00806D2D" w:rsidRPr="004424DD" w:rsidRDefault="00806D2D" w:rsidP="00303322">
      <w:pPr>
        <w:numPr>
          <w:ilvl w:val="0"/>
          <w:numId w:val="2"/>
        </w:numPr>
        <w:spacing w:after="200" w:line="360" w:lineRule="auto"/>
        <w:jc w:val="both"/>
        <w:rPr>
          <w:rFonts w:cs="Arial"/>
          <w:sz w:val="22"/>
          <w:szCs w:val="22"/>
        </w:rPr>
      </w:pPr>
      <w:r w:rsidRPr="004424DD">
        <w:rPr>
          <w:rFonts w:cs="Arial"/>
          <w:sz w:val="22"/>
          <w:szCs w:val="22"/>
        </w:rPr>
        <w:t>Committee Concerns</w:t>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002E2769">
        <w:rPr>
          <w:rFonts w:cs="Arial"/>
          <w:sz w:val="22"/>
          <w:szCs w:val="22"/>
        </w:rPr>
        <w:t>1</w:t>
      </w:r>
      <w:r w:rsidR="00B400CF">
        <w:rPr>
          <w:rFonts w:cs="Arial"/>
          <w:sz w:val="22"/>
          <w:szCs w:val="22"/>
        </w:rPr>
        <w:t>3</w:t>
      </w:r>
    </w:p>
    <w:p w14:paraId="6CF517DD" w14:textId="2EE0505B" w:rsidR="00806D2D" w:rsidRPr="004424DD" w:rsidRDefault="00806D2D" w:rsidP="00303322">
      <w:pPr>
        <w:numPr>
          <w:ilvl w:val="0"/>
          <w:numId w:val="2"/>
        </w:numPr>
        <w:spacing w:after="200" w:line="360" w:lineRule="auto"/>
        <w:jc w:val="both"/>
        <w:rPr>
          <w:rFonts w:cs="Arial"/>
          <w:sz w:val="22"/>
          <w:szCs w:val="22"/>
        </w:rPr>
      </w:pPr>
      <w:r w:rsidRPr="004424DD">
        <w:rPr>
          <w:rFonts w:cs="Arial"/>
          <w:sz w:val="22"/>
          <w:szCs w:val="22"/>
        </w:rPr>
        <w:t>Committee Recommendations</w:t>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009F2470">
        <w:rPr>
          <w:rFonts w:cs="Arial"/>
          <w:sz w:val="22"/>
          <w:szCs w:val="22"/>
        </w:rPr>
        <w:t>1</w:t>
      </w:r>
      <w:r w:rsidR="00B400CF">
        <w:rPr>
          <w:rFonts w:cs="Arial"/>
          <w:sz w:val="22"/>
          <w:szCs w:val="22"/>
        </w:rPr>
        <w:t>3</w:t>
      </w:r>
      <w:r w:rsidR="00EB2679">
        <w:rPr>
          <w:rFonts w:cs="Arial"/>
          <w:sz w:val="22"/>
          <w:szCs w:val="22"/>
        </w:rPr>
        <w:t xml:space="preserve"> - 1</w:t>
      </w:r>
      <w:r w:rsidR="00B400CF">
        <w:rPr>
          <w:rFonts w:cs="Arial"/>
          <w:sz w:val="22"/>
          <w:szCs w:val="22"/>
        </w:rPr>
        <w:t>4</w:t>
      </w:r>
    </w:p>
    <w:p w14:paraId="11A16E8D" w14:textId="76FE57EB" w:rsidR="00806D2D" w:rsidRPr="004424DD" w:rsidRDefault="00806D2D" w:rsidP="00303322">
      <w:pPr>
        <w:numPr>
          <w:ilvl w:val="0"/>
          <w:numId w:val="2"/>
        </w:numPr>
        <w:spacing w:after="200" w:line="360" w:lineRule="auto"/>
        <w:jc w:val="both"/>
        <w:rPr>
          <w:rFonts w:cs="Arial"/>
          <w:sz w:val="22"/>
          <w:szCs w:val="22"/>
        </w:rPr>
      </w:pPr>
      <w:r w:rsidRPr="004424DD">
        <w:rPr>
          <w:rFonts w:cs="Arial"/>
          <w:sz w:val="22"/>
          <w:szCs w:val="22"/>
        </w:rPr>
        <w:t>Acknowledgements</w:t>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002E2769">
        <w:rPr>
          <w:rFonts w:cs="Arial"/>
          <w:sz w:val="22"/>
          <w:szCs w:val="22"/>
        </w:rPr>
        <w:t>1</w:t>
      </w:r>
      <w:r w:rsidR="00B400CF">
        <w:rPr>
          <w:rFonts w:cs="Arial"/>
          <w:sz w:val="22"/>
          <w:szCs w:val="22"/>
        </w:rPr>
        <w:t>4</w:t>
      </w:r>
      <w:r w:rsidR="009F2470">
        <w:rPr>
          <w:rFonts w:cs="Arial"/>
          <w:sz w:val="22"/>
          <w:szCs w:val="22"/>
        </w:rPr>
        <w:t xml:space="preserve"> </w:t>
      </w:r>
    </w:p>
    <w:p w14:paraId="791AD509" w14:textId="41539C6D" w:rsidR="00806D2D" w:rsidRPr="004424DD" w:rsidRDefault="00806D2D" w:rsidP="00303322">
      <w:pPr>
        <w:numPr>
          <w:ilvl w:val="0"/>
          <w:numId w:val="2"/>
        </w:numPr>
        <w:spacing w:after="200" w:line="360" w:lineRule="auto"/>
        <w:jc w:val="both"/>
        <w:rPr>
          <w:rFonts w:cs="Arial"/>
          <w:sz w:val="22"/>
          <w:szCs w:val="22"/>
        </w:rPr>
      </w:pPr>
      <w:r w:rsidRPr="004424DD">
        <w:rPr>
          <w:rFonts w:cs="Arial"/>
          <w:sz w:val="22"/>
          <w:szCs w:val="22"/>
        </w:rPr>
        <w:t>Adoption</w:t>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Pr="004424DD">
        <w:rPr>
          <w:rFonts w:cs="Arial"/>
          <w:sz w:val="22"/>
          <w:szCs w:val="22"/>
        </w:rPr>
        <w:tab/>
      </w:r>
      <w:r w:rsidR="00D4406C">
        <w:rPr>
          <w:rFonts w:cs="Arial"/>
          <w:sz w:val="22"/>
          <w:szCs w:val="22"/>
        </w:rPr>
        <w:tab/>
      </w:r>
      <w:r w:rsidR="002E2769">
        <w:rPr>
          <w:rFonts w:cs="Arial"/>
          <w:sz w:val="22"/>
          <w:szCs w:val="22"/>
        </w:rPr>
        <w:t>1</w:t>
      </w:r>
      <w:r w:rsidR="00B400CF">
        <w:rPr>
          <w:rFonts w:cs="Arial"/>
          <w:sz w:val="22"/>
          <w:szCs w:val="22"/>
        </w:rPr>
        <w:t>4</w:t>
      </w:r>
    </w:p>
    <w:p w14:paraId="156BB4DB" w14:textId="77777777" w:rsidR="00806D2D" w:rsidRPr="004424DD" w:rsidRDefault="00806D2D" w:rsidP="00806D2D">
      <w:pPr>
        <w:rPr>
          <w:rFonts w:cs="Arial"/>
          <w:b/>
          <w:sz w:val="22"/>
          <w:szCs w:val="22"/>
        </w:rPr>
      </w:pPr>
    </w:p>
    <w:p w14:paraId="6005EF54" w14:textId="77777777" w:rsidR="00806D2D" w:rsidRPr="004424DD" w:rsidRDefault="00806D2D" w:rsidP="00806D2D">
      <w:pPr>
        <w:rPr>
          <w:rFonts w:cs="Arial"/>
          <w:b/>
          <w:sz w:val="22"/>
          <w:szCs w:val="22"/>
        </w:rPr>
      </w:pPr>
    </w:p>
    <w:p w14:paraId="5EBB4514" w14:textId="77777777" w:rsidR="00806D2D" w:rsidRPr="004424DD" w:rsidRDefault="00806D2D" w:rsidP="00806D2D">
      <w:pPr>
        <w:rPr>
          <w:rFonts w:cs="Arial"/>
          <w:b/>
          <w:sz w:val="22"/>
          <w:szCs w:val="22"/>
        </w:rPr>
      </w:pPr>
    </w:p>
    <w:p w14:paraId="5155E8C1" w14:textId="77777777" w:rsidR="00806D2D" w:rsidRPr="00AD33B4" w:rsidRDefault="00806D2D" w:rsidP="00806D2D">
      <w:pPr>
        <w:rPr>
          <w:rFonts w:cs="Arial"/>
          <w:b/>
          <w:sz w:val="22"/>
          <w:szCs w:val="22"/>
        </w:rPr>
      </w:pPr>
    </w:p>
    <w:p w14:paraId="67CF21CE" w14:textId="77777777" w:rsidR="00806D2D" w:rsidRPr="00AD33B4" w:rsidRDefault="00806D2D" w:rsidP="00806D2D">
      <w:pPr>
        <w:rPr>
          <w:rFonts w:cs="Arial"/>
          <w:b/>
          <w:sz w:val="22"/>
          <w:szCs w:val="22"/>
        </w:rPr>
      </w:pPr>
    </w:p>
    <w:p w14:paraId="1050D90B" w14:textId="77777777" w:rsidR="00806D2D" w:rsidRPr="00AD33B4" w:rsidRDefault="00806D2D" w:rsidP="00806D2D">
      <w:pPr>
        <w:rPr>
          <w:rFonts w:cs="Arial"/>
          <w:b/>
          <w:sz w:val="22"/>
          <w:szCs w:val="22"/>
        </w:rPr>
      </w:pPr>
    </w:p>
    <w:p w14:paraId="08A3427B" w14:textId="77777777" w:rsidR="00806D2D" w:rsidRPr="00AD33B4" w:rsidRDefault="00806D2D" w:rsidP="00806D2D">
      <w:pPr>
        <w:rPr>
          <w:rFonts w:cs="Arial"/>
          <w:b/>
          <w:sz w:val="22"/>
          <w:szCs w:val="22"/>
        </w:rPr>
      </w:pPr>
    </w:p>
    <w:p w14:paraId="7A3A2718" w14:textId="77777777" w:rsidR="00806D2D" w:rsidRPr="00AD33B4" w:rsidRDefault="00806D2D" w:rsidP="00806D2D">
      <w:pPr>
        <w:rPr>
          <w:rFonts w:cs="Arial"/>
          <w:b/>
          <w:sz w:val="22"/>
          <w:szCs w:val="22"/>
        </w:rPr>
      </w:pPr>
    </w:p>
    <w:p w14:paraId="23FACFB0" w14:textId="77777777" w:rsidR="00806D2D" w:rsidRPr="00AD33B4" w:rsidRDefault="00806D2D" w:rsidP="00806D2D">
      <w:pPr>
        <w:rPr>
          <w:rFonts w:cs="Arial"/>
          <w:b/>
          <w:sz w:val="22"/>
          <w:szCs w:val="22"/>
        </w:rPr>
      </w:pPr>
    </w:p>
    <w:p w14:paraId="67FE521A" w14:textId="77777777" w:rsidR="00806D2D" w:rsidRPr="00AD33B4" w:rsidRDefault="00806D2D" w:rsidP="00806D2D">
      <w:pPr>
        <w:rPr>
          <w:rFonts w:cs="Arial"/>
          <w:b/>
          <w:sz w:val="22"/>
          <w:szCs w:val="22"/>
        </w:rPr>
      </w:pPr>
    </w:p>
    <w:p w14:paraId="22A08E02" w14:textId="77777777" w:rsidR="00806D2D" w:rsidRPr="00AD33B4" w:rsidRDefault="00806D2D" w:rsidP="00806D2D">
      <w:pPr>
        <w:rPr>
          <w:rFonts w:cs="Arial"/>
          <w:b/>
          <w:sz w:val="22"/>
          <w:szCs w:val="22"/>
        </w:rPr>
      </w:pPr>
    </w:p>
    <w:p w14:paraId="04749F0C" w14:textId="77777777" w:rsidR="00806D2D" w:rsidRPr="00AD33B4" w:rsidRDefault="00806D2D" w:rsidP="00806D2D">
      <w:pPr>
        <w:rPr>
          <w:rFonts w:cs="Arial"/>
          <w:b/>
          <w:sz w:val="22"/>
          <w:szCs w:val="22"/>
        </w:rPr>
      </w:pPr>
    </w:p>
    <w:p w14:paraId="09064B4E" w14:textId="77777777" w:rsidR="00806D2D" w:rsidRPr="00AD33B4" w:rsidRDefault="00806D2D" w:rsidP="00806D2D">
      <w:pPr>
        <w:rPr>
          <w:rFonts w:cs="Arial"/>
          <w:b/>
          <w:sz w:val="22"/>
          <w:szCs w:val="22"/>
        </w:rPr>
      </w:pPr>
    </w:p>
    <w:p w14:paraId="5183AECD" w14:textId="77777777" w:rsidR="00806D2D" w:rsidRPr="00AD33B4" w:rsidRDefault="00806D2D" w:rsidP="00806D2D">
      <w:pPr>
        <w:rPr>
          <w:rFonts w:cs="Arial"/>
          <w:b/>
          <w:sz w:val="22"/>
          <w:szCs w:val="22"/>
        </w:rPr>
      </w:pPr>
    </w:p>
    <w:p w14:paraId="43D5C28B" w14:textId="77777777" w:rsidR="00806D2D" w:rsidRPr="00AD33B4" w:rsidRDefault="00806D2D" w:rsidP="00806D2D">
      <w:pPr>
        <w:rPr>
          <w:rFonts w:cs="Arial"/>
          <w:b/>
          <w:sz w:val="22"/>
          <w:szCs w:val="22"/>
        </w:rPr>
      </w:pPr>
    </w:p>
    <w:p w14:paraId="7A9520B0" w14:textId="77777777" w:rsidR="00806D2D" w:rsidRPr="00AD33B4" w:rsidRDefault="00806D2D" w:rsidP="00806D2D">
      <w:pPr>
        <w:rPr>
          <w:rFonts w:cs="Arial"/>
          <w:b/>
          <w:sz w:val="22"/>
          <w:szCs w:val="22"/>
        </w:rPr>
      </w:pPr>
    </w:p>
    <w:p w14:paraId="46140A1B" w14:textId="77777777" w:rsidR="00806D2D" w:rsidRPr="00AD33B4" w:rsidRDefault="00806D2D" w:rsidP="00806D2D">
      <w:pPr>
        <w:rPr>
          <w:rFonts w:cs="Arial"/>
          <w:b/>
          <w:sz w:val="22"/>
          <w:szCs w:val="22"/>
        </w:rPr>
      </w:pPr>
    </w:p>
    <w:p w14:paraId="09D4858E" w14:textId="77777777" w:rsidR="00806D2D" w:rsidRPr="00AD33B4" w:rsidRDefault="00806D2D" w:rsidP="00806D2D">
      <w:pPr>
        <w:rPr>
          <w:rFonts w:cs="Arial"/>
          <w:b/>
          <w:sz w:val="22"/>
          <w:szCs w:val="22"/>
        </w:rPr>
      </w:pPr>
    </w:p>
    <w:p w14:paraId="39144099" w14:textId="77777777" w:rsidR="00806D2D" w:rsidRPr="00AD33B4" w:rsidRDefault="00806D2D" w:rsidP="00806D2D">
      <w:pPr>
        <w:rPr>
          <w:rFonts w:cs="Arial"/>
          <w:b/>
          <w:sz w:val="22"/>
          <w:szCs w:val="22"/>
        </w:rPr>
      </w:pPr>
    </w:p>
    <w:p w14:paraId="58FF0745" w14:textId="77777777" w:rsidR="002B6388" w:rsidRPr="00AD33B4" w:rsidRDefault="002B6388" w:rsidP="00806D2D">
      <w:pPr>
        <w:rPr>
          <w:rFonts w:cs="Arial"/>
          <w:b/>
          <w:sz w:val="22"/>
          <w:szCs w:val="22"/>
        </w:rPr>
      </w:pPr>
    </w:p>
    <w:p w14:paraId="4AC6CC2A" w14:textId="77777777" w:rsidR="002B6388" w:rsidRPr="00AD33B4" w:rsidRDefault="002B6388" w:rsidP="00806D2D">
      <w:pPr>
        <w:rPr>
          <w:rFonts w:cs="Arial"/>
          <w:b/>
          <w:sz w:val="22"/>
          <w:szCs w:val="22"/>
        </w:rPr>
      </w:pPr>
    </w:p>
    <w:p w14:paraId="479348E4" w14:textId="3FA4CB7A" w:rsidR="0036273F" w:rsidRDefault="0036273F" w:rsidP="00806D2D">
      <w:pPr>
        <w:rPr>
          <w:rFonts w:cs="Arial"/>
          <w:b/>
          <w:sz w:val="22"/>
          <w:szCs w:val="22"/>
        </w:rPr>
      </w:pPr>
    </w:p>
    <w:p w14:paraId="301EE4E8" w14:textId="2C406D1A" w:rsidR="00B400CF" w:rsidRDefault="00B400CF" w:rsidP="00806D2D">
      <w:pPr>
        <w:rPr>
          <w:rFonts w:cs="Arial"/>
          <w:b/>
          <w:sz w:val="22"/>
          <w:szCs w:val="22"/>
        </w:rPr>
      </w:pPr>
    </w:p>
    <w:p w14:paraId="332BB09F" w14:textId="77777777" w:rsidR="00B400CF" w:rsidRPr="00AD33B4" w:rsidRDefault="00B400CF" w:rsidP="00806D2D">
      <w:pPr>
        <w:rPr>
          <w:rFonts w:cs="Arial"/>
          <w:b/>
          <w:sz w:val="22"/>
          <w:szCs w:val="22"/>
        </w:rPr>
      </w:pPr>
    </w:p>
    <w:p w14:paraId="7860204D" w14:textId="77777777" w:rsidR="0036273F" w:rsidRPr="00AD33B4" w:rsidRDefault="0036273F" w:rsidP="00806D2D">
      <w:pPr>
        <w:rPr>
          <w:rFonts w:cs="Arial"/>
          <w:b/>
          <w:sz w:val="22"/>
          <w:szCs w:val="22"/>
        </w:rPr>
      </w:pPr>
    </w:p>
    <w:p w14:paraId="1AC42322" w14:textId="77777777" w:rsidR="0036273F" w:rsidRPr="00AD33B4" w:rsidRDefault="0036273F" w:rsidP="00806D2D">
      <w:pPr>
        <w:rPr>
          <w:rFonts w:cs="Arial"/>
          <w:b/>
          <w:sz w:val="22"/>
          <w:szCs w:val="22"/>
        </w:rPr>
      </w:pPr>
    </w:p>
    <w:p w14:paraId="71849E40" w14:textId="77777777" w:rsidR="0036273F" w:rsidRPr="00AD33B4" w:rsidRDefault="0036273F" w:rsidP="00806D2D">
      <w:pPr>
        <w:rPr>
          <w:rFonts w:cs="Arial"/>
          <w:b/>
          <w:sz w:val="22"/>
          <w:szCs w:val="22"/>
        </w:rPr>
      </w:pPr>
    </w:p>
    <w:p w14:paraId="0FD013F5" w14:textId="77777777" w:rsidR="00806D2D" w:rsidRPr="00AD33B4" w:rsidRDefault="00806D2D" w:rsidP="00DC7365">
      <w:pPr>
        <w:spacing w:after="200" w:line="276" w:lineRule="auto"/>
        <w:rPr>
          <w:rFonts w:cs="Arial"/>
          <w:b/>
          <w:sz w:val="24"/>
          <w:szCs w:val="24"/>
        </w:rPr>
      </w:pPr>
      <w:r w:rsidRPr="00AD33B4">
        <w:rPr>
          <w:rFonts w:cs="Arial"/>
          <w:b/>
          <w:sz w:val="24"/>
          <w:szCs w:val="24"/>
        </w:rPr>
        <w:lastRenderedPageBreak/>
        <w:t>Acronyms</w:t>
      </w:r>
    </w:p>
    <w:p w14:paraId="07686B08" w14:textId="77777777" w:rsidR="00926351" w:rsidRDefault="00926351" w:rsidP="00B003D6">
      <w:pPr>
        <w:spacing w:after="200" w:line="276" w:lineRule="auto"/>
        <w:ind w:left="2127" w:hanging="2127"/>
        <w:rPr>
          <w:rFonts w:cs="Arial"/>
          <w:sz w:val="24"/>
          <w:szCs w:val="24"/>
          <w:lang w:val="en-US"/>
        </w:rPr>
      </w:pPr>
      <w:r w:rsidRPr="00AD33B4">
        <w:rPr>
          <w:rFonts w:cs="Arial"/>
          <w:sz w:val="24"/>
          <w:szCs w:val="24"/>
          <w:lang w:val="en-US"/>
        </w:rPr>
        <w:t>ARC</w:t>
      </w:r>
      <w:r w:rsidRPr="00AD33B4">
        <w:rPr>
          <w:rFonts w:cs="Arial"/>
          <w:sz w:val="24"/>
          <w:szCs w:val="24"/>
          <w:lang w:val="en-US"/>
        </w:rPr>
        <w:tab/>
      </w:r>
      <w:r w:rsidRPr="00AD33B4">
        <w:rPr>
          <w:rFonts w:cs="Arial"/>
          <w:sz w:val="24"/>
          <w:szCs w:val="24"/>
          <w:lang w:val="en-US"/>
        </w:rPr>
        <w:tab/>
        <w:t>Agricultural Research Council</w:t>
      </w:r>
    </w:p>
    <w:p w14:paraId="4BDEC77B" w14:textId="77777777" w:rsidR="00C16676" w:rsidRPr="00AD33B4" w:rsidRDefault="00C16676" w:rsidP="00B003D6">
      <w:pPr>
        <w:spacing w:after="200" w:line="276" w:lineRule="auto"/>
        <w:ind w:left="2127" w:hanging="2127"/>
        <w:rPr>
          <w:rFonts w:cs="Arial"/>
          <w:sz w:val="24"/>
          <w:szCs w:val="24"/>
          <w:lang w:val="en-US"/>
        </w:rPr>
      </w:pPr>
      <w:proofErr w:type="spellStart"/>
      <w:r>
        <w:rPr>
          <w:rFonts w:cs="Arial"/>
          <w:sz w:val="24"/>
          <w:szCs w:val="24"/>
          <w:lang w:val="en-US"/>
        </w:rPr>
        <w:t>BkB</w:t>
      </w:r>
      <w:proofErr w:type="spellEnd"/>
      <w:r>
        <w:rPr>
          <w:rFonts w:cs="Arial"/>
          <w:sz w:val="24"/>
          <w:szCs w:val="24"/>
          <w:lang w:val="en-US"/>
        </w:rPr>
        <w:tab/>
        <w:t xml:space="preserve">Batho </w:t>
      </w:r>
      <w:proofErr w:type="spellStart"/>
      <w:r>
        <w:rPr>
          <w:rFonts w:cs="Arial"/>
          <w:sz w:val="24"/>
          <w:szCs w:val="24"/>
          <w:lang w:val="en-US"/>
        </w:rPr>
        <w:t>ke</w:t>
      </w:r>
      <w:proofErr w:type="spellEnd"/>
      <w:r>
        <w:rPr>
          <w:rFonts w:cs="Arial"/>
          <w:sz w:val="24"/>
          <w:szCs w:val="24"/>
          <w:lang w:val="en-US"/>
        </w:rPr>
        <w:t xml:space="preserve"> </w:t>
      </w:r>
      <w:proofErr w:type="spellStart"/>
      <w:r>
        <w:rPr>
          <w:rFonts w:cs="Arial"/>
          <w:sz w:val="24"/>
          <w:szCs w:val="24"/>
          <w:lang w:val="en-US"/>
        </w:rPr>
        <w:t>Botho</w:t>
      </w:r>
      <w:proofErr w:type="spellEnd"/>
      <w:r>
        <w:rPr>
          <w:rFonts w:cs="Arial"/>
          <w:sz w:val="24"/>
          <w:szCs w:val="24"/>
          <w:lang w:val="en-US"/>
        </w:rPr>
        <w:t xml:space="preserve"> </w:t>
      </w:r>
    </w:p>
    <w:p w14:paraId="3C978EA7" w14:textId="77777777" w:rsidR="00926351" w:rsidRPr="00AD33B4" w:rsidRDefault="00926351" w:rsidP="00B003D6">
      <w:pPr>
        <w:spacing w:after="200" w:line="276" w:lineRule="auto"/>
        <w:ind w:left="2127" w:hanging="2127"/>
        <w:rPr>
          <w:rFonts w:cs="Arial"/>
          <w:sz w:val="24"/>
          <w:szCs w:val="24"/>
          <w:lang w:val="en-US"/>
        </w:rPr>
      </w:pPr>
      <w:r w:rsidRPr="00AD33B4">
        <w:rPr>
          <w:rFonts w:cs="Arial"/>
          <w:sz w:val="24"/>
          <w:szCs w:val="24"/>
          <w:lang w:val="en-US"/>
        </w:rPr>
        <w:t>CASP</w:t>
      </w:r>
      <w:r w:rsidRPr="00AD33B4">
        <w:rPr>
          <w:rFonts w:cs="Arial"/>
          <w:sz w:val="24"/>
          <w:szCs w:val="24"/>
          <w:lang w:val="en-US"/>
        </w:rPr>
        <w:tab/>
      </w:r>
      <w:r w:rsidRPr="00AD33B4">
        <w:rPr>
          <w:rFonts w:cs="Arial"/>
          <w:sz w:val="24"/>
          <w:szCs w:val="24"/>
          <w:lang w:val="en-US"/>
        </w:rPr>
        <w:tab/>
        <w:t>Comprehensive Agricultural Support Programme</w:t>
      </w:r>
    </w:p>
    <w:p w14:paraId="1D4875C3" w14:textId="77777777" w:rsidR="00926351" w:rsidRPr="00AD33B4" w:rsidRDefault="00926351" w:rsidP="00B003D6">
      <w:pPr>
        <w:spacing w:after="200" w:line="276" w:lineRule="auto"/>
        <w:rPr>
          <w:rFonts w:cs="Arial"/>
          <w:sz w:val="24"/>
          <w:szCs w:val="24"/>
          <w:lang w:val="en-US"/>
        </w:rPr>
      </w:pPr>
      <w:r w:rsidRPr="00AD33B4">
        <w:rPr>
          <w:rFonts w:cs="Arial"/>
          <w:sz w:val="24"/>
          <w:szCs w:val="24"/>
          <w:lang w:val="en-US"/>
        </w:rPr>
        <w:t>DID</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t>Department of Infrastructure Development</w:t>
      </w:r>
    </w:p>
    <w:p w14:paraId="7FDA6C30" w14:textId="4B2BE185" w:rsidR="00926351" w:rsidRDefault="00926351" w:rsidP="00B003D6">
      <w:pPr>
        <w:spacing w:after="200" w:line="276" w:lineRule="auto"/>
        <w:rPr>
          <w:rFonts w:cs="Arial"/>
          <w:sz w:val="24"/>
          <w:szCs w:val="24"/>
          <w:lang w:val="en-US"/>
        </w:rPr>
      </w:pPr>
      <w:r w:rsidRPr="00AD33B4">
        <w:rPr>
          <w:rFonts w:cs="Arial"/>
          <w:sz w:val="24"/>
          <w:szCs w:val="24"/>
          <w:lang w:val="en-US"/>
        </w:rPr>
        <w:t>EPWP</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t>Expanded Public Works Programme</w:t>
      </w:r>
    </w:p>
    <w:p w14:paraId="6D7783CE" w14:textId="6D79C1BA" w:rsidR="00B06C19" w:rsidRPr="00AD33B4" w:rsidRDefault="00B06C19" w:rsidP="00B003D6">
      <w:pPr>
        <w:spacing w:after="200" w:line="276" w:lineRule="auto"/>
        <w:rPr>
          <w:rFonts w:cs="Arial"/>
          <w:sz w:val="24"/>
          <w:szCs w:val="24"/>
          <w:lang w:val="en-US"/>
        </w:rPr>
      </w:pPr>
      <w:r>
        <w:rPr>
          <w:rFonts w:cs="Arial"/>
          <w:sz w:val="24"/>
          <w:szCs w:val="24"/>
          <w:lang w:val="en-US"/>
        </w:rPr>
        <w:t>EIA</w:t>
      </w:r>
      <w:r w:rsidR="00804840">
        <w:rPr>
          <w:rFonts w:cs="Arial"/>
          <w:sz w:val="24"/>
          <w:szCs w:val="24"/>
          <w:lang w:val="en-US"/>
        </w:rPr>
        <w:tab/>
      </w:r>
      <w:r w:rsidR="00804840">
        <w:rPr>
          <w:rFonts w:cs="Arial"/>
          <w:sz w:val="24"/>
          <w:szCs w:val="24"/>
          <w:lang w:val="en-US"/>
        </w:rPr>
        <w:tab/>
      </w:r>
      <w:r w:rsidR="00804840">
        <w:rPr>
          <w:rFonts w:cs="Arial"/>
          <w:sz w:val="24"/>
          <w:szCs w:val="24"/>
          <w:lang w:val="en-US"/>
        </w:rPr>
        <w:tab/>
        <w:t xml:space="preserve">Environmental Impact </w:t>
      </w:r>
      <w:r w:rsidR="003D12B2">
        <w:rPr>
          <w:rFonts w:cs="Arial"/>
          <w:sz w:val="24"/>
          <w:szCs w:val="24"/>
          <w:lang w:val="en-US"/>
        </w:rPr>
        <w:t>Assessment</w:t>
      </w:r>
    </w:p>
    <w:p w14:paraId="79757009" w14:textId="77777777" w:rsidR="00926351" w:rsidRPr="00AD33B4" w:rsidRDefault="00926351" w:rsidP="00B003D6">
      <w:pPr>
        <w:spacing w:after="200" w:line="276" w:lineRule="auto"/>
        <w:rPr>
          <w:rFonts w:cs="Arial"/>
          <w:sz w:val="24"/>
          <w:szCs w:val="24"/>
          <w:lang w:val="en-US"/>
        </w:rPr>
      </w:pPr>
      <w:r w:rsidRPr="00AD33B4">
        <w:rPr>
          <w:rFonts w:cs="Arial"/>
          <w:sz w:val="24"/>
          <w:szCs w:val="24"/>
          <w:lang w:val="en-US"/>
        </w:rPr>
        <w:t>FIS</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t>Focused Intervention Study</w:t>
      </w:r>
    </w:p>
    <w:p w14:paraId="2957FA30" w14:textId="77777777" w:rsidR="00926351" w:rsidRPr="00AD33B4" w:rsidRDefault="00926351" w:rsidP="00B003D6">
      <w:pPr>
        <w:spacing w:after="200" w:line="276" w:lineRule="auto"/>
        <w:rPr>
          <w:rFonts w:cs="Arial"/>
          <w:sz w:val="24"/>
          <w:szCs w:val="24"/>
          <w:lang w:val="en-US"/>
        </w:rPr>
      </w:pPr>
      <w:r w:rsidRPr="00AD33B4">
        <w:rPr>
          <w:rFonts w:cs="Arial"/>
          <w:sz w:val="24"/>
          <w:szCs w:val="24"/>
          <w:lang w:val="en-US"/>
        </w:rPr>
        <w:t>FY</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t>Financial Year</w:t>
      </w:r>
    </w:p>
    <w:p w14:paraId="2F25D316" w14:textId="77777777" w:rsidR="00926351" w:rsidRPr="00AD33B4" w:rsidRDefault="00926351" w:rsidP="00B003D6">
      <w:pPr>
        <w:spacing w:after="200" w:line="276" w:lineRule="auto"/>
        <w:ind w:left="2127" w:hanging="2127"/>
        <w:rPr>
          <w:rFonts w:cs="Arial"/>
          <w:sz w:val="24"/>
          <w:szCs w:val="24"/>
          <w:lang w:val="en-US"/>
        </w:rPr>
      </w:pPr>
      <w:r w:rsidRPr="00AD33B4">
        <w:rPr>
          <w:rFonts w:cs="Arial"/>
          <w:sz w:val="24"/>
          <w:szCs w:val="24"/>
          <w:lang w:val="en-US"/>
        </w:rPr>
        <w:t>GDARD</w:t>
      </w:r>
      <w:r w:rsidRPr="00AD33B4">
        <w:rPr>
          <w:rFonts w:cs="Arial"/>
          <w:sz w:val="24"/>
          <w:szCs w:val="24"/>
          <w:lang w:val="en-US"/>
        </w:rPr>
        <w:tab/>
        <w:t>Gauteng Department of Agriculture and Rural Development</w:t>
      </w:r>
    </w:p>
    <w:p w14:paraId="591FD00D" w14:textId="77777777" w:rsidR="00926351" w:rsidRPr="00AD33B4" w:rsidRDefault="00926351" w:rsidP="00B003D6">
      <w:pPr>
        <w:spacing w:after="200" w:line="276" w:lineRule="auto"/>
        <w:rPr>
          <w:rFonts w:cs="Arial"/>
          <w:sz w:val="24"/>
          <w:szCs w:val="24"/>
          <w:lang w:val="en-US"/>
        </w:rPr>
      </w:pPr>
      <w:r w:rsidRPr="00AD33B4">
        <w:rPr>
          <w:rFonts w:cs="Arial"/>
          <w:sz w:val="24"/>
          <w:szCs w:val="24"/>
          <w:lang w:val="en-US"/>
        </w:rPr>
        <w:t>GPG</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t>Gauteng Provincial Government</w:t>
      </w:r>
    </w:p>
    <w:p w14:paraId="347D737E" w14:textId="55CA539B" w:rsidR="00926351" w:rsidRPr="00C71D19" w:rsidRDefault="00926351" w:rsidP="00B003D6">
      <w:pPr>
        <w:spacing w:after="200" w:line="276" w:lineRule="auto"/>
        <w:rPr>
          <w:rFonts w:cs="Arial"/>
          <w:sz w:val="24"/>
          <w:szCs w:val="24"/>
          <w:lang w:val="en-US"/>
        </w:rPr>
      </w:pPr>
      <w:r w:rsidRPr="00AD33B4">
        <w:rPr>
          <w:rFonts w:cs="Arial"/>
          <w:sz w:val="24"/>
          <w:szCs w:val="24"/>
          <w:lang w:val="en-US"/>
        </w:rPr>
        <w:t>GPL</w:t>
      </w:r>
      <w:r w:rsidRPr="00C71D19">
        <w:rPr>
          <w:rFonts w:cs="Arial"/>
          <w:sz w:val="24"/>
          <w:szCs w:val="24"/>
          <w:lang w:val="en-US"/>
        </w:rPr>
        <w:tab/>
      </w:r>
      <w:r w:rsidRPr="00C71D19">
        <w:rPr>
          <w:rFonts w:cs="Arial"/>
          <w:sz w:val="24"/>
          <w:szCs w:val="24"/>
          <w:lang w:val="en-US"/>
        </w:rPr>
        <w:tab/>
      </w:r>
      <w:r w:rsidRPr="00C71D19">
        <w:rPr>
          <w:rFonts w:cs="Arial"/>
          <w:sz w:val="24"/>
          <w:szCs w:val="24"/>
          <w:lang w:val="en-US"/>
        </w:rPr>
        <w:tab/>
        <w:t>Gauteng Provincial Legislature</w:t>
      </w:r>
    </w:p>
    <w:p w14:paraId="4DF636A7" w14:textId="1120B20D" w:rsidR="0034181A" w:rsidRPr="00C71D19" w:rsidRDefault="0034181A" w:rsidP="00B003D6">
      <w:pPr>
        <w:spacing w:after="200" w:line="276" w:lineRule="auto"/>
        <w:rPr>
          <w:rFonts w:cs="Arial"/>
          <w:sz w:val="24"/>
          <w:szCs w:val="24"/>
        </w:rPr>
      </w:pPr>
      <w:r w:rsidRPr="00C71D19">
        <w:rPr>
          <w:rFonts w:cs="Arial"/>
          <w:sz w:val="24"/>
          <w:szCs w:val="24"/>
        </w:rPr>
        <w:t xml:space="preserve">IDC </w:t>
      </w:r>
      <w:r w:rsidRPr="00C71D19">
        <w:rPr>
          <w:rFonts w:cs="Arial"/>
          <w:sz w:val="24"/>
          <w:szCs w:val="24"/>
        </w:rPr>
        <w:tab/>
      </w:r>
      <w:r w:rsidRPr="00C71D19">
        <w:rPr>
          <w:rFonts w:cs="Arial"/>
          <w:sz w:val="24"/>
          <w:szCs w:val="24"/>
        </w:rPr>
        <w:tab/>
      </w:r>
      <w:r w:rsidRPr="00C71D19">
        <w:rPr>
          <w:rFonts w:cs="Arial"/>
          <w:sz w:val="24"/>
          <w:szCs w:val="24"/>
        </w:rPr>
        <w:tab/>
        <w:t xml:space="preserve">Industrial Development Corporation </w:t>
      </w:r>
    </w:p>
    <w:p w14:paraId="2E5B4B2E" w14:textId="3D6F101F" w:rsidR="00C71D19" w:rsidRPr="00C71D19" w:rsidRDefault="00C71D19" w:rsidP="00B003D6">
      <w:pPr>
        <w:spacing w:after="200" w:line="276" w:lineRule="auto"/>
        <w:rPr>
          <w:rFonts w:cs="Arial"/>
          <w:sz w:val="24"/>
          <w:szCs w:val="24"/>
          <w:lang w:val="en-US"/>
        </w:rPr>
      </w:pPr>
      <w:r w:rsidRPr="00C71D19">
        <w:rPr>
          <w:rFonts w:cs="Arial"/>
          <w:sz w:val="24"/>
          <w:szCs w:val="24"/>
        </w:rPr>
        <w:t>IDMS</w:t>
      </w:r>
      <w:r w:rsidRPr="00C71D19">
        <w:rPr>
          <w:rFonts w:cs="Arial"/>
          <w:sz w:val="24"/>
          <w:szCs w:val="24"/>
        </w:rPr>
        <w:tab/>
      </w:r>
      <w:r w:rsidRPr="00C71D19">
        <w:rPr>
          <w:rFonts w:cs="Arial"/>
          <w:sz w:val="24"/>
          <w:szCs w:val="24"/>
        </w:rPr>
        <w:tab/>
      </w:r>
      <w:r w:rsidRPr="00C71D19">
        <w:rPr>
          <w:rFonts w:cs="Arial"/>
          <w:sz w:val="24"/>
          <w:szCs w:val="24"/>
        </w:rPr>
        <w:tab/>
        <w:t xml:space="preserve">Infrastructure Development Management System </w:t>
      </w:r>
    </w:p>
    <w:p w14:paraId="4BC46A69" w14:textId="77777777" w:rsidR="00926351" w:rsidRPr="00C71D19" w:rsidRDefault="00926351" w:rsidP="00B003D6">
      <w:pPr>
        <w:spacing w:after="200" w:line="276" w:lineRule="auto"/>
        <w:ind w:left="2160" w:hanging="2160"/>
        <w:rPr>
          <w:rFonts w:cs="Arial"/>
          <w:sz w:val="24"/>
          <w:szCs w:val="24"/>
          <w:lang w:val="en-US"/>
        </w:rPr>
      </w:pPr>
      <w:r w:rsidRPr="00C71D19">
        <w:rPr>
          <w:rFonts w:cs="Arial"/>
          <w:sz w:val="24"/>
          <w:szCs w:val="24"/>
          <w:lang w:val="en-US"/>
        </w:rPr>
        <w:t>LRAD</w:t>
      </w:r>
      <w:r w:rsidRPr="00C71D19">
        <w:rPr>
          <w:rFonts w:cs="Arial"/>
          <w:sz w:val="24"/>
          <w:szCs w:val="24"/>
          <w:lang w:val="en-US"/>
        </w:rPr>
        <w:tab/>
        <w:t xml:space="preserve">Land Redistribution for Agricultural Development           </w:t>
      </w:r>
    </w:p>
    <w:p w14:paraId="49331C7B" w14:textId="77777777" w:rsidR="00926351" w:rsidRPr="00AD33B4" w:rsidRDefault="00926351" w:rsidP="00B003D6">
      <w:pPr>
        <w:spacing w:after="200" w:line="276" w:lineRule="auto"/>
        <w:rPr>
          <w:rFonts w:cs="Arial"/>
          <w:sz w:val="24"/>
          <w:szCs w:val="24"/>
          <w:lang w:val="en-US"/>
        </w:rPr>
      </w:pPr>
      <w:r w:rsidRPr="00AD33B4">
        <w:rPr>
          <w:rFonts w:cs="Arial"/>
          <w:sz w:val="24"/>
          <w:szCs w:val="24"/>
          <w:lang w:val="en-US"/>
        </w:rPr>
        <w:t>MTEF</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t>Medium Term Expenditure Framework</w:t>
      </w:r>
    </w:p>
    <w:p w14:paraId="48D86875" w14:textId="77777777" w:rsidR="00926351" w:rsidRPr="00AD33B4" w:rsidRDefault="00926351" w:rsidP="00B003D6">
      <w:pPr>
        <w:spacing w:after="200" w:line="276" w:lineRule="auto"/>
        <w:rPr>
          <w:rFonts w:cs="Arial"/>
          <w:sz w:val="24"/>
          <w:szCs w:val="24"/>
          <w:lang w:val="en-US"/>
        </w:rPr>
      </w:pPr>
      <w:r w:rsidRPr="00AD33B4">
        <w:rPr>
          <w:rFonts w:cs="Arial"/>
          <w:sz w:val="24"/>
          <w:szCs w:val="24"/>
          <w:lang w:val="en-US"/>
        </w:rPr>
        <w:t>MTSF</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t>Medium Term Strategic Framework</w:t>
      </w:r>
    </w:p>
    <w:p w14:paraId="312C3F2D" w14:textId="77777777" w:rsidR="00926351" w:rsidRPr="00AD33B4" w:rsidRDefault="00926351" w:rsidP="00B003D6">
      <w:pPr>
        <w:spacing w:after="200" w:line="276" w:lineRule="auto"/>
        <w:rPr>
          <w:rFonts w:cs="Arial"/>
          <w:sz w:val="24"/>
          <w:szCs w:val="24"/>
          <w:lang w:val="en-US"/>
        </w:rPr>
      </w:pPr>
      <w:r w:rsidRPr="00AD33B4">
        <w:rPr>
          <w:rFonts w:cs="Arial"/>
          <w:sz w:val="24"/>
          <w:szCs w:val="24"/>
          <w:lang w:val="en-US"/>
        </w:rPr>
        <w:t>NDP</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t>National Development Plan</w:t>
      </w:r>
    </w:p>
    <w:p w14:paraId="09805FB1" w14:textId="77777777" w:rsidR="00926351" w:rsidRPr="00AD33B4" w:rsidRDefault="00926351" w:rsidP="00B003D6">
      <w:pPr>
        <w:spacing w:after="200" w:line="276" w:lineRule="auto"/>
        <w:rPr>
          <w:rFonts w:cs="Arial"/>
          <w:sz w:val="24"/>
          <w:szCs w:val="24"/>
          <w:lang w:val="en-US"/>
        </w:rPr>
      </w:pPr>
      <w:r w:rsidRPr="00AD33B4">
        <w:rPr>
          <w:rFonts w:cs="Arial"/>
          <w:sz w:val="24"/>
          <w:szCs w:val="24"/>
          <w:lang w:val="en-US"/>
        </w:rPr>
        <w:t xml:space="preserve">NRM </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t>Natural Resource Management</w:t>
      </w:r>
    </w:p>
    <w:p w14:paraId="1CE3C193" w14:textId="77777777" w:rsidR="00926351" w:rsidRPr="00AD33B4" w:rsidRDefault="00926351" w:rsidP="00B003D6">
      <w:pPr>
        <w:spacing w:after="200" w:line="276" w:lineRule="auto"/>
        <w:rPr>
          <w:rFonts w:cs="Arial"/>
          <w:sz w:val="24"/>
          <w:szCs w:val="24"/>
          <w:lang w:val="en-US"/>
        </w:rPr>
      </w:pPr>
      <w:r w:rsidRPr="00AD33B4">
        <w:rPr>
          <w:rFonts w:cs="Arial"/>
          <w:sz w:val="24"/>
          <w:szCs w:val="24"/>
          <w:lang w:val="en-US"/>
        </w:rPr>
        <w:t>PFMA</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t>Public Finance Management Act (1999)</w:t>
      </w:r>
    </w:p>
    <w:p w14:paraId="6885E7B0" w14:textId="77777777" w:rsidR="00926351" w:rsidRPr="00AD33B4" w:rsidRDefault="00926351" w:rsidP="00B003D6">
      <w:pPr>
        <w:spacing w:after="200" w:line="276" w:lineRule="auto"/>
        <w:rPr>
          <w:rFonts w:cs="Arial"/>
          <w:sz w:val="24"/>
          <w:szCs w:val="24"/>
          <w:lang w:val="en-US"/>
        </w:rPr>
      </w:pPr>
      <w:r w:rsidRPr="00AD33B4">
        <w:rPr>
          <w:rFonts w:cs="Arial"/>
          <w:sz w:val="24"/>
          <w:szCs w:val="24"/>
          <w:lang w:val="en-US"/>
        </w:rPr>
        <w:t>PLAS</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t>Proactive Land Acquisition Strategy</w:t>
      </w:r>
    </w:p>
    <w:p w14:paraId="7416291F" w14:textId="77777777" w:rsidR="00926351" w:rsidRPr="00AD33B4" w:rsidRDefault="00926351" w:rsidP="00B003D6">
      <w:pPr>
        <w:spacing w:after="200" w:line="276" w:lineRule="auto"/>
        <w:rPr>
          <w:rFonts w:cs="Arial"/>
          <w:sz w:val="24"/>
          <w:szCs w:val="24"/>
          <w:lang w:val="en-US"/>
        </w:rPr>
      </w:pPr>
      <w:r w:rsidRPr="00AD33B4">
        <w:rPr>
          <w:rFonts w:cs="Arial"/>
          <w:sz w:val="24"/>
          <w:szCs w:val="24"/>
          <w:lang w:val="en-US"/>
        </w:rPr>
        <w:t>SOM</w:t>
      </w:r>
      <w:r w:rsidRPr="00AD33B4">
        <w:rPr>
          <w:rFonts w:cs="Arial"/>
          <w:sz w:val="24"/>
          <w:szCs w:val="24"/>
          <w:lang w:val="en-US"/>
        </w:rPr>
        <w:tab/>
      </w:r>
      <w:r w:rsidRPr="00AD33B4">
        <w:rPr>
          <w:rFonts w:cs="Arial"/>
          <w:sz w:val="24"/>
          <w:szCs w:val="24"/>
          <w:lang w:val="en-US"/>
        </w:rPr>
        <w:tab/>
      </w:r>
      <w:r w:rsidRPr="00AD33B4">
        <w:rPr>
          <w:rFonts w:cs="Arial"/>
          <w:sz w:val="24"/>
          <w:szCs w:val="24"/>
          <w:lang w:val="en-US"/>
        </w:rPr>
        <w:tab/>
      </w:r>
      <w:r w:rsidR="006A0956">
        <w:rPr>
          <w:rFonts w:cs="Arial"/>
          <w:sz w:val="24"/>
          <w:szCs w:val="24"/>
          <w:lang w:val="en-US"/>
        </w:rPr>
        <w:t>Sector</w:t>
      </w:r>
      <w:r w:rsidRPr="00AD33B4">
        <w:rPr>
          <w:rFonts w:cs="Arial"/>
          <w:sz w:val="24"/>
          <w:szCs w:val="24"/>
          <w:lang w:val="en-US"/>
        </w:rPr>
        <w:t xml:space="preserve"> Oversight Model</w:t>
      </w:r>
    </w:p>
    <w:p w14:paraId="11347078" w14:textId="53B290EB" w:rsidR="00806D2D" w:rsidRDefault="00B003D6" w:rsidP="00B003D6">
      <w:pPr>
        <w:spacing w:line="276" w:lineRule="auto"/>
        <w:jc w:val="both"/>
        <w:rPr>
          <w:rFonts w:cs="Arial"/>
          <w:bCs/>
          <w:sz w:val="22"/>
          <w:szCs w:val="22"/>
        </w:rPr>
      </w:pPr>
      <w:r>
        <w:rPr>
          <w:rFonts w:cs="Arial"/>
          <w:bCs/>
          <w:sz w:val="22"/>
          <w:szCs w:val="22"/>
        </w:rPr>
        <w:t>SONA</w:t>
      </w:r>
      <w:r w:rsidR="005062A2" w:rsidRPr="005062A2">
        <w:rPr>
          <w:rFonts w:cs="Arial"/>
          <w:sz w:val="22"/>
          <w:szCs w:val="22"/>
          <w:lang w:val="en-US"/>
        </w:rPr>
        <w:t xml:space="preserve"> </w:t>
      </w:r>
      <w:r w:rsidR="005062A2">
        <w:rPr>
          <w:rFonts w:cs="Arial"/>
          <w:sz w:val="22"/>
          <w:szCs w:val="22"/>
          <w:lang w:val="en-US"/>
        </w:rPr>
        <w:tab/>
      </w:r>
      <w:r w:rsidR="005062A2">
        <w:rPr>
          <w:rFonts w:cs="Arial"/>
          <w:sz w:val="22"/>
          <w:szCs w:val="22"/>
          <w:lang w:val="en-US"/>
        </w:rPr>
        <w:tab/>
      </w:r>
      <w:r w:rsidR="005062A2">
        <w:rPr>
          <w:rFonts w:cs="Arial"/>
          <w:sz w:val="22"/>
          <w:szCs w:val="22"/>
          <w:lang w:val="en-US"/>
        </w:rPr>
        <w:tab/>
      </w:r>
      <w:r w:rsidR="005062A2" w:rsidRPr="00984D3F">
        <w:rPr>
          <w:rFonts w:cs="Arial"/>
          <w:sz w:val="22"/>
          <w:szCs w:val="22"/>
          <w:lang w:val="en-US"/>
        </w:rPr>
        <w:t>State of the Nation Address</w:t>
      </w:r>
    </w:p>
    <w:p w14:paraId="1D49088E" w14:textId="77777777" w:rsidR="00B003D6" w:rsidRDefault="00B003D6" w:rsidP="00B003D6">
      <w:pPr>
        <w:spacing w:line="276" w:lineRule="auto"/>
        <w:jc w:val="both"/>
        <w:rPr>
          <w:rFonts w:cs="Arial"/>
          <w:bCs/>
          <w:sz w:val="22"/>
          <w:szCs w:val="22"/>
        </w:rPr>
      </w:pPr>
    </w:p>
    <w:p w14:paraId="0AEED405" w14:textId="14CB7ECE" w:rsidR="00B003D6" w:rsidRPr="00AD33B4" w:rsidRDefault="00B003D6" w:rsidP="00B003D6">
      <w:pPr>
        <w:spacing w:line="276" w:lineRule="auto"/>
        <w:jc w:val="both"/>
        <w:rPr>
          <w:rFonts w:cs="Arial"/>
          <w:bCs/>
          <w:sz w:val="22"/>
          <w:szCs w:val="22"/>
        </w:rPr>
      </w:pPr>
      <w:r>
        <w:rPr>
          <w:rFonts w:cs="Arial"/>
          <w:bCs/>
          <w:sz w:val="22"/>
          <w:szCs w:val="22"/>
        </w:rPr>
        <w:t>SOPA</w:t>
      </w:r>
      <w:r w:rsidR="00F310E8" w:rsidRPr="00F310E8">
        <w:rPr>
          <w:rFonts w:cs="Arial"/>
          <w:sz w:val="22"/>
          <w:szCs w:val="22"/>
          <w:lang w:val="en-US"/>
        </w:rPr>
        <w:t xml:space="preserve"> </w:t>
      </w:r>
      <w:r w:rsidR="00F310E8">
        <w:rPr>
          <w:rFonts w:cs="Arial"/>
          <w:sz w:val="22"/>
          <w:szCs w:val="22"/>
          <w:lang w:val="en-US"/>
        </w:rPr>
        <w:tab/>
      </w:r>
      <w:r w:rsidR="00F310E8">
        <w:rPr>
          <w:rFonts w:cs="Arial"/>
          <w:sz w:val="22"/>
          <w:szCs w:val="22"/>
          <w:lang w:val="en-US"/>
        </w:rPr>
        <w:tab/>
      </w:r>
      <w:r w:rsidR="00F310E8">
        <w:rPr>
          <w:rFonts w:cs="Arial"/>
          <w:sz w:val="22"/>
          <w:szCs w:val="22"/>
          <w:lang w:val="en-US"/>
        </w:rPr>
        <w:tab/>
      </w:r>
      <w:r w:rsidR="00F310E8" w:rsidRPr="00984D3F">
        <w:rPr>
          <w:rFonts w:cs="Arial"/>
          <w:sz w:val="22"/>
          <w:szCs w:val="22"/>
          <w:lang w:val="en-US"/>
        </w:rPr>
        <w:t xml:space="preserve">State of the </w:t>
      </w:r>
      <w:r w:rsidR="00F310E8">
        <w:rPr>
          <w:rFonts w:cs="Arial"/>
          <w:sz w:val="22"/>
          <w:szCs w:val="22"/>
          <w:lang w:val="en-US"/>
        </w:rPr>
        <w:t xml:space="preserve">Province </w:t>
      </w:r>
      <w:r w:rsidR="00F310E8" w:rsidRPr="00984D3F">
        <w:rPr>
          <w:rFonts w:cs="Arial"/>
          <w:sz w:val="22"/>
          <w:szCs w:val="22"/>
          <w:lang w:val="en-US"/>
        </w:rPr>
        <w:t>Address</w:t>
      </w:r>
    </w:p>
    <w:p w14:paraId="23CB55C8" w14:textId="77777777" w:rsidR="00806D2D" w:rsidRPr="00AD33B4" w:rsidRDefault="00806D2D" w:rsidP="00806D2D">
      <w:pPr>
        <w:spacing w:line="360" w:lineRule="auto"/>
        <w:jc w:val="both"/>
        <w:rPr>
          <w:rFonts w:cs="Arial"/>
          <w:bCs/>
          <w:sz w:val="22"/>
          <w:szCs w:val="22"/>
        </w:rPr>
      </w:pPr>
    </w:p>
    <w:p w14:paraId="4AA6973F" w14:textId="77777777" w:rsidR="00806D2D" w:rsidRPr="00AD33B4" w:rsidRDefault="00806D2D" w:rsidP="00806D2D">
      <w:pPr>
        <w:spacing w:line="276" w:lineRule="auto"/>
        <w:jc w:val="both"/>
        <w:rPr>
          <w:rFonts w:cs="Arial"/>
          <w:bCs/>
          <w:sz w:val="22"/>
          <w:szCs w:val="22"/>
        </w:rPr>
      </w:pPr>
    </w:p>
    <w:p w14:paraId="74053190" w14:textId="77777777" w:rsidR="00806D2D" w:rsidRPr="00AD33B4" w:rsidRDefault="00806D2D" w:rsidP="00806D2D">
      <w:pPr>
        <w:pStyle w:val="Title"/>
        <w:spacing w:line="276" w:lineRule="auto"/>
        <w:ind w:left="0"/>
        <w:jc w:val="left"/>
        <w:rPr>
          <w:rFonts w:cs="Arial"/>
          <w:szCs w:val="22"/>
        </w:rPr>
      </w:pPr>
    </w:p>
    <w:p w14:paraId="776E4FAE" w14:textId="76B3BD92" w:rsidR="00806D2D" w:rsidRPr="00A61EAB" w:rsidRDefault="009F2470" w:rsidP="00B9224D">
      <w:pPr>
        <w:spacing w:after="200" w:line="276" w:lineRule="auto"/>
        <w:jc w:val="both"/>
        <w:rPr>
          <w:rFonts w:cs="Arial"/>
          <w:sz w:val="22"/>
          <w:szCs w:val="22"/>
        </w:rPr>
      </w:pPr>
      <w:r>
        <w:rPr>
          <w:rFonts w:cs="Arial"/>
          <w:sz w:val="22"/>
          <w:szCs w:val="22"/>
        </w:rPr>
        <w:br w:type="page"/>
      </w:r>
      <w:r w:rsidR="00806D2D" w:rsidRPr="00A61EAB">
        <w:rPr>
          <w:rFonts w:cs="Arial"/>
          <w:sz w:val="22"/>
          <w:szCs w:val="22"/>
        </w:rPr>
        <w:lastRenderedPageBreak/>
        <w:t>The</w:t>
      </w:r>
      <w:r w:rsidR="00451832" w:rsidRPr="00A61EAB">
        <w:rPr>
          <w:rFonts w:cs="Arial"/>
          <w:sz w:val="22"/>
          <w:szCs w:val="22"/>
        </w:rPr>
        <w:t xml:space="preserve"> Chairperson of the </w:t>
      </w:r>
      <w:r w:rsidR="001C48F4" w:rsidRPr="00A61EAB">
        <w:rPr>
          <w:rFonts w:cs="Arial"/>
          <w:sz w:val="22"/>
          <w:szCs w:val="22"/>
        </w:rPr>
        <w:t xml:space="preserve">Economic Development, Environment, Agriculture and </w:t>
      </w:r>
      <w:r w:rsidR="00806D2D" w:rsidRPr="00A61EAB">
        <w:rPr>
          <w:rFonts w:cs="Arial"/>
          <w:sz w:val="22"/>
          <w:szCs w:val="22"/>
        </w:rPr>
        <w:t xml:space="preserve">Rural Development Portfolio Committee, </w:t>
      </w:r>
      <w:r w:rsidR="0004205B">
        <w:rPr>
          <w:rFonts w:cs="Arial"/>
          <w:sz w:val="22"/>
          <w:szCs w:val="22"/>
        </w:rPr>
        <w:t>Ms Fasiha Hassan</w:t>
      </w:r>
      <w:r w:rsidR="00806D2D" w:rsidRPr="00A61EAB">
        <w:rPr>
          <w:rFonts w:cs="Arial"/>
          <w:sz w:val="22"/>
          <w:szCs w:val="22"/>
        </w:rPr>
        <w:t xml:space="preserve">, presents the </w:t>
      </w:r>
      <w:r w:rsidR="00EB56C9" w:rsidRPr="00A61EAB">
        <w:rPr>
          <w:rFonts w:cs="Arial"/>
          <w:sz w:val="22"/>
          <w:szCs w:val="22"/>
        </w:rPr>
        <w:t xml:space="preserve">Committee </w:t>
      </w:r>
      <w:r w:rsidR="001C48F4" w:rsidRPr="00A61EAB">
        <w:rPr>
          <w:rFonts w:cs="Arial"/>
          <w:sz w:val="22"/>
          <w:szCs w:val="22"/>
        </w:rPr>
        <w:t xml:space="preserve">Oversight Report of </w:t>
      </w:r>
      <w:r w:rsidR="00451832" w:rsidRPr="00A61EAB">
        <w:rPr>
          <w:rFonts w:cs="Arial"/>
          <w:sz w:val="22"/>
          <w:szCs w:val="22"/>
        </w:rPr>
        <w:t>B</w:t>
      </w:r>
      <w:r w:rsidR="00806D2D" w:rsidRPr="00A61EAB">
        <w:rPr>
          <w:rFonts w:cs="Arial"/>
          <w:sz w:val="22"/>
          <w:szCs w:val="22"/>
        </w:rPr>
        <w:t xml:space="preserve">udget </w:t>
      </w:r>
      <w:r w:rsidR="00CB0719" w:rsidRPr="00A61EAB">
        <w:rPr>
          <w:rFonts w:cs="Arial"/>
          <w:sz w:val="22"/>
          <w:szCs w:val="22"/>
        </w:rPr>
        <w:t>Vote 11</w:t>
      </w:r>
      <w:r w:rsidR="00420755" w:rsidRPr="00A61EAB">
        <w:rPr>
          <w:rFonts w:cs="Arial"/>
          <w:sz w:val="22"/>
          <w:szCs w:val="22"/>
        </w:rPr>
        <w:t xml:space="preserve"> allocation for the</w:t>
      </w:r>
      <w:r w:rsidR="00CB0719" w:rsidRPr="00A61EAB">
        <w:rPr>
          <w:rFonts w:cs="Arial"/>
          <w:sz w:val="22"/>
          <w:szCs w:val="22"/>
        </w:rPr>
        <w:t xml:space="preserve"> </w:t>
      </w:r>
      <w:r w:rsidR="00806D2D" w:rsidRPr="00A61EAB">
        <w:rPr>
          <w:rFonts w:cs="Arial"/>
          <w:bCs/>
          <w:sz w:val="22"/>
          <w:szCs w:val="22"/>
        </w:rPr>
        <w:t>Gauteng Department of Agriculture and Rural Development (GDARD) of th</w:t>
      </w:r>
      <w:r w:rsidR="008D6BEC" w:rsidRPr="00A61EAB">
        <w:rPr>
          <w:rFonts w:cs="Arial"/>
          <w:bCs/>
          <w:sz w:val="22"/>
          <w:szCs w:val="22"/>
        </w:rPr>
        <w:t>e Provincial Appropriation Bill</w:t>
      </w:r>
      <w:r w:rsidR="00806D2D" w:rsidRPr="00A61EAB">
        <w:rPr>
          <w:rFonts w:cs="Arial"/>
          <w:b/>
          <w:i/>
          <w:sz w:val="22"/>
          <w:szCs w:val="22"/>
        </w:rPr>
        <w:t>,</w:t>
      </w:r>
      <w:r w:rsidR="00806D2D" w:rsidRPr="00A61EAB">
        <w:rPr>
          <w:rFonts w:cs="Arial"/>
          <w:sz w:val="22"/>
          <w:szCs w:val="22"/>
        </w:rPr>
        <w:t xml:space="preserve"> as follows:</w:t>
      </w:r>
    </w:p>
    <w:p w14:paraId="5DF3CF67" w14:textId="77777777" w:rsidR="00681244" w:rsidRPr="00AD33B4" w:rsidRDefault="00681244" w:rsidP="00ED6ED5">
      <w:pPr>
        <w:spacing w:line="276" w:lineRule="auto"/>
        <w:jc w:val="both"/>
        <w:rPr>
          <w:b/>
          <w:sz w:val="24"/>
          <w:szCs w:val="24"/>
        </w:rPr>
      </w:pPr>
    </w:p>
    <w:p w14:paraId="3882A078" w14:textId="0971F578" w:rsidR="001F31B4" w:rsidRPr="001F31B4" w:rsidRDefault="00B46B0F" w:rsidP="00ED6ED5">
      <w:pPr>
        <w:pStyle w:val="ListParagraph"/>
        <w:numPr>
          <w:ilvl w:val="0"/>
          <w:numId w:val="4"/>
        </w:numPr>
        <w:shd w:val="clear" w:color="auto" w:fill="BFBFBF" w:themeFill="background1" w:themeFillShade="BF"/>
        <w:spacing w:line="276" w:lineRule="auto"/>
        <w:ind w:left="426" w:hanging="426"/>
        <w:jc w:val="both"/>
        <w:rPr>
          <w:b/>
          <w:sz w:val="24"/>
          <w:szCs w:val="24"/>
        </w:rPr>
      </w:pPr>
      <w:r w:rsidRPr="00AD33B4">
        <w:rPr>
          <w:b/>
          <w:sz w:val="24"/>
          <w:szCs w:val="24"/>
        </w:rPr>
        <w:t xml:space="preserve">EXECUTIVE SUMMARY </w:t>
      </w:r>
      <w:r w:rsidR="001F31B4" w:rsidRPr="001F31B4">
        <w:rPr>
          <w:rFonts w:cs="Arial"/>
          <w:sz w:val="22"/>
          <w:szCs w:val="22"/>
          <w:lang w:val="en-US"/>
        </w:rPr>
        <w:t xml:space="preserve"> </w:t>
      </w:r>
    </w:p>
    <w:p w14:paraId="04635067" w14:textId="77777777" w:rsidR="009D6A3B" w:rsidRDefault="009D6A3B" w:rsidP="009D6A3B">
      <w:pPr>
        <w:autoSpaceDE w:val="0"/>
        <w:autoSpaceDN w:val="0"/>
        <w:adjustRightInd w:val="0"/>
        <w:spacing w:line="276" w:lineRule="auto"/>
        <w:jc w:val="both"/>
        <w:rPr>
          <w:rFonts w:cs="Arial"/>
          <w:sz w:val="22"/>
          <w:szCs w:val="22"/>
        </w:rPr>
      </w:pPr>
    </w:p>
    <w:p w14:paraId="7BFF2ACC" w14:textId="35060290" w:rsidR="000D7EA3" w:rsidRPr="000D7EA3" w:rsidRDefault="000D7EA3" w:rsidP="0021217D">
      <w:pPr>
        <w:spacing w:line="276" w:lineRule="auto"/>
        <w:jc w:val="both"/>
        <w:rPr>
          <w:rFonts w:cs="Arial"/>
          <w:sz w:val="22"/>
          <w:szCs w:val="22"/>
        </w:rPr>
      </w:pPr>
      <w:r w:rsidRPr="000D7EA3">
        <w:rPr>
          <w:rFonts w:cs="Arial"/>
          <w:sz w:val="22"/>
          <w:szCs w:val="22"/>
        </w:rPr>
        <w:t xml:space="preserve">The 2022/23 FY budget follows a period where budget cuts were made over the course of two financial periods </w:t>
      </w:r>
      <w:proofErr w:type="gramStart"/>
      <w:r w:rsidRPr="000D7EA3">
        <w:rPr>
          <w:rFonts w:cs="Arial"/>
          <w:sz w:val="22"/>
          <w:szCs w:val="22"/>
        </w:rPr>
        <w:t>as a result of</w:t>
      </w:r>
      <w:proofErr w:type="gramEnd"/>
      <w:r w:rsidRPr="000D7EA3">
        <w:rPr>
          <w:rFonts w:cs="Arial"/>
          <w:sz w:val="22"/>
          <w:szCs w:val="22"/>
        </w:rPr>
        <w:t xml:space="preserve"> having to reprioritize funds to help in the fight against the covid-19 pandemic that was ravaging the country.  The Department’s total allocation for the </w:t>
      </w:r>
      <w:r w:rsidRPr="000D7EA3">
        <w:rPr>
          <w:rFonts w:cs="Arial"/>
          <w:b/>
          <w:sz w:val="22"/>
          <w:szCs w:val="22"/>
        </w:rPr>
        <w:t>2022/23</w:t>
      </w:r>
      <w:r w:rsidRPr="000D7EA3">
        <w:rPr>
          <w:rFonts w:cs="Arial"/>
          <w:sz w:val="22"/>
          <w:szCs w:val="22"/>
        </w:rPr>
        <w:t xml:space="preserve"> FY revenue is set at </w:t>
      </w:r>
      <w:r w:rsidRPr="000D7EA3">
        <w:rPr>
          <w:rFonts w:cs="Arial"/>
          <w:b/>
          <w:sz w:val="22"/>
          <w:szCs w:val="22"/>
        </w:rPr>
        <w:t>R1,042 billion</w:t>
      </w:r>
      <w:r w:rsidRPr="000D7EA3">
        <w:rPr>
          <w:rFonts w:cs="Arial"/>
          <w:sz w:val="22"/>
          <w:szCs w:val="22"/>
        </w:rPr>
        <w:t xml:space="preserve"> which marks a </w:t>
      </w:r>
      <w:r w:rsidRPr="000D7EA3">
        <w:rPr>
          <w:rFonts w:cs="Arial"/>
          <w:b/>
          <w:bCs/>
          <w:sz w:val="22"/>
          <w:szCs w:val="22"/>
        </w:rPr>
        <w:t>-0,2</w:t>
      </w:r>
      <w:r w:rsidRPr="000D7EA3">
        <w:rPr>
          <w:rFonts w:cs="Arial"/>
          <w:b/>
          <w:sz w:val="22"/>
          <w:szCs w:val="22"/>
        </w:rPr>
        <w:t>%</w:t>
      </w:r>
      <w:r w:rsidRPr="000D7EA3">
        <w:rPr>
          <w:rFonts w:cs="Arial"/>
          <w:sz w:val="22"/>
          <w:szCs w:val="22"/>
        </w:rPr>
        <w:t xml:space="preserve"> reduction from the previous financial year</w:t>
      </w:r>
      <w:r w:rsidR="000F70FA">
        <w:rPr>
          <w:rFonts w:cs="Arial"/>
          <w:sz w:val="22"/>
          <w:szCs w:val="22"/>
        </w:rPr>
        <w:t xml:space="preserve">’s </w:t>
      </w:r>
      <w:r w:rsidRPr="000D7EA3">
        <w:rPr>
          <w:rFonts w:cs="Arial"/>
          <w:sz w:val="22"/>
          <w:szCs w:val="22"/>
        </w:rPr>
        <w:t xml:space="preserve">adjusted budget of </w:t>
      </w:r>
      <w:r w:rsidRPr="000D7EA3">
        <w:rPr>
          <w:rFonts w:cs="Arial"/>
          <w:b/>
          <w:sz w:val="22"/>
          <w:szCs w:val="22"/>
        </w:rPr>
        <w:t xml:space="preserve">R1,044 billion.  </w:t>
      </w:r>
      <w:r w:rsidRPr="000D7EA3">
        <w:rPr>
          <w:rFonts w:cs="Arial"/>
          <w:bCs/>
          <w:sz w:val="22"/>
          <w:szCs w:val="22"/>
        </w:rPr>
        <w:t>The Department’s budget de</w:t>
      </w:r>
      <w:r w:rsidRPr="000D7EA3">
        <w:rPr>
          <w:rFonts w:cs="Arial"/>
          <w:sz w:val="22"/>
          <w:szCs w:val="22"/>
        </w:rPr>
        <w:t xml:space="preserve">creases from </w:t>
      </w:r>
      <w:r w:rsidRPr="000D7EA3">
        <w:rPr>
          <w:rFonts w:cs="Arial"/>
          <w:b/>
          <w:bCs/>
          <w:sz w:val="22"/>
          <w:szCs w:val="22"/>
        </w:rPr>
        <w:t>0.72%</w:t>
      </w:r>
      <w:r w:rsidRPr="000D7EA3">
        <w:rPr>
          <w:rFonts w:cs="Arial"/>
          <w:sz w:val="22"/>
          <w:szCs w:val="22"/>
        </w:rPr>
        <w:t xml:space="preserve"> of the previous year’</w:t>
      </w:r>
      <w:r w:rsidR="000F70FA">
        <w:rPr>
          <w:rFonts w:cs="Arial"/>
          <w:sz w:val="22"/>
          <w:szCs w:val="22"/>
        </w:rPr>
        <w:t>s</w:t>
      </w:r>
      <w:r w:rsidRPr="000D7EA3">
        <w:rPr>
          <w:rFonts w:cs="Arial"/>
          <w:sz w:val="22"/>
          <w:szCs w:val="22"/>
        </w:rPr>
        <w:t xml:space="preserve"> total provincial budget to </w:t>
      </w:r>
      <w:r w:rsidRPr="000D7EA3">
        <w:rPr>
          <w:rFonts w:cs="Arial"/>
          <w:b/>
          <w:sz w:val="22"/>
          <w:szCs w:val="22"/>
        </w:rPr>
        <w:t>0.68%</w:t>
      </w:r>
      <w:r w:rsidRPr="000D7EA3">
        <w:rPr>
          <w:rFonts w:cs="Arial"/>
          <w:sz w:val="22"/>
          <w:szCs w:val="22"/>
        </w:rPr>
        <w:t xml:space="preserve"> in the current financial year.  </w:t>
      </w:r>
      <w:bookmarkStart w:id="0" w:name="_Hlk37504188"/>
      <w:r w:rsidRPr="000D7EA3">
        <w:rPr>
          <w:rFonts w:cs="Arial"/>
          <w:sz w:val="22"/>
          <w:szCs w:val="22"/>
        </w:rPr>
        <w:t xml:space="preserve">The proportion of compensation towards employees to total budget increased from </w:t>
      </w:r>
      <w:r w:rsidRPr="000D7EA3">
        <w:rPr>
          <w:rFonts w:cs="Arial"/>
          <w:b/>
          <w:bCs/>
          <w:sz w:val="22"/>
          <w:szCs w:val="22"/>
        </w:rPr>
        <w:t>52,4%</w:t>
      </w:r>
      <w:r w:rsidRPr="000D7EA3">
        <w:rPr>
          <w:rFonts w:cs="Arial"/>
          <w:sz w:val="22"/>
          <w:szCs w:val="22"/>
        </w:rPr>
        <w:t xml:space="preserve"> in the previous to </w:t>
      </w:r>
      <w:r w:rsidRPr="000D7EA3">
        <w:rPr>
          <w:rFonts w:cs="Arial"/>
          <w:b/>
          <w:bCs/>
          <w:sz w:val="22"/>
          <w:szCs w:val="22"/>
        </w:rPr>
        <w:t>52,6%</w:t>
      </w:r>
      <w:r w:rsidRPr="000D7EA3">
        <w:rPr>
          <w:rFonts w:cs="Arial"/>
          <w:sz w:val="22"/>
          <w:szCs w:val="22"/>
        </w:rPr>
        <w:t xml:space="preserve"> in the current financial year</w:t>
      </w:r>
      <w:bookmarkEnd w:id="0"/>
      <w:r w:rsidRPr="000D7EA3">
        <w:rPr>
          <w:rFonts w:cs="Arial"/>
          <w:sz w:val="22"/>
          <w:szCs w:val="22"/>
        </w:rPr>
        <w:t xml:space="preserve">.     </w:t>
      </w:r>
    </w:p>
    <w:p w14:paraId="46205CB9" w14:textId="77777777" w:rsidR="00BB78DF" w:rsidRPr="0021217D" w:rsidRDefault="00BB78DF" w:rsidP="0021217D">
      <w:pPr>
        <w:spacing w:line="276" w:lineRule="auto"/>
        <w:jc w:val="both"/>
        <w:rPr>
          <w:rFonts w:cs="Arial"/>
          <w:sz w:val="22"/>
          <w:szCs w:val="22"/>
        </w:rPr>
      </w:pPr>
    </w:p>
    <w:p w14:paraId="29D92FBE" w14:textId="21FA9344" w:rsidR="00534E85" w:rsidRPr="0021217D" w:rsidRDefault="00C9327A" w:rsidP="0021217D">
      <w:pPr>
        <w:spacing w:line="276" w:lineRule="auto"/>
        <w:jc w:val="both"/>
        <w:rPr>
          <w:rFonts w:cs="Arial"/>
          <w:sz w:val="22"/>
          <w:szCs w:val="22"/>
        </w:rPr>
      </w:pPr>
      <w:r>
        <w:rPr>
          <w:rFonts w:cs="Arial"/>
          <w:sz w:val="22"/>
          <w:szCs w:val="22"/>
        </w:rPr>
        <w:t>The Committee note</w:t>
      </w:r>
      <w:r w:rsidR="000F70FA">
        <w:rPr>
          <w:rFonts w:cs="Arial"/>
          <w:sz w:val="22"/>
          <w:szCs w:val="22"/>
        </w:rPr>
        <w:t>d</w:t>
      </w:r>
      <w:r>
        <w:rPr>
          <w:rFonts w:cs="Arial"/>
          <w:sz w:val="22"/>
          <w:szCs w:val="22"/>
        </w:rPr>
        <w:t xml:space="preserve"> that t</w:t>
      </w:r>
      <w:r w:rsidR="000D7EA3" w:rsidRPr="0021217D">
        <w:rPr>
          <w:rFonts w:cs="Arial"/>
          <w:sz w:val="22"/>
          <w:szCs w:val="22"/>
        </w:rPr>
        <w:t>he budget is meant to help in reversing the effects of the Covid-19 on the provincial economy so that economic activity is taken to as close to where it had been prior to the occurrence of the pandemic</w:t>
      </w:r>
      <w:r w:rsidR="00BB78DF" w:rsidRPr="0021217D">
        <w:rPr>
          <w:rFonts w:cs="Arial"/>
          <w:sz w:val="22"/>
          <w:szCs w:val="22"/>
        </w:rPr>
        <w:t>.</w:t>
      </w:r>
    </w:p>
    <w:p w14:paraId="541C8CC3" w14:textId="77777777" w:rsidR="00BB78DF" w:rsidRPr="0021217D" w:rsidRDefault="00BB78DF" w:rsidP="0021217D">
      <w:pPr>
        <w:spacing w:line="276" w:lineRule="auto"/>
        <w:jc w:val="both"/>
        <w:rPr>
          <w:rFonts w:cs="Arial"/>
          <w:b/>
          <w:bCs/>
          <w:sz w:val="22"/>
          <w:szCs w:val="22"/>
        </w:rPr>
      </w:pPr>
    </w:p>
    <w:p w14:paraId="4A411F29" w14:textId="555C192F" w:rsidR="00540BD4" w:rsidRDefault="005C4A8E" w:rsidP="0021217D">
      <w:pPr>
        <w:spacing w:line="276" w:lineRule="auto"/>
        <w:jc w:val="both"/>
        <w:rPr>
          <w:rFonts w:cs="Arial"/>
          <w:sz w:val="22"/>
          <w:szCs w:val="22"/>
        </w:rPr>
      </w:pPr>
      <w:r w:rsidRPr="0021217D">
        <w:rPr>
          <w:rFonts w:cs="Arial"/>
          <w:bCs/>
          <w:sz w:val="22"/>
          <w:szCs w:val="22"/>
        </w:rPr>
        <w:t xml:space="preserve">The Department </w:t>
      </w:r>
      <w:r w:rsidR="00C51502" w:rsidRPr="0021217D">
        <w:rPr>
          <w:rFonts w:cs="Arial"/>
          <w:bCs/>
          <w:sz w:val="22"/>
          <w:szCs w:val="22"/>
        </w:rPr>
        <w:t>a</w:t>
      </w:r>
      <w:r w:rsidRPr="0021217D">
        <w:rPr>
          <w:rFonts w:cs="Arial"/>
          <w:bCs/>
          <w:sz w:val="22"/>
          <w:szCs w:val="22"/>
        </w:rPr>
        <w:t xml:space="preserve">pproved a number of projects that will be funded through the Comprehensive Agricultural Support Program (CASP) Conditional Grant and also embarked on a number of partnerships with the private sector </w:t>
      </w:r>
      <w:proofErr w:type="gramStart"/>
      <w:r w:rsidRPr="0021217D">
        <w:rPr>
          <w:rFonts w:cs="Arial"/>
          <w:bCs/>
          <w:sz w:val="22"/>
          <w:szCs w:val="22"/>
        </w:rPr>
        <w:t>e.g.</w:t>
      </w:r>
      <w:proofErr w:type="gramEnd"/>
      <w:r w:rsidRPr="0021217D">
        <w:rPr>
          <w:rFonts w:cs="Arial"/>
          <w:bCs/>
          <w:sz w:val="22"/>
          <w:szCs w:val="22"/>
        </w:rPr>
        <w:t xml:space="preserve"> Pepsico, Land Bank, </w:t>
      </w:r>
      <w:r w:rsidR="00BE7564" w:rsidRPr="0021217D">
        <w:rPr>
          <w:rFonts w:cs="Arial"/>
          <w:bCs/>
          <w:sz w:val="22"/>
          <w:szCs w:val="22"/>
        </w:rPr>
        <w:t xml:space="preserve">Industrial Development Corporation </w:t>
      </w:r>
      <w:r w:rsidR="00BE7564">
        <w:rPr>
          <w:rFonts w:cs="Arial"/>
          <w:bCs/>
          <w:sz w:val="22"/>
          <w:szCs w:val="22"/>
        </w:rPr>
        <w:t>(</w:t>
      </w:r>
      <w:r w:rsidRPr="0021217D">
        <w:rPr>
          <w:rFonts w:cs="Arial"/>
          <w:bCs/>
          <w:sz w:val="22"/>
          <w:szCs w:val="22"/>
        </w:rPr>
        <w:t>IDC</w:t>
      </w:r>
      <w:r w:rsidR="00BE7564">
        <w:rPr>
          <w:rFonts w:cs="Arial"/>
          <w:bCs/>
          <w:sz w:val="22"/>
          <w:szCs w:val="22"/>
        </w:rPr>
        <w:t>)</w:t>
      </w:r>
      <w:r w:rsidRPr="0021217D">
        <w:rPr>
          <w:rFonts w:cs="Arial"/>
          <w:bCs/>
          <w:sz w:val="22"/>
          <w:szCs w:val="22"/>
        </w:rPr>
        <w:t xml:space="preserve"> and Local Municipalities to ensure continued economic activity in the agricultural sector. The Land Bank and the </w:t>
      </w:r>
      <w:bookmarkStart w:id="1" w:name="_Hlk103155888"/>
      <w:r w:rsidRPr="0021217D">
        <w:rPr>
          <w:rFonts w:cs="Arial"/>
          <w:bCs/>
          <w:sz w:val="22"/>
          <w:szCs w:val="22"/>
        </w:rPr>
        <w:t xml:space="preserve">IDC </w:t>
      </w:r>
      <w:bookmarkEnd w:id="1"/>
      <w:r w:rsidRPr="0021217D">
        <w:rPr>
          <w:rFonts w:cs="Arial"/>
          <w:bCs/>
          <w:sz w:val="22"/>
          <w:szCs w:val="22"/>
        </w:rPr>
        <w:t xml:space="preserve">are processing farmer applications for funding support. The Midvaal municipality has made land available for primary agriculture production and </w:t>
      </w:r>
      <w:r w:rsidR="00AD4A08" w:rsidRPr="0021217D">
        <w:rPr>
          <w:rFonts w:cs="Arial"/>
          <w:bCs/>
          <w:sz w:val="22"/>
          <w:szCs w:val="22"/>
        </w:rPr>
        <w:t>agro</w:t>
      </w:r>
      <w:r w:rsidR="00AD4A08">
        <w:rPr>
          <w:rFonts w:cs="Arial"/>
          <w:bCs/>
          <w:sz w:val="22"/>
          <w:szCs w:val="22"/>
        </w:rPr>
        <w:t xml:space="preserve"> processing</w:t>
      </w:r>
      <w:r w:rsidRPr="0021217D">
        <w:rPr>
          <w:rFonts w:cs="Arial"/>
          <w:bCs/>
          <w:sz w:val="22"/>
          <w:szCs w:val="22"/>
        </w:rPr>
        <w:t xml:space="preserve">. There are also 21 Gauteng farmer applications under consideration for funding through the Jobs Fund. </w:t>
      </w:r>
      <w:r w:rsidR="00EE33CF" w:rsidRPr="0021217D">
        <w:rPr>
          <w:rFonts w:cs="Arial"/>
          <w:sz w:val="22"/>
          <w:szCs w:val="22"/>
        </w:rPr>
        <w:t>I</w:t>
      </w:r>
      <w:r w:rsidR="007163C7" w:rsidRPr="0021217D">
        <w:rPr>
          <w:rFonts w:cs="Arial"/>
          <w:sz w:val="22"/>
          <w:szCs w:val="22"/>
        </w:rPr>
        <w:t>t will be important for the sector to contribute towards the lifting of the economy with absorbing people in jobs created especially as it is a work force intensive sector</w:t>
      </w:r>
      <w:r w:rsidR="00BE6B06" w:rsidRPr="0021217D">
        <w:rPr>
          <w:rFonts w:cs="Arial"/>
          <w:sz w:val="22"/>
          <w:szCs w:val="22"/>
        </w:rPr>
        <w:t>.</w:t>
      </w:r>
    </w:p>
    <w:p w14:paraId="47DE1767" w14:textId="77777777" w:rsidR="00540BD4" w:rsidRDefault="00540BD4" w:rsidP="0021217D">
      <w:pPr>
        <w:spacing w:line="276" w:lineRule="auto"/>
        <w:jc w:val="both"/>
        <w:rPr>
          <w:rFonts w:cs="Arial"/>
          <w:sz w:val="22"/>
          <w:szCs w:val="22"/>
        </w:rPr>
      </w:pPr>
    </w:p>
    <w:p w14:paraId="5559B99D" w14:textId="2E34B56B" w:rsidR="00170082" w:rsidRPr="00540BD4" w:rsidRDefault="00534E85" w:rsidP="0021217D">
      <w:pPr>
        <w:spacing w:line="276" w:lineRule="auto"/>
        <w:jc w:val="both"/>
        <w:rPr>
          <w:rFonts w:cs="Arial"/>
          <w:bCs/>
          <w:sz w:val="22"/>
          <w:szCs w:val="22"/>
        </w:rPr>
      </w:pPr>
      <w:r w:rsidRPr="0021217D">
        <w:rPr>
          <w:rFonts w:cs="Arial"/>
          <w:sz w:val="22"/>
          <w:szCs w:val="22"/>
        </w:rPr>
        <w:t>The Committee acknowledges the budget allocation for 202</w:t>
      </w:r>
      <w:r w:rsidR="00596B08" w:rsidRPr="0021217D">
        <w:rPr>
          <w:rFonts w:cs="Arial"/>
          <w:sz w:val="22"/>
          <w:szCs w:val="22"/>
        </w:rPr>
        <w:t>2</w:t>
      </w:r>
      <w:r w:rsidRPr="0021217D">
        <w:rPr>
          <w:rFonts w:cs="Arial"/>
          <w:sz w:val="22"/>
          <w:szCs w:val="22"/>
        </w:rPr>
        <w:t>/2</w:t>
      </w:r>
      <w:r w:rsidR="00596B08" w:rsidRPr="0021217D">
        <w:rPr>
          <w:rFonts w:cs="Arial"/>
          <w:sz w:val="22"/>
          <w:szCs w:val="22"/>
        </w:rPr>
        <w:t>3</w:t>
      </w:r>
      <w:r w:rsidRPr="0021217D">
        <w:rPr>
          <w:rFonts w:cs="Arial"/>
          <w:sz w:val="22"/>
          <w:szCs w:val="22"/>
        </w:rPr>
        <w:t xml:space="preserve"> FY and will continue to monitor the performance of the Department on a quarterly basis and over the MTEF period on funded Programmes. </w:t>
      </w:r>
    </w:p>
    <w:p w14:paraId="618C7B37" w14:textId="77777777" w:rsidR="00534E85" w:rsidRDefault="00534E85" w:rsidP="00534E85">
      <w:pPr>
        <w:spacing w:line="276" w:lineRule="auto"/>
        <w:jc w:val="both"/>
        <w:rPr>
          <w:rFonts w:cs="Arial"/>
          <w:sz w:val="22"/>
          <w:szCs w:val="22"/>
        </w:rPr>
      </w:pPr>
    </w:p>
    <w:p w14:paraId="0B26FF8F" w14:textId="77777777" w:rsidR="00B46B0F" w:rsidRPr="00AD33B4" w:rsidRDefault="00B46B0F" w:rsidP="00303322">
      <w:pPr>
        <w:pStyle w:val="ListParagraph"/>
        <w:numPr>
          <w:ilvl w:val="0"/>
          <w:numId w:val="4"/>
        </w:numPr>
        <w:shd w:val="clear" w:color="auto" w:fill="BFBFBF" w:themeFill="background1" w:themeFillShade="BF"/>
        <w:ind w:left="426" w:hanging="426"/>
        <w:jc w:val="both"/>
        <w:rPr>
          <w:b/>
          <w:sz w:val="24"/>
          <w:szCs w:val="24"/>
        </w:rPr>
      </w:pPr>
      <w:r w:rsidRPr="00AD33B4">
        <w:rPr>
          <w:b/>
          <w:sz w:val="24"/>
          <w:szCs w:val="24"/>
        </w:rPr>
        <w:t>INTRODUCTION</w:t>
      </w:r>
    </w:p>
    <w:p w14:paraId="7226BAD5" w14:textId="77777777" w:rsidR="00CE75EB" w:rsidRPr="00AD33B4" w:rsidRDefault="00CE75EB" w:rsidP="0053048E">
      <w:pPr>
        <w:jc w:val="both"/>
        <w:rPr>
          <w:b/>
          <w:sz w:val="24"/>
          <w:szCs w:val="24"/>
        </w:rPr>
      </w:pPr>
    </w:p>
    <w:p w14:paraId="095BE694" w14:textId="14F6FC16" w:rsidR="00111A82" w:rsidRPr="009D6A3B" w:rsidRDefault="00EB56C9" w:rsidP="00ED6ED5">
      <w:pPr>
        <w:spacing w:line="276" w:lineRule="auto"/>
        <w:jc w:val="both"/>
        <w:rPr>
          <w:rFonts w:eastAsia="Calibri" w:cs="Arial"/>
          <w:sz w:val="22"/>
          <w:szCs w:val="22"/>
          <w:lang w:val="en-US"/>
        </w:rPr>
      </w:pPr>
      <w:r w:rsidRPr="001A60AD">
        <w:rPr>
          <w:rFonts w:eastAsia="Calibri" w:cs="Arial"/>
          <w:sz w:val="22"/>
          <w:szCs w:val="22"/>
          <w:lang w:val="en-US"/>
        </w:rPr>
        <w:t xml:space="preserve">The </w:t>
      </w:r>
      <w:r w:rsidR="00C66EBD" w:rsidRPr="001A60AD">
        <w:rPr>
          <w:rFonts w:eastAsia="Calibri" w:cs="Arial"/>
          <w:sz w:val="22"/>
          <w:szCs w:val="22"/>
          <w:lang w:val="en-US"/>
        </w:rPr>
        <w:t xml:space="preserve">Economic Development, Environment, Agriculture and Rural Development Portfolio Committee </w:t>
      </w:r>
      <w:r w:rsidR="00B46B0F" w:rsidRPr="001A60AD">
        <w:rPr>
          <w:rFonts w:eastAsia="Calibri" w:cs="Arial"/>
          <w:sz w:val="22"/>
          <w:szCs w:val="22"/>
          <w:lang w:val="en-US"/>
        </w:rPr>
        <w:t xml:space="preserve">exercises oversight over the Gauteng Department of Agriculture and Rural Development (GDARD) herein referred </w:t>
      </w:r>
      <w:r w:rsidR="00315730" w:rsidRPr="001A60AD">
        <w:rPr>
          <w:rFonts w:eastAsia="Calibri" w:cs="Arial"/>
          <w:sz w:val="22"/>
          <w:szCs w:val="22"/>
          <w:lang w:val="en-US"/>
        </w:rPr>
        <w:t xml:space="preserve">to </w:t>
      </w:r>
      <w:r w:rsidR="00B46B0F" w:rsidRPr="001A60AD">
        <w:rPr>
          <w:rFonts w:eastAsia="Calibri" w:cs="Arial"/>
          <w:sz w:val="22"/>
          <w:szCs w:val="22"/>
          <w:lang w:val="en-US"/>
        </w:rPr>
        <w:t xml:space="preserve">as the Department. This includes planning, budgeting, financial management and reporting by </w:t>
      </w:r>
      <w:r w:rsidR="0009512A" w:rsidRPr="001A60AD">
        <w:rPr>
          <w:rFonts w:eastAsia="Calibri" w:cs="Arial"/>
          <w:sz w:val="22"/>
          <w:szCs w:val="22"/>
          <w:lang w:val="en-US"/>
        </w:rPr>
        <w:t>the Department</w:t>
      </w:r>
      <w:r w:rsidR="00B46B0F" w:rsidRPr="001A60AD">
        <w:rPr>
          <w:rFonts w:eastAsia="Calibri" w:cs="Arial"/>
          <w:sz w:val="22"/>
          <w:szCs w:val="22"/>
          <w:lang w:val="en-US"/>
        </w:rPr>
        <w:t>. In line with the provisions of the Constitution of the Republic of South Africa (1996), the Public Finance Management Act</w:t>
      </w:r>
      <w:r w:rsidR="00847619">
        <w:rPr>
          <w:rFonts w:eastAsia="Calibri" w:cs="Arial"/>
          <w:sz w:val="22"/>
          <w:szCs w:val="22"/>
          <w:lang w:val="en-US"/>
        </w:rPr>
        <w:t xml:space="preserve"> </w:t>
      </w:r>
      <w:r w:rsidR="00B46B0F" w:rsidRPr="001A60AD">
        <w:rPr>
          <w:rFonts w:eastAsia="Calibri" w:cs="Arial"/>
          <w:sz w:val="22"/>
          <w:szCs w:val="22"/>
          <w:lang w:val="en-US"/>
        </w:rPr>
        <w:t>(1999) creates the basis on which oversight by Legislatures should be exercised. It clearly outlines areas of service delivery that should be reported on, including the responsibilities of officials and the role of the Legislature in cases where reports have to be tabled.</w:t>
      </w:r>
      <w:r w:rsidR="00847619">
        <w:rPr>
          <w:rFonts w:eastAsia="Calibri" w:cs="Arial"/>
          <w:sz w:val="22"/>
          <w:szCs w:val="22"/>
          <w:lang w:val="en-US"/>
        </w:rPr>
        <w:t xml:space="preserve"> </w:t>
      </w:r>
      <w:r w:rsidR="00B46B0F" w:rsidRPr="001A60AD">
        <w:rPr>
          <w:rFonts w:cs="Arial"/>
          <w:sz w:val="22"/>
          <w:szCs w:val="22"/>
        </w:rPr>
        <w:t xml:space="preserve">This report primarily focuses on examining whether the budget allocated to </w:t>
      </w:r>
      <w:r w:rsidR="001A60AD">
        <w:rPr>
          <w:rFonts w:cs="Arial"/>
          <w:sz w:val="22"/>
          <w:szCs w:val="22"/>
        </w:rPr>
        <w:t xml:space="preserve">the Department </w:t>
      </w:r>
      <w:r w:rsidR="001A60AD" w:rsidRPr="001A60AD">
        <w:rPr>
          <w:rFonts w:cs="Arial"/>
          <w:sz w:val="22"/>
          <w:szCs w:val="22"/>
        </w:rPr>
        <w:t>is</w:t>
      </w:r>
      <w:r w:rsidR="00B46B0F" w:rsidRPr="001A60AD">
        <w:rPr>
          <w:rFonts w:cs="Arial"/>
          <w:sz w:val="22"/>
          <w:szCs w:val="22"/>
        </w:rPr>
        <w:t xml:space="preserve"> aligned to key government strategic priorities. Furthermore, the report assesses whether the objectives of </w:t>
      </w:r>
      <w:r w:rsidR="001A60AD">
        <w:rPr>
          <w:rFonts w:cs="Arial"/>
          <w:sz w:val="22"/>
          <w:szCs w:val="22"/>
        </w:rPr>
        <w:t xml:space="preserve">the Department </w:t>
      </w:r>
      <w:r w:rsidR="00B46B0F" w:rsidRPr="001A60AD">
        <w:rPr>
          <w:rFonts w:cs="Arial"/>
          <w:sz w:val="22"/>
          <w:szCs w:val="22"/>
        </w:rPr>
        <w:t xml:space="preserve">correlate with the intended outputs as well as outcomes. </w:t>
      </w:r>
    </w:p>
    <w:p w14:paraId="6F85160C" w14:textId="77777777" w:rsidR="00111A82" w:rsidRDefault="00111A82" w:rsidP="00ED6ED5">
      <w:pPr>
        <w:spacing w:line="276" w:lineRule="auto"/>
        <w:jc w:val="both"/>
        <w:rPr>
          <w:rFonts w:cs="Arial"/>
          <w:sz w:val="22"/>
          <w:szCs w:val="22"/>
        </w:rPr>
      </w:pPr>
    </w:p>
    <w:p w14:paraId="6D4918CB" w14:textId="25A96B46" w:rsidR="007C1B81" w:rsidRDefault="00E473D8" w:rsidP="00ED6ED5">
      <w:pPr>
        <w:spacing w:line="276" w:lineRule="auto"/>
        <w:jc w:val="both"/>
        <w:rPr>
          <w:rFonts w:cs="Arial"/>
          <w:sz w:val="22"/>
          <w:szCs w:val="22"/>
        </w:rPr>
      </w:pPr>
      <w:r w:rsidRPr="00E473D8">
        <w:rPr>
          <w:rFonts w:cs="Arial"/>
          <w:sz w:val="22"/>
          <w:szCs w:val="22"/>
        </w:rPr>
        <w:t>The</w:t>
      </w:r>
      <w:r w:rsidRPr="009F2470">
        <w:rPr>
          <w:rFonts w:cs="Arial"/>
          <w:sz w:val="22"/>
          <w:szCs w:val="22"/>
        </w:rPr>
        <w:t xml:space="preserve"> </w:t>
      </w:r>
      <w:r w:rsidR="007C1B81" w:rsidRPr="009F2470">
        <w:rPr>
          <w:rFonts w:cs="Arial"/>
          <w:sz w:val="22"/>
          <w:szCs w:val="22"/>
        </w:rPr>
        <w:t xml:space="preserve">sixth </w:t>
      </w:r>
      <w:r w:rsidRPr="009F2470">
        <w:rPr>
          <w:rFonts w:cs="Arial"/>
          <w:sz w:val="22"/>
          <w:szCs w:val="22"/>
        </w:rPr>
        <w:t xml:space="preserve">administration </w:t>
      </w:r>
      <w:r w:rsidRPr="00E473D8">
        <w:rPr>
          <w:rFonts w:cs="Arial"/>
          <w:sz w:val="22"/>
          <w:szCs w:val="22"/>
        </w:rPr>
        <w:t xml:space="preserve">has adopted a ten-pillar programme of radical transformation, </w:t>
      </w:r>
      <w:r w:rsidR="00D977C3" w:rsidRPr="00E473D8">
        <w:rPr>
          <w:rFonts w:cs="Arial"/>
          <w:sz w:val="22"/>
          <w:szCs w:val="22"/>
        </w:rPr>
        <w:t>modernization,</w:t>
      </w:r>
      <w:r w:rsidRPr="00E473D8">
        <w:rPr>
          <w:rFonts w:cs="Arial"/>
          <w:sz w:val="22"/>
          <w:szCs w:val="22"/>
        </w:rPr>
        <w:t xml:space="preserve"> and reindustrialization of Gauteng.  The Department of Agriculture and Rural development would </w:t>
      </w:r>
      <w:r w:rsidR="007C1B81">
        <w:rPr>
          <w:rFonts w:cs="Arial"/>
          <w:sz w:val="22"/>
          <w:szCs w:val="22"/>
        </w:rPr>
        <w:t xml:space="preserve">respond to five of the programme’s </w:t>
      </w:r>
      <w:r w:rsidR="00CD2323">
        <w:rPr>
          <w:rFonts w:cs="Arial"/>
          <w:sz w:val="22"/>
          <w:szCs w:val="22"/>
        </w:rPr>
        <w:t>ten</w:t>
      </w:r>
      <w:r w:rsidR="007C1B81">
        <w:rPr>
          <w:rFonts w:cs="Arial"/>
          <w:sz w:val="22"/>
          <w:szCs w:val="22"/>
        </w:rPr>
        <w:t xml:space="preserve"> pillars; </w:t>
      </w:r>
    </w:p>
    <w:p w14:paraId="15295EBD" w14:textId="77777777" w:rsidR="007C1B81" w:rsidRDefault="007C1B81" w:rsidP="00ED6ED5">
      <w:pPr>
        <w:spacing w:line="276" w:lineRule="auto"/>
        <w:jc w:val="both"/>
        <w:rPr>
          <w:rFonts w:cs="Arial"/>
          <w:sz w:val="22"/>
          <w:szCs w:val="22"/>
        </w:rPr>
      </w:pPr>
    </w:p>
    <w:p w14:paraId="15269661" w14:textId="77BD3DD2" w:rsidR="007C1B81" w:rsidRPr="007C1B81" w:rsidRDefault="007C1B81" w:rsidP="00ED6ED5">
      <w:pPr>
        <w:pStyle w:val="ListParagraph"/>
        <w:numPr>
          <w:ilvl w:val="0"/>
          <w:numId w:val="12"/>
        </w:numPr>
        <w:spacing w:line="276" w:lineRule="auto"/>
        <w:jc w:val="both"/>
        <w:rPr>
          <w:rFonts w:cs="Arial"/>
          <w:sz w:val="22"/>
          <w:szCs w:val="22"/>
        </w:rPr>
      </w:pPr>
      <w:r w:rsidRPr="007C1B81">
        <w:rPr>
          <w:rFonts w:cs="Arial"/>
          <w:sz w:val="22"/>
          <w:szCs w:val="22"/>
        </w:rPr>
        <w:t>Pillar 1: Radical Economic Transformation;</w:t>
      </w:r>
    </w:p>
    <w:p w14:paraId="0463BEEA" w14:textId="50CF0F48" w:rsidR="007C1B81" w:rsidRPr="007C1B81" w:rsidRDefault="007C1B81" w:rsidP="00ED6ED5">
      <w:pPr>
        <w:pStyle w:val="ListParagraph"/>
        <w:numPr>
          <w:ilvl w:val="0"/>
          <w:numId w:val="12"/>
        </w:numPr>
        <w:spacing w:line="276" w:lineRule="auto"/>
        <w:jc w:val="both"/>
        <w:rPr>
          <w:rFonts w:cs="Arial"/>
          <w:sz w:val="22"/>
          <w:szCs w:val="22"/>
        </w:rPr>
      </w:pPr>
      <w:r w:rsidRPr="007C1B81">
        <w:rPr>
          <w:rFonts w:cs="Arial"/>
          <w:sz w:val="22"/>
          <w:szCs w:val="22"/>
        </w:rPr>
        <w:t>Pillar 2: Decisive Spatial Transformation;</w:t>
      </w:r>
    </w:p>
    <w:p w14:paraId="019FC8EA" w14:textId="76C0A4E2" w:rsidR="007C1B81" w:rsidRPr="007C1B81" w:rsidRDefault="007C1B81" w:rsidP="00ED6ED5">
      <w:pPr>
        <w:pStyle w:val="ListParagraph"/>
        <w:numPr>
          <w:ilvl w:val="0"/>
          <w:numId w:val="12"/>
        </w:numPr>
        <w:spacing w:line="276" w:lineRule="auto"/>
        <w:jc w:val="both"/>
        <w:rPr>
          <w:rFonts w:cs="Arial"/>
          <w:sz w:val="22"/>
          <w:szCs w:val="22"/>
        </w:rPr>
      </w:pPr>
      <w:r w:rsidRPr="007C1B81">
        <w:rPr>
          <w:rFonts w:cs="Arial"/>
          <w:sz w:val="22"/>
          <w:szCs w:val="22"/>
        </w:rPr>
        <w:t>Pillar 3: Accelerated Social Transformation;</w:t>
      </w:r>
    </w:p>
    <w:p w14:paraId="69EB6B6F" w14:textId="414B58D0" w:rsidR="007C1B81" w:rsidRPr="007C1B81" w:rsidRDefault="007C1B81" w:rsidP="00ED6ED5">
      <w:pPr>
        <w:pStyle w:val="ListParagraph"/>
        <w:numPr>
          <w:ilvl w:val="0"/>
          <w:numId w:val="12"/>
        </w:numPr>
        <w:spacing w:line="276" w:lineRule="auto"/>
        <w:jc w:val="both"/>
        <w:rPr>
          <w:rFonts w:cs="Arial"/>
          <w:sz w:val="22"/>
          <w:szCs w:val="22"/>
        </w:rPr>
      </w:pPr>
      <w:r w:rsidRPr="007C1B81">
        <w:rPr>
          <w:rFonts w:cs="Arial"/>
          <w:sz w:val="22"/>
          <w:szCs w:val="22"/>
        </w:rPr>
        <w:t>Pillar 6: Modernisation of the Economy; and</w:t>
      </w:r>
    </w:p>
    <w:p w14:paraId="0DAE6EB1" w14:textId="0CCD630E" w:rsidR="007C1B81" w:rsidRPr="007C1B81" w:rsidRDefault="007C1B81" w:rsidP="00ED6ED5">
      <w:pPr>
        <w:pStyle w:val="ListParagraph"/>
        <w:numPr>
          <w:ilvl w:val="0"/>
          <w:numId w:val="12"/>
        </w:numPr>
        <w:spacing w:line="276" w:lineRule="auto"/>
        <w:jc w:val="both"/>
        <w:rPr>
          <w:rFonts w:cs="Arial"/>
          <w:sz w:val="22"/>
          <w:szCs w:val="22"/>
        </w:rPr>
      </w:pPr>
      <w:r w:rsidRPr="007C1B81">
        <w:rPr>
          <w:rFonts w:cs="Arial"/>
          <w:sz w:val="22"/>
          <w:szCs w:val="22"/>
        </w:rPr>
        <w:t>Pillar 7: Modernisation of Human Settlements and Urban Development.</w:t>
      </w:r>
    </w:p>
    <w:p w14:paraId="62FF0BF8" w14:textId="6D7B23E6" w:rsidR="007C1B81" w:rsidRDefault="007C1B81" w:rsidP="00ED6ED5">
      <w:pPr>
        <w:spacing w:line="276" w:lineRule="auto"/>
        <w:jc w:val="both"/>
        <w:rPr>
          <w:rFonts w:cs="Arial"/>
          <w:sz w:val="22"/>
          <w:szCs w:val="22"/>
        </w:rPr>
      </w:pPr>
    </w:p>
    <w:p w14:paraId="060D064D" w14:textId="77777777" w:rsidR="00B46B0F" w:rsidRPr="001A60AD" w:rsidRDefault="00B46B0F" w:rsidP="00ED6ED5">
      <w:pPr>
        <w:spacing w:line="276" w:lineRule="auto"/>
        <w:jc w:val="both"/>
        <w:rPr>
          <w:rFonts w:cs="Arial"/>
          <w:sz w:val="22"/>
          <w:szCs w:val="22"/>
        </w:rPr>
      </w:pPr>
      <w:r w:rsidRPr="001A60AD">
        <w:rPr>
          <w:rFonts w:cs="Arial"/>
          <w:sz w:val="22"/>
          <w:szCs w:val="22"/>
        </w:rPr>
        <w:t xml:space="preserve">The Gauteng Provincial Legislature’s oversight methodology stipulates that when </w:t>
      </w:r>
      <w:r w:rsidR="005F5CAD" w:rsidRPr="001A60AD">
        <w:rPr>
          <w:rFonts w:cs="Arial"/>
          <w:sz w:val="22"/>
          <w:szCs w:val="22"/>
        </w:rPr>
        <w:t>analysing</w:t>
      </w:r>
      <w:r w:rsidRPr="001A60AD">
        <w:rPr>
          <w:rFonts w:cs="Arial"/>
          <w:sz w:val="22"/>
          <w:szCs w:val="22"/>
        </w:rPr>
        <w:t xml:space="preserve"> the budget, the variables of the Se</w:t>
      </w:r>
      <w:r w:rsidR="00EB56C9" w:rsidRPr="001A60AD">
        <w:rPr>
          <w:rFonts w:cs="Arial"/>
          <w:sz w:val="22"/>
          <w:szCs w:val="22"/>
        </w:rPr>
        <w:t>ctor</w:t>
      </w:r>
      <w:r w:rsidRPr="001A60AD">
        <w:rPr>
          <w:rFonts w:cs="Arial"/>
          <w:sz w:val="22"/>
          <w:szCs w:val="22"/>
        </w:rPr>
        <w:t xml:space="preserve"> Oversight Model (SOM) must be considered. Given that SOM variables are interrelated, </w:t>
      </w:r>
      <w:r w:rsidR="00315730" w:rsidRPr="001A60AD">
        <w:rPr>
          <w:rFonts w:cs="Arial"/>
          <w:sz w:val="22"/>
          <w:szCs w:val="22"/>
        </w:rPr>
        <w:t xml:space="preserve">this </w:t>
      </w:r>
      <w:r w:rsidRPr="001A60AD">
        <w:rPr>
          <w:rFonts w:cs="Arial"/>
          <w:sz w:val="22"/>
          <w:szCs w:val="22"/>
        </w:rPr>
        <w:t>means that priorities, inputs (capital and current), outputs and outcomes should be considered</w:t>
      </w:r>
      <w:r w:rsidR="00CB0719" w:rsidRPr="001A60AD">
        <w:rPr>
          <w:rFonts w:cs="Arial"/>
          <w:sz w:val="22"/>
          <w:szCs w:val="22"/>
        </w:rPr>
        <w:t>.</w:t>
      </w:r>
    </w:p>
    <w:p w14:paraId="3CB761DC" w14:textId="77777777" w:rsidR="00B46B0F" w:rsidRPr="00AD33B4" w:rsidRDefault="00B46B0F" w:rsidP="00E3468B">
      <w:pPr>
        <w:jc w:val="both"/>
        <w:rPr>
          <w:rFonts w:cs="Arial"/>
          <w:sz w:val="22"/>
          <w:szCs w:val="22"/>
        </w:rPr>
      </w:pPr>
    </w:p>
    <w:p w14:paraId="6231FD00" w14:textId="77777777" w:rsidR="00C871C6" w:rsidRPr="00AD33B4" w:rsidRDefault="00C871C6" w:rsidP="00303322">
      <w:pPr>
        <w:pStyle w:val="BodyText"/>
        <w:numPr>
          <w:ilvl w:val="0"/>
          <w:numId w:val="4"/>
        </w:numPr>
        <w:shd w:val="clear" w:color="auto" w:fill="BFBFBF" w:themeFill="background1" w:themeFillShade="BF"/>
        <w:spacing w:line="276" w:lineRule="auto"/>
        <w:ind w:left="426" w:hanging="426"/>
        <w:rPr>
          <w:rFonts w:cs="Arial"/>
          <w:b/>
          <w:sz w:val="24"/>
          <w:szCs w:val="24"/>
        </w:rPr>
      </w:pPr>
      <w:r w:rsidRPr="00AD33B4">
        <w:rPr>
          <w:rFonts w:cs="Arial"/>
          <w:b/>
          <w:sz w:val="24"/>
          <w:szCs w:val="24"/>
        </w:rPr>
        <w:t>PROCESS FOLLOWED</w:t>
      </w:r>
    </w:p>
    <w:p w14:paraId="0CA3604C" w14:textId="77777777" w:rsidR="009F2470" w:rsidRPr="00AD33B4" w:rsidRDefault="009F2470" w:rsidP="009F2470">
      <w:pPr>
        <w:pStyle w:val="BodyText"/>
        <w:ind w:left="360"/>
        <w:rPr>
          <w:rFonts w:cs="Arial"/>
          <w:b/>
          <w:sz w:val="24"/>
          <w:szCs w:val="24"/>
        </w:rPr>
      </w:pPr>
    </w:p>
    <w:p w14:paraId="1F5512E5" w14:textId="4565A451" w:rsidR="00855A4B" w:rsidRPr="001A60AD" w:rsidRDefault="00855A4B" w:rsidP="00ED6ED5">
      <w:pPr>
        <w:pStyle w:val="BodyText"/>
        <w:numPr>
          <w:ilvl w:val="0"/>
          <w:numId w:val="1"/>
        </w:numPr>
        <w:spacing w:line="276" w:lineRule="auto"/>
        <w:ind w:left="426" w:hanging="426"/>
        <w:rPr>
          <w:rFonts w:cs="Arial"/>
          <w:sz w:val="22"/>
          <w:szCs w:val="22"/>
        </w:rPr>
      </w:pPr>
      <w:r w:rsidRPr="001A60AD">
        <w:rPr>
          <w:rFonts w:cs="Arial"/>
          <w:sz w:val="22"/>
          <w:szCs w:val="22"/>
        </w:rPr>
        <w:t>Vote 11 of the Schedule of the Provincial Appropriation Bill was formally referred by the Speaker to the Economic Development, Environment, Agriculture and Rural Development Portfolio Committee for consideration and reporting, after t</w:t>
      </w:r>
      <w:r w:rsidR="00010198" w:rsidRPr="001A60AD">
        <w:rPr>
          <w:rFonts w:cs="Arial"/>
          <w:sz w:val="22"/>
          <w:szCs w:val="22"/>
        </w:rPr>
        <w:t xml:space="preserve">abling by the MEC of Finance.  </w:t>
      </w:r>
    </w:p>
    <w:p w14:paraId="57434CBB" w14:textId="77777777" w:rsidR="00D6558B" w:rsidRDefault="00D6558B" w:rsidP="009F2470">
      <w:pPr>
        <w:pStyle w:val="ListParagraph"/>
        <w:rPr>
          <w:rFonts w:cs="Arial"/>
          <w:sz w:val="22"/>
          <w:szCs w:val="22"/>
        </w:rPr>
      </w:pPr>
    </w:p>
    <w:p w14:paraId="05E19F5E" w14:textId="7B255306" w:rsidR="00111A82" w:rsidRDefault="00D6558B" w:rsidP="00ED6ED5">
      <w:pPr>
        <w:numPr>
          <w:ilvl w:val="0"/>
          <w:numId w:val="1"/>
        </w:numPr>
        <w:spacing w:after="200" w:line="276" w:lineRule="auto"/>
        <w:ind w:left="426" w:hanging="426"/>
        <w:contextualSpacing/>
        <w:jc w:val="both"/>
        <w:rPr>
          <w:rFonts w:eastAsia="Calibri" w:cs="Arial"/>
          <w:bCs/>
          <w:sz w:val="22"/>
          <w:szCs w:val="22"/>
          <w:lang w:val="en-US"/>
        </w:rPr>
      </w:pPr>
      <w:r w:rsidRPr="00D6558B">
        <w:rPr>
          <w:rFonts w:eastAsia="Calibri" w:cs="Arial"/>
          <w:bCs/>
          <w:sz w:val="22"/>
          <w:szCs w:val="22"/>
          <w:lang w:val="en-US"/>
        </w:rPr>
        <w:t xml:space="preserve">On </w:t>
      </w:r>
      <w:r w:rsidR="005601C3">
        <w:rPr>
          <w:rFonts w:eastAsia="Calibri" w:cs="Arial"/>
          <w:bCs/>
          <w:sz w:val="22"/>
          <w:szCs w:val="22"/>
          <w:lang w:val="en-US"/>
        </w:rPr>
        <w:t>Wednesday</w:t>
      </w:r>
      <w:r w:rsidRPr="00D6558B">
        <w:rPr>
          <w:rFonts w:eastAsia="Calibri" w:cs="Arial"/>
          <w:bCs/>
          <w:sz w:val="22"/>
          <w:szCs w:val="22"/>
          <w:lang w:val="en-US"/>
        </w:rPr>
        <w:t xml:space="preserve">, </w:t>
      </w:r>
      <w:r w:rsidR="00AC4BF9">
        <w:rPr>
          <w:rFonts w:eastAsia="Calibri" w:cs="Arial"/>
          <w:bCs/>
          <w:sz w:val="22"/>
          <w:szCs w:val="22"/>
          <w:lang w:val="en-US"/>
        </w:rPr>
        <w:t>4</w:t>
      </w:r>
      <w:r w:rsidR="00EB1123" w:rsidRPr="00EB1123">
        <w:rPr>
          <w:rFonts w:eastAsia="Calibri" w:cs="Arial"/>
          <w:bCs/>
          <w:sz w:val="22"/>
          <w:szCs w:val="22"/>
          <w:vertAlign w:val="superscript"/>
          <w:lang w:val="en-US"/>
        </w:rPr>
        <w:t>th</w:t>
      </w:r>
      <w:r w:rsidR="00EB1123">
        <w:rPr>
          <w:rFonts w:eastAsia="Calibri" w:cs="Arial"/>
          <w:bCs/>
          <w:sz w:val="22"/>
          <w:szCs w:val="22"/>
          <w:lang w:val="en-US"/>
        </w:rPr>
        <w:t xml:space="preserve"> </w:t>
      </w:r>
      <w:r w:rsidR="00262DA6">
        <w:rPr>
          <w:rFonts w:eastAsia="Calibri" w:cs="Arial"/>
          <w:bCs/>
          <w:sz w:val="22"/>
          <w:szCs w:val="22"/>
          <w:lang w:val="en-US"/>
        </w:rPr>
        <w:t>May 202</w:t>
      </w:r>
      <w:r w:rsidR="00BA1814">
        <w:rPr>
          <w:rFonts w:eastAsia="Calibri" w:cs="Arial"/>
          <w:bCs/>
          <w:sz w:val="22"/>
          <w:szCs w:val="22"/>
          <w:lang w:val="en-US"/>
        </w:rPr>
        <w:t>2</w:t>
      </w:r>
      <w:r w:rsidRPr="00D6558B">
        <w:rPr>
          <w:rFonts w:eastAsia="Calibri" w:cs="Arial"/>
          <w:bCs/>
          <w:sz w:val="22"/>
          <w:szCs w:val="22"/>
          <w:lang w:val="en-US"/>
        </w:rPr>
        <w:t xml:space="preserve"> the Committee Researcher tabled </w:t>
      </w:r>
      <w:r>
        <w:rPr>
          <w:rFonts w:eastAsia="Calibri" w:cs="Arial"/>
          <w:bCs/>
          <w:sz w:val="22"/>
          <w:szCs w:val="22"/>
          <w:lang w:val="en-US"/>
        </w:rPr>
        <w:t xml:space="preserve">the research </w:t>
      </w:r>
      <w:r w:rsidR="00CD2323">
        <w:rPr>
          <w:rFonts w:eastAsia="Calibri" w:cs="Arial"/>
          <w:bCs/>
          <w:sz w:val="22"/>
          <w:szCs w:val="22"/>
          <w:lang w:val="en-US"/>
        </w:rPr>
        <w:t xml:space="preserve">analysis </w:t>
      </w:r>
      <w:r>
        <w:rPr>
          <w:rFonts w:eastAsia="Calibri" w:cs="Arial"/>
          <w:bCs/>
          <w:sz w:val="22"/>
          <w:szCs w:val="22"/>
          <w:lang w:val="en-US"/>
        </w:rPr>
        <w:t>for discussion by the Portfolio Committee</w:t>
      </w:r>
      <w:r w:rsidR="00111A82">
        <w:rPr>
          <w:rFonts w:eastAsia="Calibri" w:cs="Arial"/>
          <w:bCs/>
          <w:sz w:val="22"/>
          <w:szCs w:val="22"/>
          <w:lang w:val="en-US"/>
        </w:rPr>
        <w:t>.</w:t>
      </w:r>
    </w:p>
    <w:p w14:paraId="3A3A936B" w14:textId="77777777" w:rsidR="00111A82" w:rsidRDefault="00111A82" w:rsidP="00111A82">
      <w:pPr>
        <w:spacing w:after="200" w:line="276" w:lineRule="auto"/>
        <w:ind w:left="426"/>
        <w:contextualSpacing/>
        <w:jc w:val="both"/>
        <w:rPr>
          <w:rFonts w:eastAsia="Calibri" w:cs="Arial"/>
          <w:bCs/>
          <w:sz w:val="22"/>
          <w:szCs w:val="22"/>
          <w:lang w:val="en-US"/>
        </w:rPr>
      </w:pPr>
    </w:p>
    <w:p w14:paraId="59592770" w14:textId="24F051B3" w:rsidR="00D6558B" w:rsidRPr="00D6558B" w:rsidRDefault="00D6558B" w:rsidP="00ED6ED5">
      <w:pPr>
        <w:numPr>
          <w:ilvl w:val="0"/>
          <w:numId w:val="1"/>
        </w:numPr>
        <w:spacing w:after="200" w:line="276" w:lineRule="auto"/>
        <w:ind w:left="426" w:hanging="426"/>
        <w:contextualSpacing/>
        <w:jc w:val="both"/>
        <w:rPr>
          <w:rFonts w:eastAsia="Calibri" w:cs="Arial"/>
          <w:bCs/>
          <w:sz w:val="22"/>
          <w:szCs w:val="22"/>
          <w:lang w:val="en-US"/>
        </w:rPr>
      </w:pPr>
      <w:r w:rsidRPr="00D6558B">
        <w:rPr>
          <w:rFonts w:eastAsia="Calibri" w:cs="Arial"/>
          <w:bCs/>
          <w:sz w:val="22"/>
          <w:szCs w:val="22"/>
          <w:lang w:val="en-US"/>
        </w:rPr>
        <w:t xml:space="preserve">On </w:t>
      </w:r>
      <w:r w:rsidR="00F07CC0">
        <w:rPr>
          <w:rFonts w:eastAsia="Calibri" w:cs="Arial"/>
          <w:bCs/>
          <w:sz w:val="22"/>
          <w:szCs w:val="22"/>
          <w:lang w:val="en-US"/>
        </w:rPr>
        <w:t>T</w:t>
      </w:r>
      <w:r w:rsidR="005601C3">
        <w:rPr>
          <w:rFonts w:eastAsia="Calibri" w:cs="Arial"/>
          <w:bCs/>
          <w:sz w:val="22"/>
          <w:szCs w:val="22"/>
          <w:lang w:val="en-US"/>
        </w:rPr>
        <w:t>hursday</w:t>
      </w:r>
      <w:r w:rsidR="00262DA6">
        <w:rPr>
          <w:rFonts w:eastAsia="Calibri" w:cs="Arial"/>
          <w:bCs/>
          <w:sz w:val="22"/>
          <w:szCs w:val="22"/>
          <w:lang w:val="en-US"/>
        </w:rPr>
        <w:t xml:space="preserve">, </w:t>
      </w:r>
      <w:r w:rsidR="00F07CC0">
        <w:rPr>
          <w:rFonts w:eastAsia="Calibri" w:cs="Arial"/>
          <w:bCs/>
          <w:sz w:val="22"/>
          <w:szCs w:val="22"/>
          <w:lang w:val="en-US"/>
        </w:rPr>
        <w:t>5</w:t>
      </w:r>
      <w:r w:rsidR="00F07CC0" w:rsidRPr="00F07CC0">
        <w:rPr>
          <w:rFonts w:eastAsia="Calibri" w:cs="Arial"/>
          <w:bCs/>
          <w:sz w:val="22"/>
          <w:szCs w:val="22"/>
          <w:vertAlign w:val="superscript"/>
          <w:lang w:val="en-US"/>
        </w:rPr>
        <w:t>th</w:t>
      </w:r>
      <w:r w:rsidR="00F07CC0">
        <w:rPr>
          <w:rFonts w:eastAsia="Calibri" w:cs="Arial"/>
          <w:bCs/>
          <w:sz w:val="22"/>
          <w:szCs w:val="22"/>
          <w:lang w:val="en-US"/>
        </w:rPr>
        <w:t xml:space="preserve"> </w:t>
      </w:r>
      <w:r w:rsidR="00EB1123">
        <w:rPr>
          <w:rFonts w:eastAsia="Calibri" w:cs="Arial"/>
          <w:bCs/>
          <w:sz w:val="22"/>
          <w:szCs w:val="22"/>
          <w:lang w:val="en-US"/>
        </w:rPr>
        <w:t>May 202</w:t>
      </w:r>
      <w:r w:rsidR="000825DD">
        <w:rPr>
          <w:rFonts w:eastAsia="Calibri" w:cs="Arial"/>
          <w:bCs/>
          <w:sz w:val="22"/>
          <w:szCs w:val="22"/>
          <w:lang w:val="en-US"/>
        </w:rPr>
        <w:t>2</w:t>
      </w:r>
      <w:r w:rsidRPr="00D6558B">
        <w:rPr>
          <w:rFonts w:eastAsia="Calibri" w:cs="Arial"/>
          <w:bCs/>
          <w:sz w:val="22"/>
          <w:szCs w:val="22"/>
          <w:lang w:val="en-US"/>
        </w:rPr>
        <w:t xml:space="preserve"> the Gauteng Department of Agriculture and Rural Development presented the </w:t>
      </w:r>
      <w:r w:rsidR="0079318E">
        <w:rPr>
          <w:rFonts w:eastAsia="Calibri" w:cs="Arial"/>
          <w:bCs/>
          <w:sz w:val="22"/>
          <w:szCs w:val="22"/>
          <w:lang w:val="en-US"/>
        </w:rPr>
        <w:t>b</w:t>
      </w:r>
      <w:r>
        <w:rPr>
          <w:rFonts w:eastAsia="Calibri" w:cs="Arial"/>
          <w:bCs/>
          <w:sz w:val="22"/>
          <w:szCs w:val="22"/>
          <w:lang w:val="en-US"/>
        </w:rPr>
        <w:t xml:space="preserve">udget </w:t>
      </w:r>
      <w:r w:rsidR="0079318E">
        <w:rPr>
          <w:rFonts w:eastAsia="Calibri" w:cs="Arial"/>
          <w:bCs/>
          <w:sz w:val="22"/>
          <w:szCs w:val="22"/>
          <w:lang w:val="en-US"/>
        </w:rPr>
        <w:t>a</w:t>
      </w:r>
      <w:r>
        <w:rPr>
          <w:rFonts w:eastAsia="Calibri" w:cs="Arial"/>
          <w:bCs/>
          <w:sz w:val="22"/>
          <w:szCs w:val="22"/>
          <w:lang w:val="en-US"/>
        </w:rPr>
        <w:t xml:space="preserve">llocation to the Committee. </w:t>
      </w:r>
      <w:r w:rsidRPr="00D6558B">
        <w:rPr>
          <w:rFonts w:eastAsia="Calibri" w:cs="Arial"/>
          <w:bCs/>
          <w:sz w:val="22"/>
          <w:szCs w:val="22"/>
          <w:lang w:val="en-US"/>
        </w:rPr>
        <w:t xml:space="preserve"> </w:t>
      </w:r>
    </w:p>
    <w:p w14:paraId="7D0DE7CA" w14:textId="327B0A22" w:rsidR="00684E90" w:rsidRDefault="002B5765" w:rsidP="00276AC1">
      <w:pPr>
        <w:pStyle w:val="BodyText"/>
        <w:numPr>
          <w:ilvl w:val="0"/>
          <w:numId w:val="1"/>
        </w:numPr>
        <w:spacing w:line="276" w:lineRule="auto"/>
        <w:ind w:left="426" w:hanging="426"/>
        <w:rPr>
          <w:rFonts w:cs="Arial"/>
          <w:sz w:val="22"/>
          <w:szCs w:val="22"/>
        </w:rPr>
      </w:pPr>
      <w:r w:rsidRPr="001A60AD">
        <w:rPr>
          <w:rFonts w:cs="Arial"/>
          <w:sz w:val="22"/>
          <w:szCs w:val="22"/>
        </w:rPr>
        <w:t>On</w:t>
      </w:r>
      <w:r w:rsidR="008B3F71" w:rsidRPr="001A60AD">
        <w:rPr>
          <w:rFonts w:cs="Arial"/>
          <w:sz w:val="22"/>
          <w:szCs w:val="22"/>
        </w:rPr>
        <w:t xml:space="preserve"> </w:t>
      </w:r>
      <w:r w:rsidR="005601C3">
        <w:rPr>
          <w:rFonts w:cs="Arial"/>
          <w:sz w:val="22"/>
          <w:szCs w:val="22"/>
        </w:rPr>
        <w:t>Friday</w:t>
      </w:r>
      <w:r w:rsidR="00855A4B" w:rsidRPr="001A60AD">
        <w:rPr>
          <w:rFonts w:cs="Arial"/>
          <w:sz w:val="22"/>
          <w:szCs w:val="22"/>
        </w:rPr>
        <w:t xml:space="preserve">, </w:t>
      </w:r>
      <w:r w:rsidR="00262DA6">
        <w:rPr>
          <w:rFonts w:cs="Arial"/>
          <w:sz w:val="22"/>
          <w:szCs w:val="22"/>
        </w:rPr>
        <w:t>1</w:t>
      </w:r>
      <w:r w:rsidR="005601C3">
        <w:rPr>
          <w:rFonts w:cs="Arial"/>
          <w:sz w:val="22"/>
          <w:szCs w:val="22"/>
        </w:rPr>
        <w:t>3</w:t>
      </w:r>
      <w:r w:rsidR="00262DA6" w:rsidRPr="00262DA6">
        <w:rPr>
          <w:rFonts w:cs="Arial"/>
          <w:sz w:val="22"/>
          <w:szCs w:val="22"/>
          <w:vertAlign w:val="superscript"/>
        </w:rPr>
        <w:t>th</w:t>
      </w:r>
      <w:r w:rsidR="00262DA6">
        <w:rPr>
          <w:rFonts w:cs="Arial"/>
          <w:sz w:val="22"/>
          <w:szCs w:val="22"/>
        </w:rPr>
        <w:t xml:space="preserve"> </w:t>
      </w:r>
      <w:r w:rsidR="005601C3">
        <w:rPr>
          <w:rFonts w:cs="Arial"/>
          <w:sz w:val="22"/>
          <w:szCs w:val="22"/>
        </w:rPr>
        <w:t xml:space="preserve">May </w:t>
      </w:r>
      <w:r w:rsidR="00262DA6">
        <w:rPr>
          <w:rFonts w:cs="Arial"/>
          <w:sz w:val="22"/>
          <w:szCs w:val="22"/>
        </w:rPr>
        <w:t>202</w:t>
      </w:r>
      <w:r w:rsidR="000825DD">
        <w:rPr>
          <w:rFonts w:cs="Arial"/>
          <w:sz w:val="22"/>
          <w:szCs w:val="22"/>
        </w:rPr>
        <w:t>2</w:t>
      </w:r>
      <w:r w:rsidR="00E3468B" w:rsidRPr="001A60AD">
        <w:rPr>
          <w:rFonts w:cs="Arial"/>
          <w:sz w:val="22"/>
          <w:szCs w:val="22"/>
        </w:rPr>
        <w:t>;</w:t>
      </w:r>
      <w:r w:rsidR="00855A4B" w:rsidRPr="001A60AD">
        <w:rPr>
          <w:rFonts w:cs="Arial"/>
          <w:sz w:val="22"/>
          <w:szCs w:val="22"/>
        </w:rPr>
        <w:t xml:space="preserve"> the Portfolio Committee deliberated and adopted the draft oversight report. The report was submitted to the Proceedings Unit for tabling and consideration by the House</w:t>
      </w:r>
      <w:r w:rsidR="009B697B">
        <w:rPr>
          <w:rFonts w:cs="Arial"/>
          <w:sz w:val="22"/>
          <w:szCs w:val="22"/>
        </w:rPr>
        <w:t xml:space="preserve"> on </w:t>
      </w:r>
      <w:r w:rsidR="00C20E60">
        <w:rPr>
          <w:rFonts w:cs="Arial"/>
          <w:sz w:val="22"/>
          <w:szCs w:val="22"/>
        </w:rPr>
        <w:t xml:space="preserve">Friday, </w:t>
      </w:r>
      <w:r w:rsidR="00774C9D">
        <w:rPr>
          <w:rFonts w:cs="Arial"/>
          <w:sz w:val="22"/>
          <w:szCs w:val="22"/>
        </w:rPr>
        <w:t>20</w:t>
      </w:r>
      <w:r w:rsidR="00774C9D" w:rsidRPr="00774C9D">
        <w:rPr>
          <w:rFonts w:cs="Arial"/>
          <w:sz w:val="22"/>
          <w:szCs w:val="22"/>
          <w:vertAlign w:val="superscript"/>
        </w:rPr>
        <w:t>th</w:t>
      </w:r>
      <w:r w:rsidR="00774C9D">
        <w:rPr>
          <w:rFonts w:cs="Arial"/>
          <w:sz w:val="22"/>
          <w:szCs w:val="22"/>
        </w:rPr>
        <w:t xml:space="preserve"> May 2022.</w:t>
      </w:r>
      <w:r w:rsidR="00EB1123">
        <w:rPr>
          <w:rFonts w:cs="Arial"/>
          <w:sz w:val="22"/>
          <w:szCs w:val="22"/>
        </w:rPr>
        <w:t xml:space="preserve"> </w:t>
      </w:r>
    </w:p>
    <w:p w14:paraId="73A2B726" w14:textId="77777777" w:rsidR="0053048E" w:rsidRDefault="0053048E" w:rsidP="0053048E">
      <w:pPr>
        <w:pStyle w:val="BodyText"/>
        <w:spacing w:line="276" w:lineRule="auto"/>
        <w:rPr>
          <w:rFonts w:cs="Arial"/>
          <w:sz w:val="22"/>
          <w:szCs w:val="22"/>
        </w:rPr>
      </w:pPr>
    </w:p>
    <w:p w14:paraId="1FE68A20" w14:textId="77777777" w:rsidR="001C4671" w:rsidRPr="00862BDB" w:rsidRDefault="00862BDB" w:rsidP="00303322">
      <w:pPr>
        <w:pStyle w:val="BodyText"/>
        <w:numPr>
          <w:ilvl w:val="0"/>
          <w:numId w:val="4"/>
        </w:numPr>
        <w:shd w:val="clear" w:color="auto" w:fill="BFBFBF" w:themeFill="background1" w:themeFillShade="BF"/>
        <w:spacing w:line="276" w:lineRule="auto"/>
        <w:ind w:hanging="720"/>
        <w:rPr>
          <w:rFonts w:cs="Arial"/>
          <w:b/>
          <w:sz w:val="24"/>
          <w:szCs w:val="24"/>
        </w:rPr>
      </w:pPr>
      <w:r>
        <w:rPr>
          <w:rFonts w:cs="Arial"/>
          <w:b/>
          <w:sz w:val="24"/>
          <w:szCs w:val="24"/>
        </w:rPr>
        <w:t xml:space="preserve">OVERVIEW OF POLICY PRIOTITIES </w:t>
      </w:r>
    </w:p>
    <w:p w14:paraId="32E3C612" w14:textId="77777777" w:rsidR="00CE1141" w:rsidRDefault="00CE1141" w:rsidP="00CE1141">
      <w:pPr>
        <w:jc w:val="both"/>
        <w:rPr>
          <w:rFonts w:cs="Arial"/>
          <w:b/>
          <w:sz w:val="24"/>
          <w:szCs w:val="24"/>
        </w:rPr>
      </w:pPr>
    </w:p>
    <w:p w14:paraId="501686DE" w14:textId="1FD11372" w:rsidR="009C56A6" w:rsidRPr="00C723F8" w:rsidRDefault="009C56A6" w:rsidP="00C723F8">
      <w:pPr>
        <w:spacing w:line="360" w:lineRule="auto"/>
        <w:jc w:val="both"/>
        <w:rPr>
          <w:rFonts w:cs="Arial"/>
          <w:b/>
          <w:sz w:val="24"/>
          <w:szCs w:val="24"/>
        </w:rPr>
      </w:pPr>
      <w:r w:rsidRPr="00C723F8">
        <w:rPr>
          <w:rFonts w:cs="Arial"/>
          <w:b/>
          <w:sz w:val="24"/>
          <w:szCs w:val="24"/>
        </w:rPr>
        <w:t>Overview of the Policy Priorities</w:t>
      </w:r>
    </w:p>
    <w:p w14:paraId="53B6D774" w14:textId="58A61F52" w:rsidR="00984D3F" w:rsidRPr="002A0583" w:rsidRDefault="00984D3F" w:rsidP="00314E85">
      <w:pPr>
        <w:spacing w:line="276" w:lineRule="auto"/>
        <w:rPr>
          <w:rFonts w:cs="Arial"/>
          <w:sz w:val="22"/>
          <w:szCs w:val="22"/>
        </w:rPr>
      </w:pPr>
      <w:r w:rsidRPr="00984D3F">
        <w:rPr>
          <w:rFonts w:cs="Arial"/>
          <w:sz w:val="22"/>
          <w:szCs w:val="22"/>
        </w:rPr>
        <w:t>The Department’s mandate is informed by national and provincial priorities, which are outlined in the policies of both spheres of government.</w:t>
      </w:r>
    </w:p>
    <w:p w14:paraId="780C7BAE" w14:textId="77777777" w:rsidR="00984D3F" w:rsidRPr="00984D3F" w:rsidRDefault="00984D3F" w:rsidP="00314E85">
      <w:pPr>
        <w:spacing w:line="276" w:lineRule="auto"/>
        <w:rPr>
          <w:rFonts w:cs="Arial"/>
          <w:sz w:val="22"/>
          <w:szCs w:val="22"/>
        </w:rPr>
      </w:pPr>
    </w:p>
    <w:p w14:paraId="2874563B" w14:textId="77777777" w:rsidR="00984D3F" w:rsidRPr="00984D3F" w:rsidRDefault="00984D3F" w:rsidP="00314E85">
      <w:pPr>
        <w:spacing w:line="276" w:lineRule="auto"/>
        <w:jc w:val="both"/>
        <w:rPr>
          <w:rFonts w:cs="Arial"/>
          <w:b/>
          <w:sz w:val="22"/>
          <w:szCs w:val="22"/>
          <w:lang w:val="en-US"/>
        </w:rPr>
      </w:pPr>
      <w:r w:rsidRPr="00984D3F">
        <w:rPr>
          <w:rFonts w:cs="Arial"/>
          <w:b/>
          <w:sz w:val="22"/>
          <w:szCs w:val="22"/>
          <w:lang w:val="en-US"/>
        </w:rPr>
        <w:t xml:space="preserve">Policy Statement  </w:t>
      </w:r>
    </w:p>
    <w:p w14:paraId="121CEE27" w14:textId="77777777" w:rsidR="00984D3F" w:rsidRPr="00984D3F" w:rsidRDefault="00984D3F" w:rsidP="00314E85">
      <w:pPr>
        <w:numPr>
          <w:ilvl w:val="0"/>
          <w:numId w:val="31"/>
        </w:numPr>
        <w:spacing w:line="276" w:lineRule="auto"/>
        <w:jc w:val="both"/>
        <w:rPr>
          <w:rFonts w:cs="Arial"/>
          <w:b/>
          <w:bCs/>
          <w:sz w:val="22"/>
          <w:szCs w:val="22"/>
          <w:lang w:val="en-US"/>
        </w:rPr>
      </w:pPr>
      <w:r w:rsidRPr="00984D3F">
        <w:rPr>
          <w:rFonts w:cs="Arial"/>
          <w:b/>
          <w:bCs/>
          <w:sz w:val="22"/>
          <w:szCs w:val="22"/>
          <w:lang w:val="en-US"/>
        </w:rPr>
        <w:t>National Policy Statements</w:t>
      </w:r>
    </w:p>
    <w:p w14:paraId="7AE9040A" w14:textId="4F436ED8" w:rsidR="00984D3F" w:rsidRPr="00984D3F" w:rsidRDefault="00984D3F" w:rsidP="00314E85">
      <w:pPr>
        <w:spacing w:line="276" w:lineRule="auto"/>
        <w:jc w:val="both"/>
        <w:rPr>
          <w:rFonts w:cs="Arial"/>
          <w:sz w:val="22"/>
          <w:szCs w:val="22"/>
          <w:lang w:val="en-US"/>
        </w:rPr>
      </w:pPr>
      <w:r w:rsidRPr="00984D3F">
        <w:rPr>
          <w:rFonts w:cs="Arial"/>
          <w:sz w:val="22"/>
          <w:szCs w:val="22"/>
          <w:lang w:val="en-US"/>
        </w:rPr>
        <w:t xml:space="preserve">The national policy statements are drawn from the President’s State of the Nation Address (SONA) 2022 as well as the National Treasury’s Budget statement.  The President of the Republic made mention of master plan frameworks across the sugar and poultry sectors that are aimed at revitalizing the country’s economy through increased investment, improved </w:t>
      </w:r>
      <w:r w:rsidR="003D12B2" w:rsidRPr="00984D3F">
        <w:rPr>
          <w:rFonts w:cs="Arial"/>
          <w:sz w:val="22"/>
          <w:szCs w:val="22"/>
          <w:lang w:val="en-US"/>
        </w:rPr>
        <w:t>production,</w:t>
      </w:r>
      <w:r w:rsidRPr="00984D3F">
        <w:rPr>
          <w:rFonts w:cs="Arial"/>
          <w:sz w:val="22"/>
          <w:szCs w:val="22"/>
          <w:lang w:val="en-US"/>
        </w:rPr>
        <w:t xml:space="preserve"> and transformation (SONA, 2022).  The country is streamlining the regulatory processes so that the hemp and cannabis sector can thrive like it is in other countries.  The recently established Presidential Climate Commission has done work to support a just transition to a sustainable, inclusive, </w:t>
      </w:r>
      <w:r w:rsidR="003D12B2" w:rsidRPr="00984D3F">
        <w:rPr>
          <w:rFonts w:cs="Arial"/>
          <w:sz w:val="22"/>
          <w:szCs w:val="22"/>
          <w:lang w:val="en-US"/>
        </w:rPr>
        <w:t>resilient,</w:t>
      </w:r>
      <w:r w:rsidRPr="00984D3F">
        <w:rPr>
          <w:rFonts w:cs="Arial"/>
          <w:sz w:val="22"/>
          <w:szCs w:val="22"/>
          <w:lang w:val="en-US"/>
        </w:rPr>
        <w:t xml:space="preserve"> and low-carbon economy.  The government plans to expand access to land to </w:t>
      </w:r>
      <w:r w:rsidR="003D12B2" w:rsidRPr="00984D3F">
        <w:rPr>
          <w:rFonts w:cs="Arial"/>
          <w:sz w:val="22"/>
          <w:szCs w:val="22"/>
          <w:lang w:val="en-US"/>
        </w:rPr>
        <w:t>realize</w:t>
      </w:r>
      <w:r w:rsidRPr="00984D3F">
        <w:rPr>
          <w:rFonts w:cs="Arial"/>
          <w:sz w:val="22"/>
          <w:szCs w:val="22"/>
          <w:lang w:val="en-US"/>
        </w:rPr>
        <w:t xml:space="preserve"> efforts to reduce hunger and provide people with meaningful livelihoods.  The government is keen on releasing vast tracts of arable land to support millions of thriving small-scale farmers in poultry, livestock, </w:t>
      </w:r>
      <w:proofErr w:type="gramStart"/>
      <w:r w:rsidRPr="00984D3F">
        <w:rPr>
          <w:rFonts w:cs="Arial"/>
          <w:sz w:val="22"/>
          <w:szCs w:val="22"/>
          <w:lang w:val="en-US"/>
        </w:rPr>
        <w:t>fruit</w:t>
      </w:r>
      <w:proofErr w:type="gramEnd"/>
      <w:r w:rsidRPr="00984D3F">
        <w:rPr>
          <w:rFonts w:cs="Arial"/>
          <w:sz w:val="22"/>
          <w:szCs w:val="22"/>
          <w:lang w:val="en-US"/>
        </w:rPr>
        <w:t xml:space="preserve"> and vegetables (SONA, 2022).</w:t>
      </w:r>
    </w:p>
    <w:p w14:paraId="584CE479" w14:textId="77777777" w:rsidR="00984D3F" w:rsidRPr="00984D3F" w:rsidRDefault="00984D3F" w:rsidP="00314E85">
      <w:pPr>
        <w:spacing w:line="276" w:lineRule="auto"/>
        <w:jc w:val="both"/>
        <w:rPr>
          <w:rFonts w:cs="Arial"/>
          <w:sz w:val="22"/>
          <w:szCs w:val="22"/>
          <w:lang w:val="en-US"/>
        </w:rPr>
      </w:pPr>
      <w:r w:rsidRPr="00984D3F">
        <w:rPr>
          <w:rFonts w:cs="Arial"/>
          <w:sz w:val="22"/>
          <w:szCs w:val="22"/>
          <w:lang w:val="en-US"/>
        </w:rPr>
        <w:t xml:space="preserve"> </w:t>
      </w:r>
    </w:p>
    <w:p w14:paraId="18E5E514" w14:textId="77777777" w:rsidR="00984D3F" w:rsidRPr="00984D3F" w:rsidRDefault="00984D3F" w:rsidP="00314E85">
      <w:pPr>
        <w:numPr>
          <w:ilvl w:val="0"/>
          <w:numId w:val="29"/>
        </w:numPr>
        <w:spacing w:line="276" w:lineRule="auto"/>
        <w:jc w:val="both"/>
        <w:rPr>
          <w:rFonts w:cs="Arial"/>
          <w:b/>
          <w:bCs/>
          <w:sz w:val="22"/>
          <w:szCs w:val="22"/>
          <w:lang w:val="en-US"/>
        </w:rPr>
      </w:pPr>
      <w:r w:rsidRPr="00984D3F">
        <w:rPr>
          <w:rFonts w:cs="Arial"/>
          <w:b/>
          <w:bCs/>
          <w:sz w:val="22"/>
          <w:szCs w:val="22"/>
          <w:lang w:val="en-US"/>
        </w:rPr>
        <w:t>Provincial Policy Statement</w:t>
      </w:r>
    </w:p>
    <w:p w14:paraId="3AF47904" w14:textId="77777777" w:rsidR="002A4EDC" w:rsidRPr="002A0583" w:rsidRDefault="00984D3F" w:rsidP="00314E85">
      <w:pPr>
        <w:spacing w:line="276" w:lineRule="auto"/>
        <w:jc w:val="both"/>
        <w:rPr>
          <w:rFonts w:cs="Arial"/>
          <w:sz w:val="22"/>
          <w:szCs w:val="22"/>
          <w:lang w:val="en-US"/>
        </w:rPr>
      </w:pPr>
      <w:r w:rsidRPr="00984D3F">
        <w:rPr>
          <w:rFonts w:cs="Arial"/>
          <w:sz w:val="22"/>
          <w:szCs w:val="22"/>
          <w:lang w:val="en-US"/>
        </w:rPr>
        <w:t xml:space="preserve">These are drawn from the Premier’s State of the Province Address (SOPA 2022).  The SOPA speech mentioned that the provincial government had partnered with the University of Johannesburg to turn the province’s e-waste problem into an economic opportunity and protect </w:t>
      </w:r>
      <w:r w:rsidRPr="00984D3F">
        <w:rPr>
          <w:rFonts w:cs="Arial"/>
          <w:sz w:val="22"/>
          <w:szCs w:val="22"/>
          <w:lang w:val="en-US"/>
        </w:rPr>
        <w:lastRenderedPageBreak/>
        <w:t xml:space="preserve">the environment.  The project aims at training the youth on the recycling of discarded devices and appliances. The provincial government is working in partnership with other industry players and the Agricultural Development Agency to ensure food security and promote urban agriculture in the province.  There has further been extensive interaction with the cannabis industry role players to help in identifying opportunities of the industry that can be exploited in Gauteng.  </w:t>
      </w:r>
    </w:p>
    <w:p w14:paraId="79949699" w14:textId="77777777" w:rsidR="002A4EDC" w:rsidRPr="002A0583" w:rsidRDefault="002A4EDC" w:rsidP="00314E85">
      <w:pPr>
        <w:spacing w:line="276" w:lineRule="auto"/>
        <w:jc w:val="both"/>
        <w:rPr>
          <w:rFonts w:cs="Arial"/>
          <w:sz w:val="22"/>
          <w:szCs w:val="22"/>
          <w:lang w:val="en-US"/>
        </w:rPr>
      </w:pPr>
    </w:p>
    <w:p w14:paraId="4691F20D" w14:textId="3523A024" w:rsidR="00984D3F" w:rsidRPr="00984D3F" w:rsidRDefault="00984D3F" w:rsidP="00314E85">
      <w:pPr>
        <w:spacing w:line="276" w:lineRule="auto"/>
        <w:jc w:val="both"/>
        <w:rPr>
          <w:rFonts w:cs="Arial"/>
          <w:sz w:val="22"/>
          <w:szCs w:val="22"/>
          <w:lang w:val="en-US"/>
        </w:rPr>
      </w:pPr>
      <w:r w:rsidRPr="00984D3F">
        <w:rPr>
          <w:rFonts w:cs="Arial"/>
          <w:sz w:val="22"/>
          <w:szCs w:val="22"/>
          <w:lang w:val="en-US"/>
        </w:rPr>
        <w:t xml:space="preserve">The provincial government wants to further establish a dedicated unit that will help in addressing regulatory and licensing issues, attract investment and facilitate black participation in the sector.  The Vaal River SEZ will host </w:t>
      </w:r>
      <w:r w:rsidR="003D12B2" w:rsidRPr="00984D3F">
        <w:rPr>
          <w:rFonts w:cs="Arial"/>
          <w:sz w:val="22"/>
          <w:szCs w:val="22"/>
          <w:lang w:val="en-US"/>
        </w:rPr>
        <w:t>several</w:t>
      </w:r>
      <w:r w:rsidRPr="00984D3F">
        <w:rPr>
          <w:rFonts w:cs="Arial"/>
          <w:sz w:val="22"/>
          <w:szCs w:val="22"/>
          <w:lang w:val="en-US"/>
        </w:rPr>
        <w:t xml:space="preserve"> sectors which include amongst others the new Vaal River Smart City, cannabis hub, Green Hydrogen Innovation Hub and agro-logistics.  The West Rand Agri-SEZ has been provided a pledge for a R20 billion investment for amongst others solar farms, urban </w:t>
      </w:r>
      <w:r w:rsidR="003D12B2" w:rsidRPr="00984D3F">
        <w:rPr>
          <w:rFonts w:cs="Arial"/>
          <w:sz w:val="22"/>
          <w:szCs w:val="22"/>
          <w:lang w:val="en-US"/>
        </w:rPr>
        <w:t>agriculture,</w:t>
      </w:r>
      <w:r w:rsidRPr="00984D3F">
        <w:rPr>
          <w:rFonts w:cs="Arial"/>
          <w:sz w:val="22"/>
          <w:szCs w:val="22"/>
          <w:lang w:val="en-US"/>
        </w:rPr>
        <w:t xml:space="preserve"> and green hydrogen.  The provincial government is implementing a range of targeted urban interventions with a focus on enhancing the sustainability of livelihoods, supporting urban agriculture and increasing access to food programmes.  The government further realizes the importance of community and school food gardens as well as urban agriculture to address food security (SOPA, 2022).</w:t>
      </w:r>
    </w:p>
    <w:p w14:paraId="6EA02101" w14:textId="77777777" w:rsidR="00070A81" w:rsidRPr="00070A81" w:rsidRDefault="00070A81" w:rsidP="00070A81">
      <w:pPr>
        <w:rPr>
          <w:rFonts w:cs="Arial"/>
          <w:sz w:val="22"/>
          <w:szCs w:val="22"/>
        </w:rPr>
      </w:pPr>
    </w:p>
    <w:p w14:paraId="38143912" w14:textId="77777777" w:rsidR="00B142DE" w:rsidRPr="00F94DB1" w:rsidRDefault="00EC7FDC" w:rsidP="00EC7FDC">
      <w:pPr>
        <w:pStyle w:val="BodyTextIndent2"/>
        <w:shd w:val="clear" w:color="auto" w:fill="BFBFBF" w:themeFill="background1" w:themeFillShade="BF"/>
        <w:tabs>
          <w:tab w:val="left" w:pos="709"/>
        </w:tabs>
        <w:spacing w:line="276" w:lineRule="auto"/>
        <w:ind w:left="426" w:hanging="426"/>
        <w:rPr>
          <w:rFonts w:cs="Arial"/>
          <w:b/>
          <w:sz w:val="24"/>
          <w:szCs w:val="24"/>
        </w:rPr>
      </w:pPr>
      <w:r>
        <w:rPr>
          <w:rFonts w:cs="Arial"/>
          <w:b/>
          <w:sz w:val="24"/>
          <w:szCs w:val="24"/>
        </w:rPr>
        <w:t xml:space="preserve">5.   </w:t>
      </w:r>
      <w:bookmarkStart w:id="2" w:name="_Hlk14726769"/>
      <w:r w:rsidR="00B142DE" w:rsidRPr="00F94DB1">
        <w:rPr>
          <w:rFonts w:cs="Arial"/>
          <w:b/>
          <w:sz w:val="24"/>
          <w:szCs w:val="24"/>
        </w:rPr>
        <w:t>COMMITTEE’S ASSESSMENT OF THE BUDGET VOTE</w:t>
      </w:r>
      <w:bookmarkEnd w:id="2"/>
    </w:p>
    <w:p w14:paraId="7ADE3456" w14:textId="77777777" w:rsidR="005B0BD9" w:rsidRPr="008E3574" w:rsidRDefault="005642DC" w:rsidP="008E3574">
      <w:pPr>
        <w:pStyle w:val="Heading2"/>
        <w:keepLines w:val="0"/>
        <w:tabs>
          <w:tab w:val="left" w:pos="426"/>
        </w:tabs>
        <w:spacing w:before="240" w:after="60"/>
        <w:ind w:left="426" w:hanging="426"/>
        <w:jc w:val="both"/>
        <w:rPr>
          <w:rFonts w:ascii="Arial" w:hAnsi="Arial" w:cs="Arial"/>
          <w:color w:val="auto"/>
          <w:sz w:val="22"/>
          <w:szCs w:val="22"/>
        </w:rPr>
      </w:pPr>
      <w:r w:rsidRPr="008E3574">
        <w:rPr>
          <w:rFonts w:ascii="Arial" w:hAnsi="Arial" w:cs="Arial"/>
          <w:color w:val="auto"/>
          <w:sz w:val="22"/>
          <w:szCs w:val="22"/>
        </w:rPr>
        <w:t>5</w:t>
      </w:r>
      <w:r w:rsidR="00F87A0A" w:rsidRPr="008E3574">
        <w:rPr>
          <w:rFonts w:ascii="Arial" w:hAnsi="Arial" w:cs="Arial"/>
          <w:color w:val="auto"/>
          <w:sz w:val="22"/>
          <w:szCs w:val="22"/>
        </w:rPr>
        <w:t>.1</w:t>
      </w:r>
      <w:r w:rsidR="00F87A0A" w:rsidRPr="008E3574">
        <w:rPr>
          <w:rFonts w:ascii="Arial" w:hAnsi="Arial" w:cs="Arial"/>
          <w:color w:val="auto"/>
          <w:sz w:val="24"/>
          <w:szCs w:val="24"/>
        </w:rPr>
        <w:t xml:space="preserve"> OVERALL</w:t>
      </w:r>
      <w:r w:rsidR="004424DD" w:rsidRPr="008E3574">
        <w:rPr>
          <w:rFonts w:ascii="Arial" w:hAnsi="Arial" w:cs="Arial"/>
          <w:color w:val="auto"/>
          <w:sz w:val="22"/>
          <w:szCs w:val="22"/>
        </w:rPr>
        <w:t xml:space="preserve"> ASSESSMENT</w:t>
      </w:r>
    </w:p>
    <w:p w14:paraId="1D1D8610" w14:textId="209A2AAA" w:rsidR="005B0BD9" w:rsidRDefault="005642DC" w:rsidP="008E3574">
      <w:pPr>
        <w:rPr>
          <w:rFonts w:cs="Arial"/>
          <w:b/>
          <w:sz w:val="24"/>
          <w:szCs w:val="24"/>
        </w:rPr>
      </w:pPr>
      <w:r w:rsidRPr="008E3574">
        <w:rPr>
          <w:rFonts w:cs="Arial"/>
          <w:b/>
          <w:sz w:val="24"/>
          <w:szCs w:val="24"/>
        </w:rPr>
        <w:t>5</w:t>
      </w:r>
      <w:r w:rsidR="00F94DB1" w:rsidRPr="008E3574">
        <w:rPr>
          <w:rFonts w:cs="Arial"/>
          <w:b/>
          <w:sz w:val="24"/>
          <w:szCs w:val="24"/>
        </w:rPr>
        <w:t>.1</w:t>
      </w:r>
      <w:r w:rsidR="00415C92" w:rsidRPr="008E3574">
        <w:rPr>
          <w:rFonts w:cs="Arial"/>
          <w:b/>
          <w:sz w:val="24"/>
          <w:szCs w:val="24"/>
        </w:rPr>
        <w:t>.1</w:t>
      </w:r>
      <w:r w:rsidR="005B0BD9" w:rsidRPr="008E3574">
        <w:rPr>
          <w:rFonts w:cs="Arial"/>
          <w:b/>
          <w:sz w:val="24"/>
          <w:szCs w:val="24"/>
        </w:rPr>
        <w:tab/>
        <w:t>Summary of receipts</w:t>
      </w:r>
    </w:p>
    <w:p w14:paraId="55637D8B" w14:textId="77777777" w:rsidR="00EF71A8" w:rsidRPr="008E3574" w:rsidRDefault="00EF71A8" w:rsidP="008E3574">
      <w:pPr>
        <w:rPr>
          <w:rFonts w:cs="Arial"/>
          <w:b/>
          <w:sz w:val="24"/>
          <w:szCs w:val="24"/>
        </w:rPr>
      </w:pPr>
    </w:p>
    <w:p w14:paraId="60272050" w14:textId="4D891AF4" w:rsidR="00EA7559" w:rsidRPr="00EA7559" w:rsidRDefault="00EA7559" w:rsidP="00EA7559">
      <w:pPr>
        <w:spacing w:line="276" w:lineRule="auto"/>
        <w:jc w:val="both"/>
        <w:rPr>
          <w:rFonts w:cs="Arial"/>
          <w:sz w:val="22"/>
          <w:szCs w:val="22"/>
        </w:rPr>
      </w:pPr>
      <w:r w:rsidRPr="00EA7559">
        <w:rPr>
          <w:rFonts w:cs="Arial"/>
          <w:sz w:val="22"/>
          <w:szCs w:val="22"/>
        </w:rPr>
        <w:t>The Department is funded from the equitable share (</w:t>
      </w:r>
      <w:r w:rsidRPr="00EA7559">
        <w:rPr>
          <w:rFonts w:cs="Arial"/>
          <w:b/>
          <w:bCs/>
          <w:sz w:val="22"/>
          <w:szCs w:val="22"/>
        </w:rPr>
        <w:t>85,65% of total budget</w:t>
      </w:r>
      <w:r w:rsidRPr="00EA7559">
        <w:rPr>
          <w:rFonts w:cs="Arial"/>
          <w:sz w:val="22"/>
          <w:szCs w:val="22"/>
        </w:rPr>
        <w:t>) and conditional grants (</w:t>
      </w:r>
      <w:r w:rsidRPr="00EA7559">
        <w:rPr>
          <w:rFonts w:cs="Arial"/>
          <w:b/>
          <w:bCs/>
          <w:sz w:val="22"/>
          <w:szCs w:val="22"/>
        </w:rPr>
        <w:t>14,35% of total budget</w:t>
      </w:r>
      <w:r w:rsidRPr="00EA7559">
        <w:rPr>
          <w:rFonts w:cs="Arial"/>
          <w:sz w:val="22"/>
          <w:szCs w:val="22"/>
        </w:rPr>
        <w:t xml:space="preserve">). The equitable share is the main source of the Department’s revenue and a portion of that is earmarked for agri-industrialisation, urban food production, improved market access, establishment of agri-parks and processing facilities, farmer support and capacitating informal waste recyclers.  There has been a slight decrease (-0,2%) in the total revenue for the current FY compared to the previous FYs adjusted budget.  The Department’s total allocation for the </w:t>
      </w:r>
      <w:r w:rsidRPr="00EA7559">
        <w:rPr>
          <w:rFonts w:cs="Arial"/>
          <w:b/>
          <w:sz w:val="22"/>
          <w:szCs w:val="22"/>
        </w:rPr>
        <w:t>2022/23</w:t>
      </w:r>
      <w:r w:rsidRPr="00EA7559">
        <w:rPr>
          <w:rFonts w:cs="Arial"/>
          <w:sz w:val="22"/>
          <w:szCs w:val="22"/>
        </w:rPr>
        <w:t xml:space="preserve"> FY revenue is set at </w:t>
      </w:r>
      <w:r w:rsidRPr="00EA7559">
        <w:rPr>
          <w:rFonts w:cs="Arial"/>
          <w:b/>
          <w:sz w:val="22"/>
          <w:szCs w:val="22"/>
        </w:rPr>
        <w:t>R1,042 billion</w:t>
      </w:r>
      <w:r w:rsidRPr="00EA7559">
        <w:rPr>
          <w:rFonts w:cs="Arial"/>
          <w:sz w:val="22"/>
          <w:szCs w:val="22"/>
        </w:rPr>
        <w:t xml:space="preserve"> which marks a reduction of R2,445 million from the previous financial years’ adjusted </w:t>
      </w:r>
      <w:r w:rsidR="003D12B2" w:rsidRPr="00EA7559">
        <w:rPr>
          <w:rFonts w:cs="Arial"/>
          <w:sz w:val="22"/>
          <w:szCs w:val="22"/>
        </w:rPr>
        <w:t>budget,</w:t>
      </w:r>
      <w:r w:rsidRPr="00EA7559">
        <w:rPr>
          <w:rFonts w:cs="Arial"/>
          <w:sz w:val="22"/>
          <w:szCs w:val="22"/>
        </w:rPr>
        <w:t xml:space="preserve"> which was </w:t>
      </w:r>
      <w:r w:rsidRPr="00EA7559">
        <w:rPr>
          <w:rFonts w:cs="Arial"/>
          <w:b/>
          <w:sz w:val="22"/>
          <w:szCs w:val="22"/>
        </w:rPr>
        <w:t xml:space="preserve">R1,044 billion.  </w:t>
      </w:r>
      <w:r w:rsidRPr="00EA7559">
        <w:rPr>
          <w:rFonts w:cs="Arial"/>
          <w:bCs/>
          <w:sz w:val="22"/>
          <w:szCs w:val="22"/>
        </w:rPr>
        <w:t>The budget increases</w:t>
      </w:r>
      <w:r w:rsidRPr="00EA7559">
        <w:rPr>
          <w:rFonts w:cs="Arial"/>
          <w:sz w:val="22"/>
          <w:szCs w:val="22"/>
        </w:rPr>
        <w:t xml:space="preserve"> to </w:t>
      </w:r>
      <w:r w:rsidRPr="00EA7559">
        <w:rPr>
          <w:rFonts w:cs="Arial"/>
          <w:b/>
          <w:sz w:val="22"/>
          <w:szCs w:val="22"/>
        </w:rPr>
        <w:t xml:space="preserve">R1,064 billion </w:t>
      </w:r>
      <w:r w:rsidRPr="00EA7559">
        <w:rPr>
          <w:rFonts w:cs="Arial"/>
          <w:sz w:val="22"/>
          <w:szCs w:val="22"/>
        </w:rPr>
        <w:t xml:space="preserve">in the </w:t>
      </w:r>
      <w:r w:rsidRPr="00EA7559">
        <w:rPr>
          <w:rFonts w:cs="Arial"/>
          <w:b/>
          <w:sz w:val="22"/>
          <w:szCs w:val="22"/>
        </w:rPr>
        <w:t>2023/24 FY</w:t>
      </w:r>
      <w:r w:rsidRPr="00EA7559">
        <w:rPr>
          <w:rFonts w:cs="Arial"/>
          <w:sz w:val="22"/>
          <w:szCs w:val="22"/>
        </w:rPr>
        <w:t xml:space="preserve"> making an 2,2% increase in anticipation of </w:t>
      </w:r>
      <w:r w:rsidRPr="00EA7559">
        <w:rPr>
          <w:rFonts w:cs="Arial"/>
          <w:i/>
          <w:sz w:val="22"/>
          <w:szCs w:val="22"/>
        </w:rPr>
        <w:t>inter alia</w:t>
      </w:r>
      <w:r w:rsidRPr="00EA7559">
        <w:rPr>
          <w:rFonts w:cs="Arial"/>
          <w:sz w:val="22"/>
          <w:szCs w:val="22"/>
        </w:rPr>
        <w:t xml:space="preserve"> the Economic and Recovery Construction Plan.   </w:t>
      </w:r>
    </w:p>
    <w:p w14:paraId="51DA9E6F" w14:textId="74A2BDE6" w:rsidR="00626324" w:rsidRDefault="00626324" w:rsidP="00C1730D">
      <w:pPr>
        <w:spacing w:line="276" w:lineRule="auto"/>
        <w:jc w:val="both"/>
        <w:rPr>
          <w:rFonts w:cs="Arial"/>
          <w:sz w:val="22"/>
          <w:szCs w:val="22"/>
        </w:rPr>
      </w:pPr>
    </w:p>
    <w:p w14:paraId="081E14DF" w14:textId="7A6945D9" w:rsidR="008D1B09" w:rsidRDefault="004B5639" w:rsidP="00C1730D">
      <w:pPr>
        <w:spacing w:line="276" w:lineRule="auto"/>
        <w:jc w:val="both"/>
        <w:rPr>
          <w:rFonts w:cs="Arial"/>
          <w:b/>
          <w:sz w:val="22"/>
          <w:szCs w:val="22"/>
        </w:rPr>
      </w:pPr>
      <w:r w:rsidRPr="004B5639">
        <w:rPr>
          <w:rFonts w:cs="Arial"/>
          <w:bCs/>
          <w:sz w:val="22"/>
          <w:szCs w:val="22"/>
        </w:rPr>
        <w:t>The</w:t>
      </w:r>
      <w:r w:rsidRPr="004B5639">
        <w:rPr>
          <w:rFonts w:cs="Arial"/>
          <w:b/>
          <w:sz w:val="22"/>
          <w:szCs w:val="22"/>
        </w:rPr>
        <w:t xml:space="preserve"> Committee</w:t>
      </w:r>
      <w:r w:rsidR="00A414A1">
        <w:rPr>
          <w:rFonts w:cs="Arial"/>
          <w:b/>
          <w:sz w:val="22"/>
          <w:szCs w:val="22"/>
        </w:rPr>
        <w:t xml:space="preserve"> </w:t>
      </w:r>
      <w:r w:rsidR="00852D37">
        <w:rPr>
          <w:rFonts w:cs="Arial"/>
          <w:b/>
          <w:sz w:val="22"/>
          <w:szCs w:val="22"/>
        </w:rPr>
        <w:t>continu</w:t>
      </w:r>
      <w:r w:rsidR="000F70FA">
        <w:rPr>
          <w:rFonts w:cs="Arial"/>
          <w:b/>
          <w:sz w:val="22"/>
          <w:szCs w:val="22"/>
        </w:rPr>
        <w:t>es</w:t>
      </w:r>
      <w:r w:rsidR="00A414A1">
        <w:rPr>
          <w:rFonts w:cs="Arial"/>
          <w:b/>
          <w:sz w:val="22"/>
          <w:szCs w:val="22"/>
        </w:rPr>
        <w:t xml:space="preserve"> to be </w:t>
      </w:r>
      <w:r w:rsidRPr="004B5639">
        <w:rPr>
          <w:rFonts w:cs="Arial"/>
          <w:b/>
          <w:sz w:val="22"/>
          <w:szCs w:val="22"/>
        </w:rPr>
        <w:t xml:space="preserve">concerned as the current infrastructure unit will not be able to eradicate the backlog of the construction of various infrastructure projects that could not be embarked upon because of not being able to issue out the necessary tenders. </w:t>
      </w:r>
      <w:r w:rsidRPr="00F65D75">
        <w:rPr>
          <w:rFonts w:cs="Arial"/>
          <w:bCs/>
          <w:sz w:val="22"/>
          <w:szCs w:val="22"/>
        </w:rPr>
        <w:t>The Department is furthermore requested to ensure that they expedite the delivery on all capital projects that were not completed on time.</w:t>
      </w:r>
      <w:r w:rsidRPr="004B5639">
        <w:rPr>
          <w:rFonts w:cs="Arial"/>
          <w:b/>
          <w:sz w:val="22"/>
          <w:szCs w:val="22"/>
        </w:rPr>
        <w:t xml:space="preserve">  </w:t>
      </w:r>
    </w:p>
    <w:p w14:paraId="34A1A3C0" w14:textId="3813D4CB" w:rsidR="00252A9A" w:rsidRDefault="00252A9A" w:rsidP="00C1730D">
      <w:pPr>
        <w:spacing w:line="276" w:lineRule="auto"/>
        <w:jc w:val="both"/>
        <w:rPr>
          <w:rFonts w:cs="Arial"/>
          <w:b/>
          <w:sz w:val="22"/>
          <w:szCs w:val="22"/>
        </w:rPr>
      </w:pPr>
    </w:p>
    <w:p w14:paraId="6BD733A1" w14:textId="259974A8" w:rsidR="00252A9A" w:rsidRDefault="00252A9A" w:rsidP="00C1730D">
      <w:pPr>
        <w:spacing w:line="276" w:lineRule="auto"/>
        <w:jc w:val="both"/>
        <w:rPr>
          <w:rFonts w:cs="Arial"/>
          <w:b/>
          <w:sz w:val="22"/>
          <w:szCs w:val="22"/>
        </w:rPr>
      </w:pPr>
      <w:r w:rsidRPr="00252A9A">
        <w:rPr>
          <w:rFonts w:cs="Arial"/>
          <w:b/>
          <w:sz w:val="22"/>
          <w:szCs w:val="22"/>
        </w:rPr>
        <w:t xml:space="preserve">The Committee noted with concern that the Department has a trend of underutilizing funds largely </w:t>
      </w:r>
      <w:proofErr w:type="gramStart"/>
      <w:r w:rsidRPr="00252A9A">
        <w:rPr>
          <w:rFonts w:cs="Arial"/>
          <w:b/>
          <w:sz w:val="22"/>
          <w:szCs w:val="22"/>
        </w:rPr>
        <w:t>as a result of</w:t>
      </w:r>
      <w:proofErr w:type="gramEnd"/>
      <w:r w:rsidRPr="00252A9A">
        <w:rPr>
          <w:rFonts w:cs="Arial"/>
          <w:b/>
          <w:sz w:val="22"/>
          <w:szCs w:val="22"/>
        </w:rPr>
        <w:t xml:space="preserve"> not being able to conform fully to the SCM protocols dictated to, by the Infrastructure Development Management System (IDMS).  The underutilization is very pronounced in the 2018/19 financial year where the percent expenditure recorded is just over 89%.  The expenditure levels in the last two financial years show a great improvement and in fact fall within the required expenditure threshold levels of 100 ± 5%.  This threshold level has since been revised to 100 ± 3% as in the 2021/22 financial year.</w:t>
      </w:r>
    </w:p>
    <w:p w14:paraId="1183DFC3" w14:textId="3C86F4ED" w:rsidR="00252A9A" w:rsidRDefault="00252A9A" w:rsidP="00C1730D">
      <w:pPr>
        <w:spacing w:line="276" w:lineRule="auto"/>
        <w:jc w:val="both"/>
        <w:rPr>
          <w:rFonts w:cs="Arial"/>
          <w:b/>
          <w:sz w:val="22"/>
          <w:szCs w:val="22"/>
        </w:rPr>
      </w:pPr>
    </w:p>
    <w:p w14:paraId="206EF01B" w14:textId="5AFE04A3" w:rsidR="00395E08" w:rsidRDefault="00395E08" w:rsidP="00C1730D">
      <w:pPr>
        <w:spacing w:line="276" w:lineRule="auto"/>
        <w:jc w:val="both"/>
        <w:rPr>
          <w:rFonts w:cs="Arial"/>
          <w:b/>
          <w:sz w:val="22"/>
          <w:szCs w:val="22"/>
        </w:rPr>
      </w:pPr>
    </w:p>
    <w:p w14:paraId="5E04D055" w14:textId="79B93507" w:rsidR="00395E08" w:rsidRDefault="00395E08" w:rsidP="00C1730D">
      <w:pPr>
        <w:spacing w:line="276" w:lineRule="auto"/>
        <w:jc w:val="both"/>
        <w:rPr>
          <w:rFonts w:cs="Arial"/>
          <w:b/>
          <w:sz w:val="22"/>
          <w:szCs w:val="22"/>
        </w:rPr>
      </w:pPr>
    </w:p>
    <w:p w14:paraId="513439D0" w14:textId="5B9ACC88" w:rsidR="00395E08" w:rsidRDefault="00395E08" w:rsidP="00C1730D">
      <w:pPr>
        <w:spacing w:line="276" w:lineRule="auto"/>
        <w:jc w:val="both"/>
        <w:rPr>
          <w:rFonts w:cs="Arial"/>
          <w:b/>
          <w:sz w:val="22"/>
          <w:szCs w:val="22"/>
        </w:rPr>
      </w:pPr>
    </w:p>
    <w:p w14:paraId="5CA573CB" w14:textId="52580C49" w:rsidR="00395E08" w:rsidRDefault="00395E08" w:rsidP="00C1730D">
      <w:pPr>
        <w:spacing w:line="276" w:lineRule="auto"/>
        <w:jc w:val="both"/>
        <w:rPr>
          <w:rFonts w:cs="Arial"/>
          <w:b/>
          <w:sz w:val="22"/>
          <w:szCs w:val="22"/>
        </w:rPr>
      </w:pPr>
    </w:p>
    <w:p w14:paraId="16DC28AF" w14:textId="77777777" w:rsidR="00395E08" w:rsidRDefault="00395E08" w:rsidP="00C1730D">
      <w:pPr>
        <w:spacing w:line="276" w:lineRule="auto"/>
        <w:jc w:val="both"/>
        <w:rPr>
          <w:rFonts w:cs="Arial"/>
          <w:b/>
          <w:sz w:val="22"/>
          <w:szCs w:val="22"/>
        </w:rPr>
      </w:pPr>
    </w:p>
    <w:p w14:paraId="5937A42A" w14:textId="34B7E77D" w:rsidR="0014798E" w:rsidRPr="0014798E" w:rsidRDefault="002B03EC" w:rsidP="0014798E">
      <w:pPr>
        <w:tabs>
          <w:tab w:val="left" w:pos="1500"/>
        </w:tabs>
        <w:spacing w:line="276" w:lineRule="auto"/>
        <w:jc w:val="both"/>
        <w:rPr>
          <w:rFonts w:cs="Arial"/>
          <w:b/>
          <w:noProof/>
          <w:sz w:val="22"/>
          <w:szCs w:val="22"/>
          <w:lang w:val="en-US" w:eastAsia="en-ZA"/>
        </w:rPr>
      </w:pPr>
      <w:r>
        <w:rPr>
          <w:rFonts w:cs="Arial"/>
          <w:b/>
          <w:noProof/>
          <w:sz w:val="22"/>
          <w:szCs w:val="22"/>
          <w:lang w:val="en-US" w:eastAsia="en-ZA"/>
        </w:rPr>
        <w:lastRenderedPageBreak/>
        <w:t xml:space="preserve">Table 1 - </w:t>
      </w:r>
      <w:bookmarkStart w:id="3" w:name="_Hlk103156451"/>
      <w:r w:rsidR="0014798E" w:rsidRPr="0014798E">
        <w:rPr>
          <w:rFonts w:cs="Arial"/>
          <w:b/>
          <w:noProof/>
          <w:sz w:val="22"/>
          <w:szCs w:val="22"/>
          <w:lang w:val="en-US" w:eastAsia="en-ZA"/>
        </w:rPr>
        <w:t>Summary of receipts: Agriculture &amp; Rural Development</w:t>
      </w:r>
      <w:bookmarkEnd w:id="3"/>
      <w:r w:rsidR="0014798E" w:rsidRPr="0014798E">
        <w:rPr>
          <w:rFonts w:cs="Arial"/>
          <w:b/>
          <w:noProof/>
          <w:sz w:val="22"/>
          <w:szCs w:val="22"/>
          <w:lang w:val="en-US" w:eastAsia="en-ZA"/>
        </w:rPr>
        <w:t xml:space="preserve">: </w:t>
      </w:r>
    </w:p>
    <w:p w14:paraId="51B58DF8" w14:textId="2F1F1D8F" w:rsidR="00C1730D" w:rsidRDefault="0014798E" w:rsidP="00F75255">
      <w:pPr>
        <w:tabs>
          <w:tab w:val="left" w:pos="1500"/>
        </w:tabs>
        <w:spacing w:line="276" w:lineRule="auto"/>
        <w:jc w:val="both"/>
        <w:rPr>
          <w:rFonts w:cs="Arial"/>
          <w:b/>
          <w:noProof/>
          <w:sz w:val="22"/>
          <w:szCs w:val="22"/>
          <w:lang w:val="en-US" w:eastAsia="en-ZA"/>
        </w:rPr>
      </w:pPr>
      <w:bookmarkStart w:id="4" w:name="_Hlk74065436"/>
      <w:r w:rsidRPr="0014798E">
        <w:rPr>
          <w:rFonts w:cs="Arial"/>
          <w:b/>
          <w:noProof/>
          <w:sz w:val="22"/>
          <w:szCs w:val="22"/>
          <w:lang w:val="en-US" w:eastAsia="en-ZA"/>
        </w:rPr>
        <w:t>20</w:t>
      </w:r>
      <w:r w:rsidR="00083944">
        <w:rPr>
          <w:rFonts w:cs="Arial"/>
          <w:b/>
          <w:noProof/>
          <w:sz w:val="22"/>
          <w:szCs w:val="22"/>
          <w:lang w:val="en-US" w:eastAsia="en-ZA"/>
        </w:rPr>
        <w:t>2</w:t>
      </w:r>
      <w:r w:rsidR="00E56712">
        <w:rPr>
          <w:rFonts w:cs="Arial"/>
          <w:b/>
          <w:noProof/>
          <w:sz w:val="22"/>
          <w:szCs w:val="22"/>
          <w:lang w:val="en-US" w:eastAsia="en-ZA"/>
        </w:rPr>
        <w:t>1</w:t>
      </w:r>
      <w:r w:rsidRPr="0014798E">
        <w:rPr>
          <w:rFonts w:cs="Arial"/>
          <w:b/>
          <w:noProof/>
          <w:sz w:val="22"/>
          <w:szCs w:val="22"/>
          <w:lang w:val="en-US" w:eastAsia="en-ZA"/>
        </w:rPr>
        <w:t>/</w:t>
      </w:r>
      <w:r w:rsidR="00C1730D">
        <w:rPr>
          <w:rFonts w:cs="Arial"/>
          <w:b/>
          <w:noProof/>
          <w:sz w:val="22"/>
          <w:szCs w:val="22"/>
          <w:lang w:val="en-US" w:eastAsia="en-ZA"/>
        </w:rPr>
        <w:t>2</w:t>
      </w:r>
      <w:r w:rsidR="00E56712">
        <w:rPr>
          <w:rFonts w:cs="Arial"/>
          <w:b/>
          <w:noProof/>
          <w:sz w:val="22"/>
          <w:szCs w:val="22"/>
          <w:lang w:val="en-US" w:eastAsia="en-ZA"/>
        </w:rPr>
        <w:t>2</w:t>
      </w:r>
      <w:r w:rsidRPr="0014798E">
        <w:rPr>
          <w:rFonts w:cs="Arial"/>
          <w:b/>
          <w:noProof/>
          <w:sz w:val="22"/>
          <w:szCs w:val="22"/>
          <w:lang w:val="en-US" w:eastAsia="en-ZA"/>
        </w:rPr>
        <w:t xml:space="preserve"> – 20</w:t>
      </w:r>
      <w:r w:rsidR="00A436F4">
        <w:rPr>
          <w:rFonts w:cs="Arial"/>
          <w:b/>
          <w:noProof/>
          <w:sz w:val="22"/>
          <w:szCs w:val="22"/>
          <w:lang w:val="en-US" w:eastAsia="en-ZA"/>
        </w:rPr>
        <w:t>2</w:t>
      </w:r>
      <w:r w:rsidR="00E56712">
        <w:rPr>
          <w:rFonts w:cs="Arial"/>
          <w:b/>
          <w:noProof/>
          <w:sz w:val="22"/>
          <w:szCs w:val="22"/>
          <w:lang w:val="en-US" w:eastAsia="en-ZA"/>
        </w:rPr>
        <w:t>3</w:t>
      </w:r>
      <w:r w:rsidRPr="0014798E">
        <w:rPr>
          <w:rFonts w:cs="Arial"/>
          <w:b/>
          <w:noProof/>
          <w:sz w:val="22"/>
          <w:szCs w:val="22"/>
          <w:lang w:val="en-US" w:eastAsia="en-ZA"/>
        </w:rPr>
        <w:t>/2</w:t>
      </w:r>
      <w:r w:rsidR="00E56712">
        <w:rPr>
          <w:rFonts w:cs="Arial"/>
          <w:b/>
          <w:noProof/>
          <w:sz w:val="22"/>
          <w:szCs w:val="22"/>
          <w:lang w:val="en-US" w:eastAsia="en-ZA"/>
        </w:rPr>
        <w:t>4</w:t>
      </w:r>
      <w:r w:rsidRPr="0014798E">
        <w:rPr>
          <w:rFonts w:cs="Arial"/>
          <w:b/>
          <w:noProof/>
          <w:sz w:val="22"/>
          <w:szCs w:val="22"/>
          <w:lang w:val="en-US" w:eastAsia="en-ZA"/>
        </w:rPr>
        <w:t xml:space="preserve"> FY</w:t>
      </w:r>
    </w:p>
    <w:bookmarkEnd w:id="4"/>
    <w:p w14:paraId="19F2B98F" w14:textId="0ECF39BD" w:rsidR="003126BA" w:rsidRPr="00C1730D" w:rsidRDefault="00BC7C9A" w:rsidP="00F75255">
      <w:pPr>
        <w:tabs>
          <w:tab w:val="left" w:pos="1500"/>
        </w:tabs>
        <w:spacing w:line="276" w:lineRule="auto"/>
        <w:jc w:val="both"/>
        <w:rPr>
          <w:rFonts w:cs="Arial"/>
          <w:b/>
          <w:noProof/>
          <w:sz w:val="22"/>
          <w:szCs w:val="22"/>
          <w:lang w:eastAsia="en-ZA"/>
        </w:rPr>
      </w:pPr>
      <w:r>
        <w:rPr>
          <w:rFonts w:cs="Arial"/>
          <w:noProof/>
          <w:sz w:val="24"/>
          <w:szCs w:val="24"/>
        </w:rPr>
        <w:drawing>
          <wp:inline distT="0" distB="0" distL="0" distR="0" wp14:anchorId="3EE6BAC3" wp14:editId="39718664">
            <wp:extent cx="5774055" cy="3473450"/>
            <wp:effectExtent l="0" t="0" r="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9911" cy="3501035"/>
                    </a:xfrm>
                    <a:prstGeom prst="rect">
                      <a:avLst/>
                    </a:prstGeom>
                    <a:noFill/>
                  </pic:spPr>
                </pic:pic>
              </a:graphicData>
            </a:graphic>
          </wp:inline>
        </w:drawing>
      </w:r>
    </w:p>
    <w:p w14:paraId="1778FD5A" w14:textId="5F249C63" w:rsidR="00502FB5" w:rsidRPr="00FE45CB" w:rsidRDefault="00502FB5" w:rsidP="00502FB5">
      <w:pPr>
        <w:spacing w:after="200" w:line="276" w:lineRule="auto"/>
        <w:jc w:val="both"/>
        <w:rPr>
          <w:rFonts w:ascii="Arial Narrow" w:hAnsi="Arial Narrow"/>
          <w:sz w:val="16"/>
          <w:szCs w:val="16"/>
          <w:lang w:val="en-US"/>
        </w:rPr>
      </w:pPr>
      <w:r w:rsidRPr="00FE45CB">
        <w:rPr>
          <w:rFonts w:ascii="Arial Narrow" w:hAnsi="Arial Narrow"/>
          <w:sz w:val="16"/>
          <w:szCs w:val="16"/>
          <w:lang w:val="en-US"/>
        </w:rPr>
        <w:t xml:space="preserve">Table </w:t>
      </w:r>
      <w:r w:rsidR="002B03EC" w:rsidRPr="00FE45CB">
        <w:rPr>
          <w:rFonts w:ascii="Arial Narrow" w:hAnsi="Arial Narrow"/>
          <w:sz w:val="16"/>
          <w:szCs w:val="16"/>
          <w:lang w:val="en-US"/>
        </w:rPr>
        <w:t>1</w:t>
      </w:r>
      <w:r w:rsidRPr="00FE45CB">
        <w:rPr>
          <w:rFonts w:ascii="Arial Narrow" w:hAnsi="Arial Narrow"/>
          <w:sz w:val="16"/>
          <w:szCs w:val="16"/>
          <w:lang w:val="en-US"/>
        </w:rPr>
        <w:t xml:space="preserve"> above illustrates the appropriations for the Departmental </w:t>
      </w:r>
      <w:r w:rsidR="002B03EC" w:rsidRPr="00FE45CB">
        <w:rPr>
          <w:rFonts w:ascii="Arial Narrow" w:hAnsi="Arial Narrow"/>
          <w:sz w:val="16"/>
          <w:szCs w:val="16"/>
          <w:lang w:val="en-US"/>
        </w:rPr>
        <w:t>Summary of receipts: Agriculture &amp; Rural Development</w:t>
      </w:r>
    </w:p>
    <w:p w14:paraId="3E2FE79D" w14:textId="5C026890" w:rsidR="001C4671" w:rsidRDefault="001C4671" w:rsidP="00923D6D">
      <w:pPr>
        <w:spacing w:line="276" w:lineRule="auto"/>
        <w:jc w:val="both"/>
        <w:rPr>
          <w:rFonts w:cs="Arial"/>
          <w:sz w:val="22"/>
          <w:szCs w:val="22"/>
        </w:rPr>
      </w:pPr>
      <w:r w:rsidRPr="00BB215E">
        <w:rPr>
          <w:rFonts w:cs="Arial"/>
          <w:sz w:val="22"/>
          <w:szCs w:val="22"/>
        </w:rPr>
        <w:t xml:space="preserve">There are four (4) types of conditional grants in the Department of Agriculture and Rural Development in the current FY, namely: </w:t>
      </w:r>
    </w:p>
    <w:p w14:paraId="14BE8A43" w14:textId="77777777" w:rsidR="00D92C15" w:rsidRPr="00BB215E" w:rsidRDefault="00D92C15" w:rsidP="00D92C15">
      <w:pPr>
        <w:jc w:val="both"/>
        <w:rPr>
          <w:rFonts w:cs="Arial"/>
          <w:sz w:val="22"/>
          <w:szCs w:val="22"/>
        </w:rPr>
      </w:pPr>
    </w:p>
    <w:p w14:paraId="4567B87B" w14:textId="7EC58969" w:rsidR="002A2AC6" w:rsidRPr="009B3102" w:rsidRDefault="00C3634D" w:rsidP="009B3102">
      <w:pPr>
        <w:pStyle w:val="ListParagraph"/>
        <w:numPr>
          <w:ilvl w:val="0"/>
          <w:numId w:val="34"/>
        </w:numPr>
        <w:spacing w:line="276" w:lineRule="auto"/>
        <w:jc w:val="both"/>
        <w:rPr>
          <w:rFonts w:cs="Arial"/>
          <w:bCs/>
          <w:sz w:val="22"/>
          <w:szCs w:val="22"/>
        </w:rPr>
      </w:pPr>
      <w:r w:rsidRPr="009B3102">
        <w:rPr>
          <w:rFonts w:cs="Arial"/>
          <w:bCs/>
          <w:sz w:val="22"/>
          <w:szCs w:val="22"/>
        </w:rPr>
        <w:t>The Comprehensive Agricultural Support Programme allocation increases from R1</w:t>
      </w:r>
      <w:r w:rsidR="00EE2642">
        <w:rPr>
          <w:rFonts w:cs="Arial"/>
          <w:bCs/>
          <w:sz w:val="22"/>
          <w:szCs w:val="22"/>
        </w:rPr>
        <w:t>00</w:t>
      </w:r>
      <w:r w:rsidRPr="009B3102">
        <w:rPr>
          <w:rFonts w:cs="Arial"/>
          <w:bCs/>
          <w:sz w:val="22"/>
          <w:szCs w:val="22"/>
        </w:rPr>
        <w:t xml:space="preserve"> million in 2021/22 to R1</w:t>
      </w:r>
      <w:r w:rsidR="00EE2642">
        <w:rPr>
          <w:rFonts w:cs="Arial"/>
          <w:bCs/>
          <w:sz w:val="22"/>
          <w:szCs w:val="22"/>
        </w:rPr>
        <w:t>0</w:t>
      </w:r>
      <w:r w:rsidRPr="009B3102">
        <w:rPr>
          <w:rFonts w:cs="Arial"/>
          <w:bCs/>
          <w:sz w:val="22"/>
          <w:szCs w:val="22"/>
        </w:rPr>
        <w:t>1 million in 2023/24, in aid of support towards commercialisation of smallholder farmers and to continue with the provision of agricultural support services, such as farmer training and capacity building and production inputs.</w:t>
      </w:r>
    </w:p>
    <w:p w14:paraId="1CB40E1C" w14:textId="77777777" w:rsidR="002A2AC6" w:rsidRPr="009B3102" w:rsidRDefault="002A2AC6" w:rsidP="009B3102">
      <w:pPr>
        <w:spacing w:line="276" w:lineRule="auto"/>
        <w:jc w:val="both"/>
        <w:rPr>
          <w:rFonts w:cs="Arial"/>
          <w:bCs/>
          <w:sz w:val="22"/>
          <w:szCs w:val="22"/>
        </w:rPr>
      </w:pPr>
    </w:p>
    <w:p w14:paraId="416B1B8F" w14:textId="6D9C86E3" w:rsidR="004D404D" w:rsidRPr="009B3102" w:rsidRDefault="002A2AC6" w:rsidP="009B3102">
      <w:pPr>
        <w:pStyle w:val="ListParagraph"/>
        <w:numPr>
          <w:ilvl w:val="0"/>
          <w:numId w:val="34"/>
        </w:numPr>
        <w:spacing w:line="276" w:lineRule="auto"/>
        <w:jc w:val="both"/>
        <w:rPr>
          <w:rFonts w:cs="Arial"/>
          <w:bCs/>
          <w:sz w:val="22"/>
          <w:szCs w:val="22"/>
        </w:rPr>
      </w:pPr>
      <w:r w:rsidRPr="009B3102">
        <w:rPr>
          <w:rFonts w:cs="Arial"/>
          <w:bCs/>
          <w:sz w:val="22"/>
          <w:szCs w:val="22"/>
        </w:rPr>
        <w:t>T</w:t>
      </w:r>
      <w:r w:rsidR="00C3634D" w:rsidRPr="009B3102">
        <w:rPr>
          <w:rFonts w:cs="Arial"/>
          <w:bCs/>
          <w:sz w:val="22"/>
          <w:szCs w:val="22"/>
        </w:rPr>
        <w:t>he Ilima/Letsema grant will continue to support primary production through the supply and delivery of broilers and layers and increases from R36.</w:t>
      </w:r>
      <w:r w:rsidR="00EA4800">
        <w:rPr>
          <w:rFonts w:cs="Arial"/>
          <w:bCs/>
          <w:sz w:val="22"/>
          <w:szCs w:val="22"/>
        </w:rPr>
        <w:t>5</w:t>
      </w:r>
      <w:r w:rsidR="00C3634D" w:rsidRPr="009B3102">
        <w:rPr>
          <w:rFonts w:cs="Arial"/>
          <w:bCs/>
          <w:sz w:val="22"/>
          <w:szCs w:val="22"/>
        </w:rPr>
        <w:t xml:space="preserve"> million in 2021/22 to R37.</w:t>
      </w:r>
      <w:r w:rsidR="00EA4800">
        <w:rPr>
          <w:rFonts w:cs="Arial"/>
          <w:bCs/>
          <w:sz w:val="22"/>
          <w:szCs w:val="22"/>
        </w:rPr>
        <w:t>2</w:t>
      </w:r>
      <w:r w:rsidR="00C3634D" w:rsidRPr="009B3102">
        <w:rPr>
          <w:rFonts w:cs="Arial"/>
          <w:bCs/>
          <w:sz w:val="22"/>
          <w:szCs w:val="22"/>
        </w:rPr>
        <w:t xml:space="preserve"> million in 2023/24. </w:t>
      </w:r>
    </w:p>
    <w:p w14:paraId="22A30FE2" w14:textId="77777777" w:rsidR="004D404D" w:rsidRPr="009B3102" w:rsidRDefault="004D404D" w:rsidP="00852D37">
      <w:pPr>
        <w:spacing w:line="276" w:lineRule="auto"/>
        <w:jc w:val="both"/>
        <w:rPr>
          <w:rFonts w:cs="Arial"/>
          <w:bCs/>
          <w:sz w:val="22"/>
          <w:szCs w:val="22"/>
        </w:rPr>
      </w:pPr>
    </w:p>
    <w:p w14:paraId="3E4B87DB" w14:textId="461BAA74" w:rsidR="00252977" w:rsidRPr="009B3102" w:rsidRDefault="00C3634D" w:rsidP="00852D37">
      <w:pPr>
        <w:pStyle w:val="ListParagraph"/>
        <w:numPr>
          <w:ilvl w:val="0"/>
          <w:numId w:val="34"/>
        </w:numPr>
        <w:spacing w:line="276" w:lineRule="auto"/>
        <w:jc w:val="both"/>
        <w:rPr>
          <w:rFonts w:cs="Arial"/>
          <w:bCs/>
          <w:sz w:val="22"/>
          <w:szCs w:val="22"/>
        </w:rPr>
      </w:pPr>
      <w:r w:rsidRPr="009B3102">
        <w:rPr>
          <w:rFonts w:cs="Arial"/>
          <w:bCs/>
          <w:sz w:val="22"/>
          <w:szCs w:val="22"/>
        </w:rPr>
        <w:t>The Land Care grant remained constant at R5 million over the 202</w:t>
      </w:r>
      <w:r w:rsidR="00EC08A7">
        <w:rPr>
          <w:rFonts w:cs="Arial"/>
          <w:bCs/>
          <w:sz w:val="22"/>
          <w:szCs w:val="22"/>
        </w:rPr>
        <w:t xml:space="preserve">2 </w:t>
      </w:r>
      <w:r w:rsidRPr="009B3102">
        <w:rPr>
          <w:rFonts w:cs="Arial"/>
          <w:bCs/>
          <w:sz w:val="22"/>
          <w:szCs w:val="22"/>
        </w:rPr>
        <w:t xml:space="preserve">MTEF period, the allocation is for poverty relief and infrastructure development to sustain natural resources. </w:t>
      </w:r>
      <w:r w:rsidR="00252977" w:rsidRPr="009B3102">
        <w:rPr>
          <w:rFonts w:cs="Arial"/>
          <w:bCs/>
          <w:sz w:val="22"/>
          <w:szCs w:val="22"/>
          <w:lang w:val="en-US"/>
        </w:rPr>
        <w:t xml:space="preserve">It is the view of the Committee that the budget allocated to the Land Care </w:t>
      </w:r>
      <w:r w:rsidR="003D12B2" w:rsidRPr="009B3102">
        <w:rPr>
          <w:rFonts w:cs="Arial"/>
          <w:bCs/>
          <w:sz w:val="22"/>
          <w:szCs w:val="22"/>
          <w:lang w:val="en-US"/>
        </w:rPr>
        <w:t>grant, could</w:t>
      </w:r>
      <w:r w:rsidR="00252977" w:rsidRPr="009B3102">
        <w:rPr>
          <w:rFonts w:cs="Arial"/>
          <w:bCs/>
          <w:sz w:val="22"/>
          <w:szCs w:val="22"/>
          <w:lang w:val="en-US"/>
        </w:rPr>
        <w:t xml:space="preserve"> be improved to cater for farmers, </w:t>
      </w:r>
      <w:proofErr w:type="gramStart"/>
      <w:r w:rsidR="00252977" w:rsidRPr="009B3102">
        <w:rPr>
          <w:rFonts w:cs="Arial"/>
          <w:bCs/>
          <w:sz w:val="22"/>
          <w:szCs w:val="22"/>
          <w:lang w:val="en-US"/>
        </w:rPr>
        <w:t>but in particular, emerging</w:t>
      </w:r>
      <w:proofErr w:type="gramEnd"/>
      <w:r w:rsidR="00252977" w:rsidRPr="009B3102">
        <w:rPr>
          <w:rFonts w:cs="Arial"/>
          <w:bCs/>
          <w:sz w:val="22"/>
          <w:szCs w:val="22"/>
          <w:lang w:val="en-US"/>
        </w:rPr>
        <w:t xml:space="preserve"> farmers affected by adverse climate conditions. </w:t>
      </w:r>
    </w:p>
    <w:p w14:paraId="24002BF4" w14:textId="72A7A60F" w:rsidR="006251AF" w:rsidRPr="009B3102" w:rsidRDefault="006251AF" w:rsidP="009B3102">
      <w:pPr>
        <w:spacing w:line="276" w:lineRule="auto"/>
        <w:jc w:val="both"/>
        <w:rPr>
          <w:rFonts w:cs="Arial"/>
          <w:bCs/>
          <w:sz w:val="22"/>
          <w:szCs w:val="22"/>
        </w:rPr>
      </w:pPr>
    </w:p>
    <w:p w14:paraId="654EEC9B" w14:textId="2AE1C7CA" w:rsidR="00C3634D" w:rsidRPr="00317D9C" w:rsidRDefault="00C3634D" w:rsidP="009B3102">
      <w:pPr>
        <w:pStyle w:val="ListParagraph"/>
        <w:numPr>
          <w:ilvl w:val="0"/>
          <w:numId w:val="34"/>
        </w:numPr>
        <w:spacing w:line="276" w:lineRule="auto"/>
        <w:jc w:val="both"/>
        <w:rPr>
          <w:rFonts w:cs="Arial"/>
          <w:bCs/>
          <w:sz w:val="22"/>
          <w:szCs w:val="22"/>
        </w:rPr>
      </w:pPr>
      <w:r w:rsidRPr="009B3102">
        <w:rPr>
          <w:rFonts w:cs="Arial"/>
          <w:bCs/>
          <w:sz w:val="22"/>
          <w:szCs w:val="22"/>
        </w:rPr>
        <w:t>Lastly,</w:t>
      </w:r>
      <w:r w:rsidR="004D063B" w:rsidRPr="009B3102">
        <w:rPr>
          <w:rFonts w:cs="Arial"/>
          <w:bCs/>
          <w:sz w:val="22"/>
          <w:szCs w:val="22"/>
          <w:lang w:val="en-US"/>
        </w:rPr>
        <w:t xml:space="preserve"> The Expanded Public Works Programme Grant allocation</w:t>
      </w:r>
      <w:r w:rsidR="00EF6091" w:rsidRPr="009B3102">
        <w:rPr>
          <w:rFonts w:cs="Arial"/>
          <w:bCs/>
          <w:sz w:val="22"/>
          <w:szCs w:val="22"/>
          <w:lang w:val="en-US"/>
        </w:rPr>
        <w:t xml:space="preserve"> is allocated </w:t>
      </w:r>
      <w:r w:rsidRPr="009B3102">
        <w:rPr>
          <w:rFonts w:cs="Arial"/>
          <w:bCs/>
          <w:sz w:val="22"/>
          <w:szCs w:val="22"/>
        </w:rPr>
        <w:t>R</w:t>
      </w:r>
      <w:r w:rsidR="00EF2719">
        <w:rPr>
          <w:rFonts w:cs="Arial"/>
          <w:bCs/>
          <w:sz w:val="22"/>
          <w:szCs w:val="22"/>
        </w:rPr>
        <w:t>3</w:t>
      </w:r>
      <w:r w:rsidRPr="009B3102">
        <w:rPr>
          <w:rFonts w:cs="Arial"/>
          <w:bCs/>
          <w:sz w:val="22"/>
          <w:szCs w:val="22"/>
        </w:rPr>
        <w:t>.</w:t>
      </w:r>
      <w:r w:rsidR="00EF2719">
        <w:rPr>
          <w:rFonts w:cs="Arial"/>
          <w:bCs/>
          <w:sz w:val="22"/>
          <w:szCs w:val="22"/>
        </w:rPr>
        <w:t>3</w:t>
      </w:r>
      <w:r w:rsidRPr="009B3102">
        <w:rPr>
          <w:rFonts w:cs="Arial"/>
          <w:bCs/>
          <w:sz w:val="22"/>
          <w:szCs w:val="22"/>
        </w:rPr>
        <w:t xml:space="preserve"> million</w:t>
      </w:r>
      <w:r w:rsidR="00EF6091" w:rsidRPr="009B3102">
        <w:rPr>
          <w:rFonts w:cs="Arial"/>
          <w:bCs/>
          <w:sz w:val="22"/>
          <w:szCs w:val="22"/>
        </w:rPr>
        <w:t xml:space="preserve"> </w:t>
      </w:r>
      <w:r w:rsidRPr="009B3102">
        <w:rPr>
          <w:rFonts w:cs="Arial"/>
          <w:bCs/>
          <w:sz w:val="22"/>
          <w:szCs w:val="22"/>
        </w:rPr>
        <w:t>in 202</w:t>
      </w:r>
      <w:r w:rsidR="00EF2719">
        <w:rPr>
          <w:rFonts w:cs="Arial"/>
          <w:bCs/>
          <w:sz w:val="22"/>
          <w:szCs w:val="22"/>
        </w:rPr>
        <w:t>2</w:t>
      </w:r>
      <w:r w:rsidRPr="009B3102">
        <w:rPr>
          <w:rFonts w:cs="Arial"/>
          <w:bCs/>
          <w:sz w:val="22"/>
          <w:szCs w:val="22"/>
        </w:rPr>
        <w:t>/2</w:t>
      </w:r>
      <w:r w:rsidR="00EF2719">
        <w:rPr>
          <w:rFonts w:cs="Arial"/>
          <w:bCs/>
          <w:sz w:val="22"/>
          <w:szCs w:val="22"/>
        </w:rPr>
        <w:t>3</w:t>
      </w:r>
      <w:r w:rsidRPr="009B3102">
        <w:rPr>
          <w:rFonts w:cs="Arial"/>
          <w:bCs/>
          <w:sz w:val="22"/>
          <w:szCs w:val="22"/>
        </w:rPr>
        <w:t xml:space="preserve"> for the EPWP integrated grant to continue empowering communities through the creation of work opportunities and providing training opportunities for EPWP </w:t>
      </w:r>
      <w:r w:rsidRPr="00317D9C">
        <w:rPr>
          <w:rFonts w:cs="Arial"/>
          <w:bCs/>
          <w:sz w:val="22"/>
          <w:szCs w:val="22"/>
        </w:rPr>
        <w:t>participants</w:t>
      </w:r>
      <w:r w:rsidR="00EF6091" w:rsidRPr="00317D9C">
        <w:rPr>
          <w:rFonts w:cs="Arial"/>
          <w:bCs/>
          <w:sz w:val="22"/>
          <w:szCs w:val="22"/>
        </w:rPr>
        <w:t xml:space="preserve">. </w:t>
      </w:r>
    </w:p>
    <w:p w14:paraId="35CEEE2D" w14:textId="59135366" w:rsidR="00C3634D" w:rsidRDefault="00C3634D" w:rsidP="00CB1B22">
      <w:pPr>
        <w:spacing w:line="276" w:lineRule="auto"/>
        <w:jc w:val="both"/>
        <w:rPr>
          <w:rFonts w:cs="Arial"/>
          <w:b/>
          <w:sz w:val="22"/>
          <w:szCs w:val="22"/>
        </w:rPr>
      </w:pPr>
    </w:p>
    <w:p w14:paraId="77E3AF8B" w14:textId="7D4AE8E0" w:rsidR="001F63DC" w:rsidRDefault="001F63DC" w:rsidP="00605086">
      <w:pPr>
        <w:spacing w:line="276" w:lineRule="auto"/>
        <w:jc w:val="both"/>
        <w:rPr>
          <w:rFonts w:cs="Arial"/>
          <w:sz w:val="22"/>
          <w:szCs w:val="22"/>
        </w:rPr>
      </w:pPr>
      <w:r w:rsidRPr="001F63DC">
        <w:rPr>
          <w:rFonts w:cs="Arial"/>
          <w:sz w:val="22"/>
          <w:szCs w:val="22"/>
        </w:rPr>
        <w:t xml:space="preserve">The Committee noted that the overall grants budget has increased </w:t>
      </w:r>
      <w:r w:rsidR="005D5EC8">
        <w:rPr>
          <w:rFonts w:cs="Arial"/>
          <w:sz w:val="22"/>
          <w:szCs w:val="22"/>
        </w:rPr>
        <w:t>by 3</w:t>
      </w:r>
      <w:r w:rsidRPr="001F63DC">
        <w:rPr>
          <w:rFonts w:cs="Arial"/>
          <w:sz w:val="22"/>
          <w:szCs w:val="22"/>
        </w:rPr>
        <w:t xml:space="preserve">% in the current financial year, but the Land Care Programme grant has a taken considerable cut in the current financial year with the province battling huge unemployment figures and invasive alien invasion on natural resources.  The overall </w:t>
      </w:r>
      <w:r w:rsidR="005D5EC8">
        <w:rPr>
          <w:rFonts w:cs="Arial"/>
          <w:sz w:val="22"/>
          <w:szCs w:val="22"/>
        </w:rPr>
        <w:t>3</w:t>
      </w:r>
      <w:r w:rsidRPr="001F63DC">
        <w:rPr>
          <w:rFonts w:cs="Arial"/>
          <w:sz w:val="22"/>
          <w:szCs w:val="22"/>
        </w:rPr>
        <w:t xml:space="preserve">% increment in the current FY bodes well for employment opportunities – albeit temporary - that </w:t>
      </w:r>
      <w:r w:rsidRPr="00E04C34">
        <w:rPr>
          <w:rFonts w:cs="Arial"/>
          <w:sz w:val="22"/>
          <w:szCs w:val="22"/>
        </w:rPr>
        <w:t>have taken a huge strain with the lockdown the country experienced and should help in improving the economy.</w:t>
      </w:r>
      <w:r w:rsidRPr="001F63DC">
        <w:rPr>
          <w:rFonts w:cs="Arial"/>
          <w:sz w:val="22"/>
          <w:szCs w:val="22"/>
        </w:rPr>
        <w:t xml:space="preserve">   </w:t>
      </w:r>
    </w:p>
    <w:p w14:paraId="43493929" w14:textId="77777777" w:rsidR="001F63DC" w:rsidRDefault="001F63DC" w:rsidP="00084B2E">
      <w:pPr>
        <w:jc w:val="both"/>
        <w:rPr>
          <w:rFonts w:cs="Arial"/>
          <w:sz w:val="22"/>
          <w:szCs w:val="22"/>
        </w:rPr>
      </w:pPr>
    </w:p>
    <w:p w14:paraId="17F39850" w14:textId="546168D7" w:rsidR="006F0FDE" w:rsidRDefault="005642DC" w:rsidP="00C93F25">
      <w:pPr>
        <w:spacing w:line="276" w:lineRule="auto"/>
        <w:jc w:val="both"/>
        <w:rPr>
          <w:rFonts w:cs="Arial"/>
          <w:b/>
          <w:sz w:val="22"/>
          <w:szCs w:val="22"/>
        </w:rPr>
      </w:pPr>
      <w:r w:rsidRPr="001A5738">
        <w:rPr>
          <w:rFonts w:cs="Arial"/>
          <w:b/>
          <w:sz w:val="22"/>
          <w:szCs w:val="22"/>
        </w:rPr>
        <w:lastRenderedPageBreak/>
        <w:t>5</w:t>
      </w:r>
      <w:r w:rsidR="002B674D" w:rsidRPr="001A5738">
        <w:rPr>
          <w:rFonts w:cs="Arial"/>
          <w:b/>
          <w:sz w:val="22"/>
          <w:szCs w:val="22"/>
        </w:rPr>
        <w:t>.</w:t>
      </w:r>
      <w:r w:rsidR="00F94DB1" w:rsidRPr="001A5738">
        <w:rPr>
          <w:rFonts w:cs="Arial"/>
          <w:b/>
          <w:sz w:val="22"/>
          <w:szCs w:val="22"/>
        </w:rPr>
        <w:t>1</w:t>
      </w:r>
      <w:r w:rsidR="002B674D" w:rsidRPr="001A5738">
        <w:rPr>
          <w:rFonts w:cs="Arial"/>
          <w:b/>
          <w:sz w:val="22"/>
          <w:szCs w:val="22"/>
        </w:rPr>
        <w:t xml:space="preserve">.2 Budget </w:t>
      </w:r>
      <w:r w:rsidR="005457DD" w:rsidRPr="001A5738">
        <w:rPr>
          <w:rFonts w:cs="Arial"/>
          <w:b/>
          <w:sz w:val="22"/>
          <w:szCs w:val="22"/>
        </w:rPr>
        <w:t xml:space="preserve">Payments and Estimates </w:t>
      </w:r>
      <w:r w:rsidR="003D5EFC" w:rsidRPr="001A5738">
        <w:rPr>
          <w:rFonts w:cs="Arial"/>
          <w:b/>
          <w:sz w:val="22"/>
          <w:szCs w:val="22"/>
        </w:rPr>
        <w:t>p</w:t>
      </w:r>
      <w:r w:rsidR="002B674D" w:rsidRPr="001A5738">
        <w:rPr>
          <w:rFonts w:cs="Arial"/>
          <w:b/>
          <w:sz w:val="22"/>
          <w:szCs w:val="22"/>
        </w:rPr>
        <w:t>er Programme</w:t>
      </w:r>
    </w:p>
    <w:p w14:paraId="4039B83C" w14:textId="77777777" w:rsidR="002459F6" w:rsidRDefault="002459F6" w:rsidP="002459F6">
      <w:pPr>
        <w:jc w:val="both"/>
        <w:rPr>
          <w:rFonts w:cs="Arial"/>
          <w:sz w:val="22"/>
          <w:szCs w:val="22"/>
        </w:rPr>
      </w:pPr>
    </w:p>
    <w:p w14:paraId="2AF02517" w14:textId="10E870BD" w:rsidR="00C75AB1" w:rsidRDefault="002B674D" w:rsidP="009F2470">
      <w:pPr>
        <w:spacing w:line="276" w:lineRule="auto"/>
        <w:jc w:val="both"/>
        <w:rPr>
          <w:rFonts w:cs="Arial"/>
          <w:sz w:val="22"/>
          <w:szCs w:val="22"/>
        </w:rPr>
      </w:pPr>
      <w:r w:rsidRPr="004A7C3B">
        <w:rPr>
          <w:rFonts w:cs="Arial"/>
          <w:sz w:val="22"/>
          <w:szCs w:val="22"/>
        </w:rPr>
        <w:t>In this financial year the</w:t>
      </w:r>
      <w:r w:rsidR="00CC5A48" w:rsidRPr="004A7C3B">
        <w:rPr>
          <w:rFonts w:cs="Arial"/>
          <w:sz w:val="22"/>
          <w:szCs w:val="22"/>
        </w:rPr>
        <w:t xml:space="preserve"> </w:t>
      </w:r>
      <w:r w:rsidR="00F419D6">
        <w:rPr>
          <w:rFonts w:cs="Arial"/>
          <w:sz w:val="22"/>
          <w:szCs w:val="22"/>
        </w:rPr>
        <w:t>D</w:t>
      </w:r>
      <w:r w:rsidR="00CC5A48" w:rsidRPr="004A7C3B">
        <w:rPr>
          <w:rFonts w:cs="Arial"/>
          <w:sz w:val="22"/>
          <w:szCs w:val="22"/>
        </w:rPr>
        <w:t xml:space="preserve">epartment continues to fund </w:t>
      </w:r>
      <w:r w:rsidRPr="004A7C3B">
        <w:rPr>
          <w:rFonts w:cs="Arial"/>
          <w:sz w:val="22"/>
          <w:szCs w:val="22"/>
        </w:rPr>
        <w:t>three (3) programmes namely: Administration, Agriculture &amp; Rural Development and Environmental Affairs.</w:t>
      </w:r>
    </w:p>
    <w:p w14:paraId="59CBB301" w14:textId="77777777" w:rsidR="00263607" w:rsidRDefault="00263607" w:rsidP="009F2470">
      <w:pPr>
        <w:jc w:val="both"/>
        <w:rPr>
          <w:rFonts w:cs="Arial"/>
          <w:sz w:val="22"/>
          <w:szCs w:val="22"/>
        </w:rPr>
      </w:pPr>
    </w:p>
    <w:p w14:paraId="055E060C" w14:textId="5C543A1B" w:rsidR="00183327" w:rsidRDefault="00F53FE3" w:rsidP="00775654">
      <w:pPr>
        <w:spacing w:line="276" w:lineRule="auto"/>
        <w:jc w:val="both"/>
        <w:rPr>
          <w:rFonts w:eastAsiaTheme="minorHAnsi" w:cs="Arial"/>
          <w:bCs/>
          <w:sz w:val="24"/>
          <w:szCs w:val="24"/>
        </w:rPr>
      </w:pPr>
      <w:r>
        <w:rPr>
          <w:rFonts w:cs="Arial"/>
          <w:sz w:val="22"/>
          <w:szCs w:val="22"/>
        </w:rPr>
        <w:t>T</w:t>
      </w:r>
      <w:r w:rsidR="003E10E0">
        <w:rPr>
          <w:rFonts w:cs="Arial"/>
          <w:sz w:val="22"/>
          <w:szCs w:val="22"/>
        </w:rPr>
        <w:t xml:space="preserve">able </w:t>
      </w:r>
      <w:r>
        <w:rPr>
          <w:rFonts w:cs="Arial"/>
          <w:sz w:val="22"/>
          <w:szCs w:val="22"/>
        </w:rPr>
        <w:t xml:space="preserve">2 </w:t>
      </w:r>
      <w:r w:rsidR="003E10E0">
        <w:rPr>
          <w:rFonts w:cs="Arial"/>
          <w:sz w:val="22"/>
          <w:szCs w:val="22"/>
        </w:rPr>
        <w:t xml:space="preserve">below </w:t>
      </w:r>
      <w:r w:rsidR="00E84567" w:rsidRPr="00E84567">
        <w:rPr>
          <w:rFonts w:cs="Arial"/>
          <w:sz w:val="22"/>
          <w:szCs w:val="22"/>
        </w:rPr>
        <w:t xml:space="preserve">shows the percentage share of programmes from 2021/22 to 2023/24 FY’s. The table indicates that Programme 2, (Agriculture &amp; Rural Development) has consistently received the largest share of the budget and accounts for approximately 46% of the total budget over the last three financial years.  The Agriculture and Rural Development Programme receives the largest share of the budget </w:t>
      </w:r>
      <w:r w:rsidR="003D12B2" w:rsidRPr="00E84567">
        <w:rPr>
          <w:rFonts w:cs="Arial"/>
          <w:sz w:val="22"/>
          <w:szCs w:val="22"/>
        </w:rPr>
        <w:t>to</w:t>
      </w:r>
      <w:r w:rsidR="00E84567" w:rsidRPr="00E84567">
        <w:rPr>
          <w:rFonts w:cs="Arial"/>
          <w:sz w:val="22"/>
          <w:szCs w:val="22"/>
        </w:rPr>
        <w:t xml:space="preserve"> ensure that the </w:t>
      </w:r>
      <w:r w:rsidR="00E84567">
        <w:rPr>
          <w:rFonts w:cs="Arial"/>
          <w:sz w:val="22"/>
          <w:szCs w:val="22"/>
        </w:rPr>
        <w:t xml:space="preserve">Department </w:t>
      </w:r>
      <w:r w:rsidR="00E84567" w:rsidRPr="00E84567">
        <w:rPr>
          <w:rFonts w:cs="Arial"/>
          <w:sz w:val="22"/>
          <w:szCs w:val="22"/>
        </w:rPr>
        <w:t>adequately fulfils its role of contributing towards economic upliftment of farmers in the province and to ensure food security, infrastructure development, provision of production inputs and the repair of agricultural infrastructure damaged by floods.</w:t>
      </w:r>
      <w:bookmarkStart w:id="5" w:name="_Hlk103112162"/>
      <w:r w:rsidR="00775654" w:rsidRPr="00775654">
        <w:rPr>
          <w:rFonts w:eastAsiaTheme="minorHAnsi" w:cs="Arial"/>
          <w:bCs/>
          <w:sz w:val="24"/>
          <w:szCs w:val="24"/>
        </w:rPr>
        <w:t xml:space="preserve"> </w:t>
      </w:r>
    </w:p>
    <w:p w14:paraId="314F5F22" w14:textId="77777777" w:rsidR="00183327" w:rsidRDefault="00183327" w:rsidP="00775654">
      <w:pPr>
        <w:spacing w:line="276" w:lineRule="auto"/>
        <w:jc w:val="both"/>
        <w:rPr>
          <w:rFonts w:eastAsiaTheme="minorHAnsi" w:cs="Arial"/>
          <w:bCs/>
          <w:sz w:val="24"/>
          <w:szCs w:val="24"/>
        </w:rPr>
      </w:pPr>
    </w:p>
    <w:p w14:paraId="4C65F2DE" w14:textId="6A229475" w:rsidR="00775654" w:rsidRPr="00775654" w:rsidRDefault="00183327" w:rsidP="00775654">
      <w:pPr>
        <w:spacing w:line="276" w:lineRule="auto"/>
        <w:jc w:val="both"/>
        <w:rPr>
          <w:rFonts w:cs="Arial"/>
          <w:bCs/>
          <w:sz w:val="22"/>
          <w:szCs w:val="22"/>
        </w:rPr>
      </w:pPr>
      <w:r>
        <w:rPr>
          <w:rFonts w:eastAsiaTheme="minorHAnsi" w:cs="Arial"/>
          <w:bCs/>
          <w:sz w:val="24"/>
          <w:szCs w:val="24"/>
        </w:rPr>
        <w:t>The Department reported that they have</w:t>
      </w:r>
      <w:r w:rsidR="00775654" w:rsidRPr="00775654">
        <w:rPr>
          <w:rFonts w:cs="Arial"/>
          <w:bCs/>
          <w:sz w:val="22"/>
          <w:szCs w:val="22"/>
        </w:rPr>
        <w:t xml:space="preserve"> approved </w:t>
      </w:r>
      <w:r w:rsidR="003D12B2" w:rsidRPr="00775654">
        <w:rPr>
          <w:rFonts w:cs="Arial"/>
          <w:bCs/>
          <w:sz w:val="22"/>
          <w:szCs w:val="22"/>
        </w:rPr>
        <w:t>several</w:t>
      </w:r>
      <w:r w:rsidR="00775654" w:rsidRPr="00775654">
        <w:rPr>
          <w:rFonts w:cs="Arial"/>
          <w:bCs/>
          <w:sz w:val="22"/>
          <w:szCs w:val="22"/>
        </w:rPr>
        <w:t xml:space="preserve"> projects that will be funded through the Comprehensive Agricultural Support Program (CASP) Conditional Grant </w:t>
      </w:r>
      <w:r w:rsidR="003D12B2" w:rsidRPr="00775654">
        <w:rPr>
          <w:rFonts w:cs="Arial"/>
          <w:bCs/>
          <w:sz w:val="22"/>
          <w:szCs w:val="22"/>
        </w:rPr>
        <w:t>and</w:t>
      </w:r>
      <w:r w:rsidR="00775654" w:rsidRPr="00775654">
        <w:rPr>
          <w:rFonts w:cs="Arial"/>
          <w:bCs/>
          <w:sz w:val="22"/>
          <w:szCs w:val="22"/>
        </w:rPr>
        <w:t xml:space="preserve"> embarked on </w:t>
      </w:r>
      <w:proofErr w:type="gramStart"/>
      <w:r w:rsidR="00775654" w:rsidRPr="00775654">
        <w:rPr>
          <w:rFonts w:cs="Arial"/>
          <w:bCs/>
          <w:sz w:val="22"/>
          <w:szCs w:val="22"/>
        </w:rPr>
        <w:t>a number of</w:t>
      </w:r>
      <w:proofErr w:type="gramEnd"/>
      <w:r w:rsidR="00775654" w:rsidRPr="00775654">
        <w:rPr>
          <w:rFonts w:cs="Arial"/>
          <w:bCs/>
          <w:sz w:val="22"/>
          <w:szCs w:val="22"/>
        </w:rPr>
        <w:t xml:space="preserve"> partnerships with the private sector </w:t>
      </w:r>
      <w:r w:rsidR="003D12B2" w:rsidRPr="00775654">
        <w:rPr>
          <w:rFonts w:cs="Arial"/>
          <w:bCs/>
          <w:sz w:val="22"/>
          <w:szCs w:val="22"/>
        </w:rPr>
        <w:t>e.g.,</w:t>
      </w:r>
      <w:r w:rsidR="00775654" w:rsidRPr="00775654">
        <w:rPr>
          <w:rFonts w:cs="Arial"/>
          <w:bCs/>
          <w:sz w:val="22"/>
          <w:szCs w:val="22"/>
        </w:rPr>
        <w:t xml:space="preserve"> Pepsico, Land Bank, IDC and Local Municipalities to ensure continued economic activity in the agricultural sector. The Land Bank and the Industrial Development Corporation (IDC) are processing farmer applications for funding support. The Midvaal municipality has made land available for primary agriculture production and agro-processing. There are also 21 Gauteng farmer applications under consideration for funding through the Jobs Fund. </w:t>
      </w:r>
    </w:p>
    <w:bookmarkEnd w:id="5"/>
    <w:p w14:paraId="64FDD33E" w14:textId="7E2304E3" w:rsidR="006470E3" w:rsidRDefault="006470E3" w:rsidP="00C93F25">
      <w:pPr>
        <w:spacing w:line="276" w:lineRule="auto"/>
        <w:jc w:val="both"/>
        <w:rPr>
          <w:rFonts w:cs="Arial"/>
          <w:sz w:val="22"/>
          <w:szCs w:val="22"/>
        </w:rPr>
      </w:pPr>
    </w:p>
    <w:p w14:paraId="6477EF73" w14:textId="69A2B133" w:rsidR="00513605" w:rsidRDefault="00C174AC" w:rsidP="00872243">
      <w:pPr>
        <w:spacing w:line="276" w:lineRule="auto"/>
        <w:jc w:val="both"/>
        <w:rPr>
          <w:rFonts w:cs="Arial"/>
          <w:sz w:val="22"/>
          <w:szCs w:val="22"/>
        </w:rPr>
      </w:pPr>
      <w:r>
        <w:rPr>
          <w:rFonts w:cs="Arial"/>
          <w:sz w:val="22"/>
          <w:szCs w:val="22"/>
        </w:rPr>
        <w:t xml:space="preserve">The Committee noted that the </w:t>
      </w:r>
      <w:r w:rsidRPr="00C174AC">
        <w:rPr>
          <w:rFonts w:cs="Arial"/>
          <w:sz w:val="22"/>
          <w:szCs w:val="22"/>
        </w:rPr>
        <w:t xml:space="preserve">projections for the programmes over the current and following Financial Years depict that both the Agriculture and Rural Development as well as Environmental Affairs programmes </w:t>
      </w:r>
      <w:r w:rsidR="00E73E45" w:rsidRPr="00C174AC">
        <w:rPr>
          <w:rFonts w:cs="Arial"/>
          <w:sz w:val="22"/>
          <w:szCs w:val="22"/>
        </w:rPr>
        <w:t>will get</w:t>
      </w:r>
      <w:r w:rsidR="00513605" w:rsidRPr="00513605">
        <w:rPr>
          <w:rFonts w:cs="Arial"/>
          <w:b/>
          <w:bCs/>
          <w:sz w:val="22"/>
          <w:szCs w:val="22"/>
        </w:rPr>
        <w:t xml:space="preserve"> lower increments over the next financial year of 3,1% and 13,3% respectively compared to the previous</w:t>
      </w:r>
      <w:r w:rsidR="000F70FA">
        <w:rPr>
          <w:rFonts w:cs="Arial"/>
          <w:b/>
          <w:bCs/>
          <w:sz w:val="22"/>
          <w:szCs w:val="22"/>
        </w:rPr>
        <w:t xml:space="preserve"> financial year</w:t>
      </w:r>
      <w:r w:rsidRPr="00C174AC">
        <w:rPr>
          <w:rFonts w:cs="Arial"/>
          <w:sz w:val="22"/>
          <w:szCs w:val="22"/>
        </w:rPr>
        <w:t xml:space="preserve">.  </w:t>
      </w:r>
      <w:bookmarkStart w:id="6" w:name="_Hlk13138743"/>
    </w:p>
    <w:p w14:paraId="23260C96" w14:textId="13C2305C" w:rsidR="00513605" w:rsidRDefault="00513605" w:rsidP="00C174AC">
      <w:pPr>
        <w:spacing w:line="276" w:lineRule="auto"/>
        <w:jc w:val="both"/>
        <w:rPr>
          <w:rFonts w:cs="Arial"/>
          <w:sz w:val="22"/>
          <w:szCs w:val="22"/>
        </w:rPr>
      </w:pPr>
    </w:p>
    <w:p w14:paraId="1C6CF1FC" w14:textId="54F303DA" w:rsidR="005735E9" w:rsidRDefault="00852D37" w:rsidP="00191CDE">
      <w:pPr>
        <w:spacing w:line="360" w:lineRule="auto"/>
        <w:rPr>
          <w:rFonts w:cstheme="minorHAnsi"/>
          <w:b/>
          <w:sz w:val="22"/>
          <w:szCs w:val="22"/>
        </w:rPr>
      </w:pPr>
      <w:bookmarkStart w:id="7" w:name="_Hlk103156549"/>
      <w:bookmarkEnd w:id="6"/>
      <w:r>
        <w:rPr>
          <w:rFonts w:cs="Arial"/>
          <w:b/>
          <w:sz w:val="22"/>
          <w:szCs w:val="22"/>
        </w:rPr>
        <w:t xml:space="preserve">Table 2 - </w:t>
      </w:r>
      <w:r w:rsidR="00191CDE" w:rsidRPr="00191CDE">
        <w:rPr>
          <w:rFonts w:cs="Arial"/>
          <w:b/>
          <w:sz w:val="22"/>
          <w:szCs w:val="22"/>
        </w:rPr>
        <w:t>Percentage share of Programmes: 2021/22 – 2023/24 FY</w:t>
      </w:r>
      <w:r w:rsidR="00191CDE" w:rsidRPr="005735E9">
        <w:rPr>
          <w:rFonts w:ascii="Calibri" w:hAnsi="Calibri"/>
          <w:noProof/>
          <w:sz w:val="22"/>
          <w:szCs w:val="22"/>
          <w:highlight w:val="yellow"/>
        </w:rPr>
        <w:t xml:space="preserve"> </w:t>
      </w:r>
      <w:bookmarkEnd w:id="7"/>
      <w:r w:rsidR="005735E9" w:rsidRPr="005735E9">
        <w:rPr>
          <w:rFonts w:ascii="Calibri" w:hAnsi="Calibri"/>
          <w:noProof/>
          <w:sz w:val="22"/>
          <w:szCs w:val="22"/>
          <w:highlight w:val="yellow"/>
        </w:rPr>
        <w:drawing>
          <wp:inline distT="0" distB="0" distL="0" distR="0" wp14:anchorId="63EC9579" wp14:editId="02672180">
            <wp:extent cx="4972685" cy="37846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685" cy="3784600"/>
                    </a:xfrm>
                    <a:prstGeom prst="rect">
                      <a:avLst/>
                    </a:prstGeom>
                    <a:noFill/>
                    <a:ln>
                      <a:noFill/>
                    </a:ln>
                  </pic:spPr>
                </pic:pic>
              </a:graphicData>
            </a:graphic>
          </wp:inline>
        </w:drawing>
      </w:r>
    </w:p>
    <w:p w14:paraId="234DC9E8" w14:textId="0E6C8386" w:rsidR="00510CE9" w:rsidRPr="00E27B97" w:rsidRDefault="00E27B97" w:rsidP="005735E9">
      <w:pPr>
        <w:spacing w:line="360" w:lineRule="auto"/>
        <w:jc w:val="both"/>
        <w:rPr>
          <w:rFonts w:cstheme="minorHAnsi"/>
          <w:sz w:val="16"/>
          <w:szCs w:val="16"/>
        </w:rPr>
      </w:pPr>
      <w:r w:rsidRPr="00E27B97">
        <w:rPr>
          <w:rFonts w:ascii="Arial Narrow" w:hAnsi="Arial Narrow"/>
          <w:sz w:val="16"/>
          <w:szCs w:val="16"/>
          <w:lang w:val="en-US"/>
        </w:rPr>
        <w:t xml:space="preserve">Table </w:t>
      </w:r>
      <w:r>
        <w:rPr>
          <w:rFonts w:ascii="Arial Narrow" w:hAnsi="Arial Narrow"/>
          <w:sz w:val="16"/>
          <w:szCs w:val="16"/>
          <w:lang w:val="en-US"/>
        </w:rPr>
        <w:t>2</w:t>
      </w:r>
      <w:r w:rsidRPr="00E27B97">
        <w:rPr>
          <w:rFonts w:ascii="Arial Narrow" w:hAnsi="Arial Narrow"/>
          <w:sz w:val="16"/>
          <w:szCs w:val="16"/>
          <w:lang w:val="en-US"/>
        </w:rPr>
        <w:t xml:space="preserve"> above illustrates the Departmental </w:t>
      </w:r>
      <w:r w:rsidRPr="00E27B97">
        <w:rPr>
          <w:rFonts w:cstheme="minorHAnsi"/>
          <w:sz w:val="16"/>
          <w:szCs w:val="16"/>
        </w:rPr>
        <w:t>Percentage share of Programmes: 2021/22 – 2023/24 FY</w:t>
      </w:r>
    </w:p>
    <w:p w14:paraId="2FD83290" w14:textId="77777777" w:rsidR="00E27B97" w:rsidRDefault="00E27B97" w:rsidP="00A220EE">
      <w:pPr>
        <w:autoSpaceDE w:val="0"/>
        <w:autoSpaceDN w:val="0"/>
        <w:adjustRightInd w:val="0"/>
        <w:spacing w:line="276" w:lineRule="auto"/>
        <w:jc w:val="both"/>
        <w:rPr>
          <w:rFonts w:eastAsiaTheme="minorHAnsi" w:cs="Arial"/>
          <w:b/>
          <w:bCs/>
          <w:sz w:val="22"/>
          <w:szCs w:val="22"/>
        </w:rPr>
      </w:pPr>
      <w:bookmarkStart w:id="8" w:name="_Hlk42554695"/>
    </w:p>
    <w:p w14:paraId="3346DD27" w14:textId="1786F7AC" w:rsidR="00A220EE" w:rsidRDefault="00314F9E" w:rsidP="00A220EE">
      <w:pPr>
        <w:autoSpaceDE w:val="0"/>
        <w:autoSpaceDN w:val="0"/>
        <w:adjustRightInd w:val="0"/>
        <w:spacing w:line="276" w:lineRule="auto"/>
        <w:jc w:val="both"/>
        <w:rPr>
          <w:rFonts w:eastAsiaTheme="minorHAnsi" w:cs="Arial"/>
          <w:b/>
          <w:bCs/>
          <w:sz w:val="22"/>
          <w:szCs w:val="22"/>
        </w:rPr>
      </w:pPr>
      <w:r w:rsidRPr="00314F9E">
        <w:rPr>
          <w:rFonts w:eastAsiaTheme="minorHAnsi" w:cs="Arial"/>
          <w:b/>
          <w:bCs/>
          <w:sz w:val="22"/>
          <w:szCs w:val="22"/>
        </w:rPr>
        <w:lastRenderedPageBreak/>
        <w:t xml:space="preserve">Programme 1: Administration </w:t>
      </w:r>
    </w:p>
    <w:p w14:paraId="775DE698" w14:textId="2C9F9EFB" w:rsidR="00227A02" w:rsidRPr="00DB3060" w:rsidRDefault="00C1214E" w:rsidP="002B24BF">
      <w:pPr>
        <w:autoSpaceDE w:val="0"/>
        <w:autoSpaceDN w:val="0"/>
        <w:adjustRightInd w:val="0"/>
        <w:spacing w:line="276" w:lineRule="auto"/>
        <w:jc w:val="both"/>
        <w:rPr>
          <w:rFonts w:cs="Arial"/>
          <w:sz w:val="22"/>
          <w:szCs w:val="22"/>
        </w:rPr>
      </w:pPr>
      <w:bookmarkStart w:id="9" w:name="_Hlk74211281"/>
      <w:r w:rsidRPr="00DB3060">
        <w:rPr>
          <w:rFonts w:cs="Arial"/>
          <w:sz w:val="22"/>
          <w:szCs w:val="22"/>
        </w:rPr>
        <w:t xml:space="preserve">The programme was allocated </w:t>
      </w:r>
      <w:r w:rsidRPr="00DB3060">
        <w:rPr>
          <w:rFonts w:cs="Arial"/>
          <w:b/>
          <w:sz w:val="22"/>
          <w:szCs w:val="22"/>
        </w:rPr>
        <w:t>R271</w:t>
      </w:r>
      <w:r w:rsidRPr="00DB3060">
        <w:rPr>
          <w:rFonts w:cs="Arial"/>
          <w:sz w:val="22"/>
          <w:szCs w:val="22"/>
        </w:rPr>
        <w:t xml:space="preserve"> million during the 2021/22 FY Departmental budget.  The budget for the current FY has been revised downward by </w:t>
      </w:r>
      <w:r w:rsidRPr="00DB3060">
        <w:rPr>
          <w:rFonts w:cs="Arial"/>
          <w:b/>
          <w:bCs/>
          <w:sz w:val="22"/>
          <w:szCs w:val="22"/>
        </w:rPr>
        <w:t>3,4%</w:t>
      </w:r>
      <w:r w:rsidRPr="00DB3060">
        <w:rPr>
          <w:rFonts w:cs="Arial"/>
          <w:sz w:val="22"/>
          <w:szCs w:val="22"/>
        </w:rPr>
        <w:t xml:space="preserve"> (</w:t>
      </w:r>
      <w:r w:rsidRPr="00DB3060">
        <w:rPr>
          <w:rFonts w:cs="Arial"/>
          <w:b/>
          <w:bCs/>
          <w:sz w:val="22"/>
          <w:szCs w:val="22"/>
        </w:rPr>
        <w:t>R9,274 million</w:t>
      </w:r>
      <w:r w:rsidRPr="00DB3060">
        <w:rPr>
          <w:rFonts w:cs="Arial"/>
          <w:sz w:val="22"/>
          <w:szCs w:val="22"/>
        </w:rPr>
        <w:t>) of last FYs revised budget.</w:t>
      </w:r>
    </w:p>
    <w:p w14:paraId="02A2D648" w14:textId="77777777" w:rsidR="00DB3060" w:rsidRPr="00DB3060" w:rsidRDefault="00DB3060" w:rsidP="002B24BF">
      <w:pPr>
        <w:autoSpaceDE w:val="0"/>
        <w:autoSpaceDN w:val="0"/>
        <w:adjustRightInd w:val="0"/>
        <w:spacing w:line="276" w:lineRule="auto"/>
        <w:jc w:val="both"/>
        <w:rPr>
          <w:rFonts w:cs="Arial"/>
          <w:sz w:val="22"/>
          <w:szCs w:val="22"/>
        </w:rPr>
      </w:pPr>
    </w:p>
    <w:p w14:paraId="54A41F0A" w14:textId="1FEA4499" w:rsidR="00DB3060" w:rsidRPr="00DB3060" w:rsidRDefault="00DB3060" w:rsidP="00DB3060">
      <w:pPr>
        <w:spacing w:line="276" w:lineRule="auto"/>
        <w:jc w:val="both"/>
        <w:rPr>
          <w:rFonts w:cs="Arial"/>
          <w:sz w:val="22"/>
          <w:szCs w:val="22"/>
        </w:rPr>
      </w:pPr>
      <w:r w:rsidRPr="00DB3060">
        <w:rPr>
          <w:rFonts w:cs="Arial"/>
          <w:sz w:val="22"/>
          <w:szCs w:val="22"/>
        </w:rPr>
        <w:t>The Department reported that they</w:t>
      </w:r>
      <w:r w:rsidR="00AC59A4">
        <w:rPr>
          <w:rFonts w:cs="Arial"/>
          <w:sz w:val="22"/>
          <w:szCs w:val="22"/>
        </w:rPr>
        <w:t xml:space="preserve"> </w:t>
      </w:r>
      <w:r w:rsidRPr="00DB3060">
        <w:rPr>
          <w:rFonts w:cs="Arial"/>
          <w:sz w:val="22"/>
          <w:szCs w:val="22"/>
        </w:rPr>
        <w:t xml:space="preserve">revised its APP targets to ensure alignment with targets set on the Broad-based Black Economic Empowerment (BBBEE) Act. Gauteng Department of Economic Development (GDED) is the custodian of BBBEE in the province. They have issued a letter to all GPG departments requesting them to align APP targets to the BBBEE Act. The letter is attached as </w:t>
      </w:r>
      <w:r w:rsidRPr="00DB3060">
        <w:rPr>
          <w:rFonts w:cs="Arial"/>
          <w:b/>
          <w:bCs/>
          <w:sz w:val="22"/>
          <w:szCs w:val="22"/>
        </w:rPr>
        <w:t>Annexure A</w:t>
      </w:r>
      <w:r w:rsidRPr="00DB3060">
        <w:rPr>
          <w:rFonts w:cs="Arial"/>
          <w:sz w:val="22"/>
          <w:szCs w:val="22"/>
        </w:rPr>
        <w:t>. The BBBEE Act requires a target of 0.2 percent expenditure of the budget on entities owned by military veterans. GDARD has set a target of 1%, which is 0.8% above the target required by the BBBEE Act.</w:t>
      </w:r>
    </w:p>
    <w:p w14:paraId="5130CA03" w14:textId="77777777" w:rsidR="00DB3060" w:rsidRDefault="00DB3060" w:rsidP="00DB3060">
      <w:pPr>
        <w:spacing w:line="276" w:lineRule="auto"/>
        <w:jc w:val="both"/>
        <w:rPr>
          <w:rFonts w:cs="Arial"/>
          <w:sz w:val="22"/>
          <w:szCs w:val="22"/>
        </w:rPr>
      </w:pPr>
      <w:bookmarkStart w:id="10" w:name="_Hlk102637830"/>
    </w:p>
    <w:p w14:paraId="37479D12" w14:textId="42ECCB03" w:rsidR="00DB3060" w:rsidRPr="00DB3060" w:rsidRDefault="00DB3060" w:rsidP="00DB3060">
      <w:pPr>
        <w:spacing w:line="276" w:lineRule="auto"/>
        <w:jc w:val="both"/>
        <w:rPr>
          <w:rFonts w:cs="Arial"/>
          <w:sz w:val="22"/>
          <w:szCs w:val="22"/>
        </w:rPr>
      </w:pPr>
      <w:r w:rsidRPr="00DB3060">
        <w:rPr>
          <w:rFonts w:cs="Arial"/>
          <w:sz w:val="22"/>
          <w:szCs w:val="22"/>
        </w:rPr>
        <w:t xml:space="preserve">The Department further revised its APP targets to ensure alignment with targets set on the Broad-based Black Economic Empowerment (BBBEE) Act. Gauteng Department of Economic Development (GDED) is the custodian of BBBEE in the province. They have issued a letter to all GPG departments requesting them to align APP targets to the BBBEE Act. The letter is attached as </w:t>
      </w:r>
      <w:r w:rsidRPr="00DB3060">
        <w:rPr>
          <w:rFonts w:cs="Arial"/>
          <w:b/>
          <w:bCs/>
          <w:sz w:val="22"/>
          <w:szCs w:val="22"/>
        </w:rPr>
        <w:t>Annexure A</w:t>
      </w:r>
      <w:r w:rsidRPr="00DB3060">
        <w:rPr>
          <w:rFonts w:cs="Arial"/>
          <w:sz w:val="22"/>
          <w:szCs w:val="22"/>
        </w:rPr>
        <w:t xml:space="preserve">. GDARD has revised the APP target for PwD’s to 7% to comply with the BBBEE Act. GDARD will continue working </w:t>
      </w:r>
      <w:r w:rsidR="00D91C58">
        <w:rPr>
          <w:rFonts w:cs="Arial"/>
          <w:sz w:val="22"/>
          <w:szCs w:val="22"/>
        </w:rPr>
        <w:t xml:space="preserve">with the </w:t>
      </w:r>
      <w:r w:rsidRPr="00DB3060">
        <w:rPr>
          <w:rFonts w:cs="Arial"/>
          <w:sz w:val="22"/>
          <w:szCs w:val="22"/>
        </w:rPr>
        <w:t>Department of Social Development to implement interventions aimed</w:t>
      </w:r>
      <w:r w:rsidR="00C020A6">
        <w:rPr>
          <w:rFonts w:cs="Arial"/>
          <w:sz w:val="22"/>
          <w:szCs w:val="22"/>
        </w:rPr>
        <w:t xml:space="preserve"> at</w:t>
      </w:r>
      <w:r w:rsidRPr="00DB3060">
        <w:rPr>
          <w:rFonts w:cs="Arial"/>
          <w:sz w:val="22"/>
          <w:szCs w:val="22"/>
        </w:rPr>
        <w:t xml:space="preserve"> increasing expenditure on entities owned by PwD’s.  </w:t>
      </w:r>
    </w:p>
    <w:bookmarkEnd w:id="10"/>
    <w:p w14:paraId="7D033C92" w14:textId="0037A813" w:rsidR="00DB3060" w:rsidRDefault="00DB3060" w:rsidP="002B24BF">
      <w:pPr>
        <w:autoSpaceDE w:val="0"/>
        <w:autoSpaceDN w:val="0"/>
        <w:adjustRightInd w:val="0"/>
        <w:spacing w:line="276" w:lineRule="auto"/>
        <w:jc w:val="both"/>
        <w:rPr>
          <w:rFonts w:cs="Arial"/>
          <w:sz w:val="24"/>
          <w:szCs w:val="24"/>
        </w:rPr>
      </w:pPr>
    </w:p>
    <w:p w14:paraId="766CB904" w14:textId="423474EE" w:rsidR="007E618A" w:rsidRDefault="00314F9E" w:rsidP="002B24BF">
      <w:pPr>
        <w:autoSpaceDE w:val="0"/>
        <w:autoSpaceDN w:val="0"/>
        <w:adjustRightInd w:val="0"/>
        <w:spacing w:line="276" w:lineRule="auto"/>
        <w:jc w:val="both"/>
        <w:rPr>
          <w:rFonts w:eastAsiaTheme="minorHAnsi" w:cs="Arial"/>
          <w:sz w:val="22"/>
          <w:szCs w:val="22"/>
        </w:rPr>
      </w:pPr>
      <w:r w:rsidRPr="00314F9E">
        <w:rPr>
          <w:rFonts w:eastAsiaTheme="minorHAnsi" w:cs="Arial"/>
          <w:b/>
          <w:bCs/>
          <w:sz w:val="22"/>
          <w:szCs w:val="22"/>
        </w:rPr>
        <w:t xml:space="preserve">Programme 2: Agriculture and Rural Development </w:t>
      </w:r>
    </w:p>
    <w:p w14:paraId="72278085" w14:textId="6D533DDA" w:rsidR="00285CF8" w:rsidRDefault="00285CF8" w:rsidP="002B24BF">
      <w:pPr>
        <w:autoSpaceDE w:val="0"/>
        <w:autoSpaceDN w:val="0"/>
        <w:adjustRightInd w:val="0"/>
        <w:spacing w:line="276" w:lineRule="auto"/>
        <w:jc w:val="both"/>
        <w:rPr>
          <w:rFonts w:cs="Arial"/>
          <w:bCs/>
          <w:sz w:val="22"/>
          <w:szCs w:val="22"/>
        </w:rPr>
      </w:pPr>
      <w:r w:rsidRPr="00285CF8">
        <w:rPr>
          <w:rFonts w:eastAsiaTheme="minorHAnsi" w:cs="Arial"/>
          <w:sz w:val="22"/>
          <w:szCs w:val="22"/>
        </w:rPr>
        <w:t xml:space="preserve">The programme has been allocated </w:t>
      </w:r>
      <w:r w:rsidRPr="00285CF8">
        <w:rPr>
          <w:rFonts w:eastAsiaTheme="minorHAnsi" w:cs="Arial"/>
          <w:b/>
          <w:sz w:val="22"/>
          <w:szCs w:val="22"/>
        </w:rPr>
        <w:t>R487,321</w:t>
      </w:r>
      <w:r w:rsidRPr="00285CF8">
        <w:rPr>
          <w:rFonts w:eastAsiaTheme="minorHAnsi" w:cs="Arial"/>
          <w:sz w:val="22"/>
          <w:szCs w:val="22"/>
        </w:rPr>
        <w:t xml:space="preserve"> million in the 2022/23 financial year which marks a 3,9</w:t>
      </w:r>
      <w:r w:rsidRPr="002F366A">
        <w:rPr>
          <w:rFonts w:eastAsiaTheme="minorHAnsi" w:cs="Arial"/>
          <w:sz w:val="22"/>
          <w:szCs w:val="22"/>
        </w:rPr>
        <w:t xml:space="preserve">% increase from the previous financial year.  All the sub-programmes posted increments in the budget for the year under review save for the Research and Technology sub-programme.  </w:t>
      </w:r>
      <w:r w:rsidR="002F366A" w:rsidRPr="002F366A">
        <w:rPr>
          <w:rFonts w:cs="Arial"/>
          <w:bCs/>
          <w:sz w:val="22"/>
          <w:szCs w:val="22"/>
        </w:rPr>
        <w:t>The budget that was trimmed is the infrastructure budget meant for the implementation of an Agri-</w:t>
      </w:r>
      <w:r w:rsidR="003D12B2" w:rsidRPr="002F366A">
        <w:rPr>
          <w:rFonts w:cs="Arial"/>
          <w:bCs/>
          <w:sz w:val="22"/>
          <w:szCs w:val="22"/>
        </w:rPr>
        <w:t>park.</w:t>
      </w:r>
    </w:p>
    <w:p w14:paraId="7E07BB3E" w14:textId="77777777" w:rsidR="003D12B2" w:rsidRDefault="003D12B2" w:rsidP="002B24BF">
      <w:pPr>
        <w:autoSpaceDE w:val="0"/>
        <w:autoSpaceDN w:val="0"/>
        <w:adjustRightInd w:val="0"/>
        <w:spacing w:line="276" w:lineRule="auto"/>
        <w:jc w:val="both"/>
        <w:rPr>
          <w:rFonts w:eastAsiaTheme="minorHAnsi" w:cs="Arial"/>
          <w:b/>
          <w:bCs/>
          <w:sz w:val="22"/>
          <w:szCs w:val="22"/>
        </w:rPr>
      </w:pPr>
    </w:p>
    <w:p w14:paraId="51A5538E" w14:textId="7F5EC7E4" w:rsidR="00BA30C1" w:rsidRDefault="00314F9E" w:rsidP="002B24BF">
      <w:pPr>
        <w:autoSpaceDE w:val="0"/>
        <w:autoSpaceDN w:val="0"/>
        <w:adjustRightInd w:val="0"/>
        <w:spacing w:line="276" w:lineRule="auto"/>
        <w:jc w:val="both"/>
        <w:rPr>
          <w:rFonts w:eastAsiaTheme="minorHAnsi" w:cs="Arial"/>
          <w:b/>
          <w:bCs/>
          <w:sz w:val="22"/>
          <w:szCs w:val="22"/>
        </w:rPr>
      </w:pPr>
      <w:r w:rsidRPr="00314F9E">
        <w:rPr>
          <w:rFonts w:eastAsiaTheme="minorHAnsi" w:cs="Arial"/>
          <w:b/>
          <w:bCs/>
          <w:sz w:val="22"/>
          <w:szCs w:val="22"/>
        </w:rPr>
        <w:t xml:space="preserve">Programme 3: Environmental Affairs </w:t>
      </w:r>
    </w:p>
    <w:bookmarkEnd w:id="8"/>
    <w:bookmarkEnd w:id="9"/>
    <w:p w14:paraId="32DBDD7A" w14:textId="5246639E" w:rsidR="00942F48" w:rsidRPr="007771D7" w:rsidRDefault="007771D7" w:rsidP="00F975DC">
      <w:pPr>
        <w:spacing w:line="276" w:lineRule="auto"/>
        <w:jc w:val="both"/>
        <w:rPr>
          <w:rFonts w:cs="Arial"/>
          <w:sz w:val="22"/>
          <w:szCs w:val="22"/>
        </w:rPr>
      </w:pPr>
      <w:r w:rsidRPr="007771D7">
        <w:rPr>
          <w:rFonts w:cs="Arial"/>
          <w:sz w:val="22"/>
          <w:szCs w:val="22"/>
        </w:rPr>
        <w:t xml:space="preserve">The programme has been allocated </w:t>
      </w:r>
      <w:r w:rsidRPr="007771D7">
        <w:rPr>
          <w:rFonts w:cs="Arial"/>
          <w:b/>
          <w:sz w:val="22"/>
          <w:szCs w:val="22"/>
        </w:rPr>
        <w:t>R292,38 million</w:t>
      </w:r>
      <w:r w:rsidRPr="007771D7">
        <w:rPr>
          <w:rFonts w:cs="Arial"/>
          <w:sz w:val="22"/>
          <w:szCs w:val="22"/>
        </w:rPr>
        <w:t xml:space="preserve"> in the current FY which denotes a decrease of </w:t>
      </w:r>
      <w:r w:rsidRPr="007771D7">
        <w:rPr>
          <w:rFonts w:cs="Arial"/>
          <w:b/>
          <w:bCs/>
          <w:sz w:val="22"/>
          <w:szCs w:val="22"/>
        </w:rPr>
        <w:t>3,9</w:t>
      </w:r>
      <w:r w:rsidRPr="007771D7">
        <w:rPr>
          <w:rFonts w:cs="Arial"/>
          <w:b/>
          <w:sz w:val="22"/>
          <w:szCs w:val="22"/>
        </w:rPr>
        <w:t>%</w:t>
      </w:r>
      <w:r w:rsidRPr="007771D7">
        <w:rPr>
          <w:rFonts w:cs="Arial"/>
          <w:sz w:val="22"/>
          <w:szCs w:val="22"/>
        </w:rPr>
        <w:t xml:space="preserve"> compared to the 2021/22 FY Departmental budget.  The budget is projected to increase by </w:t>
      </w:r>
      <w:r w:rsidRPr="007771D7">
        <w:rPr>
          <w:rFonts w:cs="Arial"/>
          <w:b/>
          <w:bCs/>
          <w:sz w:val="22"/>
          <w:szCs w:val="22"/>
        </w:rPr>
        <w:t>4,5</w:t>
      </w:r>
      <w:r w:rsidRPr="007771D7">
        <w:rPr>
          <w:rFonts w:cs="Arial"/>
          <w:b/>
          <w:sz w:val="22"/>
          <w:szCs w:val="22"/>
        </w:rPr>
        <w:t>% (R13 million)</w:t>
      </w:r>
      <w:r w:rsidRPr="007771D7">
        <w:rPr>
          <w:rFonts w:cs="Arial"/>
          <w:sz w:val="22"/>
          <w:szCs w:val="22"/>
        </w:rPr>
        <w:t xml:space="preserve"> in the 2023/24 FY to </w:t>
      </w:r>
      <w:r w:rsidRPr="007771D7">
        <w:rPr>
          <w:rFonts w:cs="Arial"/>
          <w:b/>
          <w:bCs/>
          <w:sz w:val="22"/>
          <w:szCs w:val="22"/>
        </w:rPr>
        <w:t>R305,5 million</w:t>
      </w:r>
      <w:r w:rsidRPr="007771D7">
        <w:rPr>
          <w:rFonts w:cs="Arial"/>
          <w:sz w:val="22"/>
          <w:szCs w:val="22"/>
        </w:rPr>
        <w:t xml:space="preserve">. </w:t>
      </w:r>
      <w:r w:rsidR="00D04419" w:rsidRPr="00D04419">
        <w:rPr>
          <w:rFonts w:cs="Arial"/>
          <w:sz w:val="22"/>
          <w:szCs w:val="22"/>
        </w:rPr>
        <w:t xml:space="preserve">The sub programme has reprioritised </w:t>
      </w:r>
      <w:r w:rsidR="009E5F08">
        <w:rPr>
          <w:rFonts w:cs="Arial"/>
          <w:sz w:val="22"/>
          <w:szCs w:val="22"/>
        </w:rPr>
        <w:t xml:space="preserve">its </w:t>
      </w:r>
      <w:r w:rsidR="00D04419" w:rsidRPr="00D04419">
        <w:rPr>
          <w:rFonts w:cs="Arial"/>
          <w:sz w:val="22"/>
          <w:szCs w:val="22"/>
        </w:rPr>
        <w:t>budget from non-essential items like venues and facilities, catering and to essential items in the Goods and Services budget. In addition, the sub programme would focus on monitoring highly environmentally sensitive areas and activities that have the potential to impact the environment. However, this would not impact the normal monitoring and enforcement work that it has committed to undertake in the current financial year.</w:t>
      </w:r>
    </w:p>
    <w:p w14:paraId="5656BF5D" w14:textId="77777777" w:rsidR="007771D7" w:rsidRPr="00314F9E" w:rsidRDefault="007771D7" w:rsidP="00F975DC">
      <w:pPr>
        <w:spacing w:line="276" w:lineRule="auto"/>
        <w:jc w:val="both"/>
        <w:rPr>
          <w:rFonts w:cs="Arial"/>
          <w:sz w:val="22"/>
          <w:szCs w:val="22"/>
        </w:rPr>
      </w:pPr>
    </w:p>
    <w:p w14:paraId="3DD29791" w14:textId="77777777" w:rsidR="005B0BD9" w:rsidRPr="00AD33B4" w:rsidRDefault="00DA21B8" w:rsidP="00DA21B8">
      <w:pPr>
        <w:pStyle w:val="ListParagraph"/>
        <w:shd w:val="clear" w:color="auto" w:fill="BFBFBF" w:themeFill="background1" w:themeFillShade="BF"/>
        <w:spacing w:line="276" w:lineRule="auto"/>
        <w:ind w:left="0"/>
        <w:jc w:val="both"/>
        <w:rPr>
          <w:rFonts w:cs="Arial"/>
          <w:b/>
          <w:sz w:val="22"/>
          <w:szCs w:val="22"/>
        </w:rPr>
      </w:pPr>
      <w:r w:rsidRPr="00AD33B4">
        <w:rPr>
          <w:rFonts w:cs="Arial"/>
          <w:b/>
          <w:sz w:val="22"/>
          <w:szCs w:val="22"/>
        </w:rPr>
        <w:t>5</w:t>
      </w:r>
      <w:r w:rsidR="0082579E" w:rsidRPr="00AD33B4">
        <w:rPr>
          <w:rFonts w:cs="Arial"/>
          <w:b/>
          <w:sz w:val="22"/>
          <w:szCs w:val="22"/>
        </w:rPr>
        <w:t>.</w:t>
      </w:r>
      <w:r w:rsidR="00F94DB1" w:rsidRPr="00AD33B4">
        <w:rPr>
          <w:rFonts w:cs="Arial"/>
          <w:b/>
          <w:sz w:val="22"/>
          <w:szCs w:val="22"/>
        </w:rPr>
        <w:t>1</w:t>
      </w:r>
      <w:r w:rsidR="0082579E" w:rsidRPr="00AD33B4">
        <w:rPr>
          <w:rFonts w:cs="Arial"/>
          <w:b/>
          <w:sz w:val="22"/>
          <w:szCs w:val="22"/>
        </w:rPr>
        <w:t>.</w:t>
      </w:r>
      <w:r w:rsidR="002B674D" w:rsidRPr="00AD33B4">
        <w:rPr>
          <w:rFonts w:cs="Arial"/>
          <w:b/>
          <w:sz w:val="22"/>
          <w:szCs w:val="22"/>
        </w:rPr>
        <w:t>3</w:t>
      </w:r>
      <w:r w:rsidR="005B0BD9" w:rsidRPr="00AD33B4">
        <w:rPr>
          <w:rFonts w:cs="Arial"/>
          <w:b/>
          <w:sz w:val="22"/>
          <w:szCs w:val="22"/>
        </w:rPr>
        <w:tab/>
      </w:r>
      <w:bookmarkStart w:id="11" w:name="_Hlk14726685"/>
      <w:r w:rsidR="005B0BD9" w:rsidRPr="00734865">
        <w:rPr>
          <w:rFonts w:cs="Arial"/>
          <w:b/>
          <w:sz w:val="28"/>
          <w:szCs w:val="28"/>
        </w:rPr>
        <w:t>Payments and Estimates per Economic Classification</w:t>
      </w:r>
      <w:bookmarkEnd w:id="11"/>
    </w:p>
    <w:p w14:paraId="530D6CD1" w14:textId="77777777" w:rsidR="005B0BD9" w:rsidRPr="00DF016E" w:rsidRDefault="005B0BD9" w:rsidP="00DF016E">
      <w:pPr>
        <w:pStyle w:val="ListParagraph"/>
        <w:tabs>
          <w:tab w:val="left" w:pos="1755"/>
        </w:tabs>
        <w:ind w:left="0" w:firstLine="720"/>
        <w:jc w:val="both"/>
        <w:rPr>
          <w:rFonts w:cs="Arial"/>
          <w:sz w:val="22"/>
          <w:szCs w:val="22"/>
        </w:rPr>
      </w:pPr>
      <w:r w:rsidRPr="00AD33B4">
        <w:rPr>
          <w:rFonts w:cs="Arial"/>
          <w:i/>
          <w:sz w:val="22"/>
          <w:szCs w:val="22"/>
        </w:rPr>
        <w:tab/>
      </w:r>
    </w:p>
    <w:p w14:paraId="6B0C9E45" w14:textId="77777777" w:rsidR="00FF4FA5" w:rsidRPr="00FF4FA5" w:rsidRDefault="00FF4FA5" w:rsidP="00FF4FA5">
      <w:pPr>
        <w:autoSpaceDE w:val="0"/>
        <w:autoSpaceDN w:val="0"/>
        <w:adjustRightInd w:val="0"/>
        <w:spacing w:line="276" w:lineRule="auto"/>
        <w:jc w:val="both"/>
        <w:rPr>
          <w:rFonts w:eastAsiaTheme="minorHAnsi" w:cs="Arial"/>
          <w:b/>
          <w:sz w:val="22"/>
          <w:szCs w:val="22"/>
        </w:rPr>
      </w:pPr>
      <w:r w:rsidRPr="00FF4FA5">
        <w:rPr>
          <w:rFonts w:eastAsiaTheme="minorHAnsi" w:cs="Arial"/>
          <w:sz w:val="22"/>
          <w:szCs w:val="22"/>
        </w:rPr>
        <w:t xml:space="preserve">The total budget allocation for the Department increased by </w:t>
      </w:r>
      <w:r w:rsidRPr="00FF4FA5">
        <w:rPr>
          <w:rFonts w:eastAsiaTheme="minorHAnsi" w:cs="Arial"/>
          <w:b/>
          <w:sz w:val="22"/>
          <w:szCs w:val="22"/>
        </w:rPr>
        <w:t>-0,2%</w:t>
      </w:r>
      <w:r w:rsidRPr="00FF4FA5">
        <w:rPr>
          <w:rFonts w:eastAsiaTheme="minorHAnsi" w:cs="Arial"/>
          <w:sz w:val="22"/>
          <w:szCs w:val="22"/>
        </w:rPr>
        <w:t xml:space="preserve"> from </w:t>
      </w:r>
      <w:r w:rsidRPr="00FF4FA5">
        <w:rPr>
          <w:rFonts w:eastAsiaTheme="minorHAnsi" w:cs="Arial"/>
          <w:b/>
          <w:sz w:val="22"/>
          <w:szCs w:val="22"/>
        </w:rPr>
        <w:t>R1,044 billion</w:t>
      </w:r>
      <w:r w:rsidRPr="00FF4FA5">
        <w:rPr>
          <w:rFonts w:eastAsiaTheme="minorHAnsi" w:cs="Arial"/>
          <w:sz w:val="22"/>
          <w:szCs w:val="22"/>
        </w:rPr>
        <w:t xml:space="preserve"> in 2021/22 FY to </w:t>
      </w:r>
      <w:r w:rsidRPr="00FF4FA5">
        <w:rPr>
          <w:rFonts w:eastAsiaTheme="minorHAnsi" w:cs="Arial"/>
          <w:b/>
          <w:sz w:val="22"/>
          <w:szCs w:val="22"/>
        </w:rPr>
        <w:t>R1,042 billion</w:t>
      </w:r>
      <w:r w:rsidRPr="00FF4FA5">
        <w:rPr>
          <w:rFonts w:eastAsiaTheme="minorHAnsi" w:cs="Arial"/>
          <w:sz w:val="22"/>
          <w:szCs w:val="22"/>
        </w:rPr>
        <w:t xml:space="preserve"> in 2022/23 FY.  The budget serves to fund amongst other priorities, the various projects meant to maximize the economic potential of the province through ensuring that the previously marginalized communities actively participate in the economy through the establishment of agri-parks, agro-processing facilities as well as to accommodate inflation and related increases in the compensation of employees.  The biggest cuts in this FYs budget </w:t>
      </w:r>
      <w:proofErr w:type="gramStart"/>
      <w:r w:rsidRPr="00FF4FA5">
        <w:rPr>
          <w:rFonts w:eastAsiaTheme="minorHAnsi" w:cs="Arial"/>
          <w:sz w:val="22"/>
          <w:szCs w:val="22"/>
        </w:rPr>
        <w:t>is</w:t>
      </w:r>
      <w:proofErr w:type="gramEnd"/>
      <w:r w:rsidRPr="00FF4FA5">
        <w:rPr>
          <w:rFonts w:eastAsiaTheme="minorHAnsi" w:cs="Arial"/>
          <w:sz w:val="22"/>
          <w:szCs w:val="22"/>
        </w:rPr>
        <w:t xml:space="preserve"> machinery and other equipment, payments for capital assets, buildings and other fixed structures, payments for capital assets, households, higher education institutions and transfers and subsidies, transfers to provinces and municipalities is completely devoid of funding.</w:t>
      </w:r>
    </w:p>
    <w:p w14:paraId="0510B52D" w14:textId="77777777" w:rsidR="003D5B95" w:rsidRDefault="003D5B95" w:rsidP="003D5B95">
      <w:pPr>
        <w:autoSpaceDE w:val="0"/>
        <w:autoSpaceDN w:val="0"/>
        <w:adjustRightInd w:val="0"/>
        <w:spacing w:line="276" w:lineRule="auto"/>
        <w:jc w:val="both"/>
        <w:rPr>
          <w:rFonts w:eastAsiaTheme="minorHAnsi" w:cs="Arial"/>
          <w:sz w:val="22"/>
          <w:szCs w:val="22"/>
        </w:rPr>
      </w:pPr>
    </w:p>
    <w:p w14:paraId="7F25EB7D" w14:textId="192394D0" w:rsidR="003D5B95" w:rsidRPr="003D5B95" w:rsidRDefault="003D5B95" w:rsidP="003D5B95">
      <w:pPr>
        <w:autoSpaceDE w:val="0"/>
        <w:autoSpaceDN w:val="0"/>
        <w:adjustRightInd w:val="0"/>
        <w:spacing w:line="276" w:lineRule="auto"/>
        <w:jc w:val="both"/>
        <w:rPr>
          <w:rFonts w:eastAsiaTheme="minorHAnsi" w:cs="Arial"/>
          <w:sz w:val="22"/>
          <w:szCs w:val="22"/>
        </w:rPr>
      </w:pPr>
      <w:r w:rsidRPr="003D5B95">
        <w:rPr>
          <w:rFonts w:eastAsiaTheme="minorHAnsi" w:cs="Arial"/>
          <w:sz w:val="22"/>
          <w:szCs w:val="22"/>
        </w:rPr>
        <w:t xml:space="preserve">The Department reported that Payments for capital assets - Budget allocated under machinery and equipment is R14,2 million for acquisition of tractors, trailer, headers for combined harvesters </w:t>
      </w:r>
      <w:r w:rsidRPr="003D5B95">
        <w:rPr>
          <w:rFonts w:eastAsiaTheme="minorHAnsi" w:cs="Arial"/>
          <w:sz w:val="22"/>
          <w:szCs w:val="22"/>
        </w:rPr>
        <w:lastRenderedPageBreak/>
        <w:t>and tools of trade i.e., laptops, projectors, desktops etc. Total budget of R10.6 million is allocated under building and other fixed structures for infrastructure projects such as construction of fence at Abe Bailey Nature Reserve, upgrading of the market for Vereeniging Fresh Produce Market, upgrading of bulk infrastructure at Suikerbosrand Nature Reserve, and upgrading of the Rand West Agripark and Tarlton Agripark.</w:t>
      </w:r>
    </w:p>
    <w:p w14:paraId="6CC823E7" w14:textId="77777777" w:rsidR="003D5B95" w:rsidRPr="003D5B95" w:rsidRDefault="003D5B95" w:rsidP="003D5B95">
      <w:pPr>
        <w:autoSpaceDE w:val="0"/>
        <w:autoSpaceDN w:val="0"/>
        <w:adjustRightInd w:val="0"/>
        <w:spacing w:line="276" w:lineRule="auto"/>
        <w:jc w:val="both"/>
        <w:rPr>
          <w:rFonts w:eastAsiaTheme="minorHAnsi" w:cs="Arial"/>
          <w:sz w:val="22"/>
          <w:szCs w:val="22"/>
        </w:rPr>
      </w:pPr>
    </w:p>
    <w:p w14:paraId="55163ABF" w14:textId="77777777" w:rsidR="003D5B95" w:rsidRPr="003D5B95" w:rsidRDefault="003D5B95" w:rsidP="003D5B95">
      <w:pPr>
        <w:autoSpaceDE w:val="0"/>
        <w:autoSpaceDN w:val="0"/>
        <w:adjustRightInd w:val="0"/>
        <w:spacing w:line="276" w:lineRule="auto"/>
        <w:jc w:val="both"/>
        <w:rPr>
          <w:rFonts w:eastAsiaTheme="minorHAnsi" w:cs="Arial"/>
          <w:sz w:val="22"/>
          <w:szCs w:val="22"/>
        </w:rPr>
      </w:pPr>
      <w:r w:rsidRPr="003D5B95">
        <w:rPr>
          <w:rFonts w:eastAsiaTheme="minorHAnsi" w:cs="Arial"/>
          <w:sz w:val="22"/>
          <w:szCs w:val="22"/>
        </w:rPr>
        <w:t xml:space="preserve">Transfers – A R1,4 million is transferred to Sector Education and Training Authorities (SETAs) in the 2022/23, for capacity and talent management initiatives. There will be transfers of R5,9 million to Higher Education Institutions for research projects in the form of bursaries and internships. The reduction can be attributed to rollover approval of R1,2 million from 2020/21 financial year. </w:t>
      </w:r>
    </w:p>
    <w:p w14:paraId="536E4FFD" w14:textId="77777777" w:rsidR="00FF4FA5" w:rsidRDefault="00FF4FA5" w:rsidP="00745B44">
      <w:pPr>
        <w:autoSpaceDE w:val="0"/>
        <w:autoSpaceDN w:val="0"/>
        <w:adjustRightInd w:val="0"/>
        <w:spacing w:line="276" w:lineRule="auto"/>
        <w:jc w:val="both"/>
        <w:rPr>
          <w:rFonts w:eastAsiaTheme="minorHAnsi" w:cs="Arial"/>
          <w:sz w:val="22"/>
          <w:szCs w:val="22"/>
        </w:rPr>
      </w:pPr>
    </w:p>
    <w:p w14:paraId="7CD779F0" w14:textId="77777777" w:rsidR="004F59D4" w:rsidRPr="004229D9" w:rsidRDefault="004F59D4" w:rsidP="004F59D4">
      <w:pPr>
        <w:spacing w:line="276" w:lineRule="auto"/>
        <w:jc w:val="both"/>
        <w:rPr>
          <w:rFonts w:cs="Arial"/>
          <w:sz w:val="22"/>
          <w:szCs w:val="22"/>
          <w:lang w:val="en-US"/>
        </w:rPr>
      </w:pPr>
      <w:r w:rsidRPr="004229D9">
        <w:rPr>
          <w:rFonts w:cs="Arial"/>
          <w:b/>
          <w:sz w:val="22"/>
          <w:szCs w:val="22"/>
        </w:rPr>
        <w:t>Transfers to Local Government</w:t>
      </w:r>
    </w:p>
    <w:p w14:paraId="716DD576" w14:textId="6BCCCC04" w:rsidR="004F59D4" w:rsidRDefault="004F59D4" w:rsidP="004F59D4">
      <w:pPr>
        <w:autoSpaceDE w:val="0"/>
        <w:autoSpaceDN w:val="0"/>
        <w:adjustRightInd w:val="0"/>
        <w:spacing w:line="276" w:lineRule="auto"/>
        <w:jc w:val="both"/>
        <w:rPr>
          <w:rFonts w:eastAsiaTheme="minorHAnsi" w:cs="Arial"/>
          <w:sz w:val="22"/>
          <w:szCs w:val="22"/>
        </w:rPr>
      </w:pPr>
      <w:r w:rsidRPr="00765985">
        <w:rPr>
          <w:rFonts w:eastAsiaTheme="minorHAnsi" w:cs="Arial"/>
          <w:sz w:val="22"/>
          <w:szCs w:val="22"/>
        </w:rPr>
        <w:t xml:space="preserve">The Committee noted that the Department transferred </w:t>
      </w:r>
      <w:r w:rsidRPr="00B17A10">
        <w:rPr>
          <w:rFonts w:eastAsiaTheme="minorHAnsi" w:cs="Arial"/>
          <w:sz w:val="22"/>
          <w:szCs w:val="22"/>
        </w:rPr>
        <w:t xml:space="preserve">R5 million in 2017/18 for the establishment and operationalisation of the </w:t>
      </w:r>
      <w:proofErr w:type="spellStart"/>
      <w:r w:rsidRPr="00B17A10">
        <w:rPr>
          <w:rFonts w:eastAsiaTheme="minorHAnsi" w:cs="Arial"/>
          <w:sz w:val="22"/>
          <w:szCs w:val="22"/>
        </w:rPr>
        <w:t>Isigayo</w:t>
      </w:r>
      <w:proofErr w:type="spellEnd"/>
      <w:r w:rsidRPr="00B17A10">
        <w:rPr>
          <w:rFonts w:eastAsiaTheme="minorHAnsi" w:cs="Arial"/>
          <w:sz w:val="22"/>
          <w:szCs w:val="22"/>
        </w:rPr>
        <w:t xml:space="preserve"> milling plant in the Randfontein area. Furthermore, in the 2018/19 financial year the department transferred R4 million to West Rand District Municipality for the development of an </w:t>
      </w:r>
      <w:r w:rsidR="00395E08" w:rsidRPr="00B17A10">
        <w:rPr>
          <w:rFonts w:eastAsiaTheme="minorHAnsi" w:cs="Arial"/>
          <w:sz w:val="22"/>
          <w:szCs w:val="22"/>
        </w:rPr>
        <w:t>agro processing</w:t>
      </w:r>
      <w:r w:rsidRPr="00B17A10">
        <w:rPr>
          <w:rFonts w:eastAsiaTheme="minorHAnsi" w:cs="Arial"/>
          <w:sz w:val="22"/>
          <w:szCs w:val="22"/>
        </w:rPr>
        <w:t xml:space="preserve"> milling plant. There are no planned transfers to local municipalities</w:t>
      </w:r>
      <w:r>
        <w:rPr>
          <w:rFonts w:eastAsiaTheme="minorHAnsi" w:cs="Arial"/>
          <w:sz w:val="22"/>
          <w:szCs w:val="22"/>
        </w:rPr>
        <w:t xml:space="preserve"> </w:t>
      </w:r>
      <w:r w:rsidRPr="00E56857">
        <w:rPr>
          <w:rFonts w:eastAsiaTheme="minorHAnsi" w:cs="Arial"/>
          <w:sz w:val="22"/>
          <w:szCs w:val="22"/>
        </w:rPr>
        <w:t>in the year under review.</w:t>
      </w:r>
    </w:p>
    <w:p w14:paraId="683F1466" w14:textId="6CD036D7" w:rsidR="00B06C19" w:rsidRPr="00654D49" w:rsidRDefault="00654D49" w:rsidP="00F3066B">
      <w:pPr>
        <w:autoSpaceDE w:val="0"/>
        <w:autoSpaceDN w:val="0"/>
        <w:adjustRightInd w:val="0"/>
        <w:spacing w:line="276" w:lineRule="auto"/>
        <w:jc w:val="both"/>
        <w:rPr>
          <w:rFonts w:cs="Arial"/>
          <w:b/>
          <w:sz w:val="22"/>
          <w:szCs w:val="22"/>
          <w:lang w:val="en-US"/>
        </w:rPr>
      </w:pPr>
      <w:bookmarkStart w:id="12" w:name="_Hlk42590469"/>
      <w:r w:rsidRPr="00654D49">
        <w:rPr>
          <w:rFonts w:eastAsiaTheme="minorHAnsi" w:cs="Arial"/>
          <w:b/>
          <w:sz w:val="22"/>
          <w:szCs w:val="22"/>
        </w:rPr>
        <w:t xml:space="preserve">   </w:t>
      </w:r>
    </w:p>
    <w:p w14:paraId="4C2693D2" w14:textId="77777777" w:rsidR="00F94DB1" w:rsidRPr="001B031E" w:rsidRDefault="00F94DB1" w:rsidP="00303322">
      <w:pPr>
        <w:pStyle w:val="ListParagraph"/>
        <w:numPr>
          <w:ilvl w:val="0"/>
          <w:numId w:val="6"/>
        </w:numPr>
        <w:shd w:val="clear" w:color="auto" w:fill="BFBFBF" w:themeFill="background1" w:themeFillShade="BF"/>
        <w:autoSpaceDE w:val="0"/>
        <w:autoSpaceDN w:val="0"/>
        <w:adjustRightInd w:val="0"/>
        <w:spacing w:line="276" w:lineRule="auto"/>
        <w:ind w:left="284" w:hanging="284"/>
        <w:jc w:val="both"/>
        <w:rPr>
          <w:rFonts w:cs="Arial"/>
          <w:b/>
          <w:sz w:val="24"/>
          <w:szCs w:val="24"/>
          <w:lang w:val="fr-FR"/>
        </w:rPr>
      </w:pPr>
      <w:bookmarkStart w:id="13" w:name="_Toc136657135"/>
      <w:bookmarkEnd w:id="12"/>
      <w:r w:rsidRPr="001B031E">
        <w:rPr>
          <w:rFonts w:cs="Arial"/>
          <w:b/>
          <w:sz w:val="24"/>
          <w:szCs w:val="24"/>
          <w:lang w:val="fr-FR"/>
        </w:rPr>
        <w:t>Assessment Per Programme</w:t>
      </w:r>
    </w:p>
    <w:p w14:paraId="7F01CD48" w14:textId="77777777" w:rsidR="00F94DB1" w:rsidRDefault="00F94DB1" w:rsidP="00877A3F">
      <w:pPr>
        <w:autoSpaceDE w:val="0"/>
        <w:autoSpaceDN w:val="0"/>
        <w:adjustRightInd w:val="0"/>
        <w:spacing w:line="276" w:lineRule="auto"/>
        <w:jc w:val="both"/>
        <w:rPr>
          <w:rFonts w:cs="Arial"/>
          <w:b/>
          <w:sz w:val="24"/>
          <w:szCs w:val="24"/>
          <w:lang w:val="fr-FR"/>
        </w:rPr>
      </w:pPr>
    </w:p>
    <w:p w14:paraId="032D35E0" w14:textId="427B6664" w:rsidR="000D4BA5" w:rsidRPr="00AD33B4" w:rsidRDefault="00F34B48" w:rsidP="005F4F6B">
      <w:pPr>
        <w:autoSpaceDE w:val="0"/>
        <w:autoSpaceDN w:val="0"/>
        <w:adjustRightInd w:val="0"/>
        <w:spacing w:line="276" w:lineRule="auto"/>
        <w:jc w:val="both"/>
        <w:rPr>
          <w:rFonts w:cs="Arial"/>
          <w:b/>
          <w:sz w:val="22"/>
          <w:szCs w:val="22"/>
          <w:lang w:val="fr-FR"/>
        </w:rPr>
      </w:pPr>
      <w:r w:rsidRPr="00AD33B4">
        <w:rPr>
          <w:rFonts w:cs="Arial"/>
          <w:b/>
          <w:sz w:val="22"/>
          <w:szCs w:val="22"/>
          <w:lang w:val="fr-FR"/>
        </w:rPr>
        <w:t>6.1 PROGRAMME</w:t>
      </w:r>
      <w:r w:rsidR="000D4BA5" w:rsidRPr="00AD33B4">
        <w:rPr>
          <w:rFonts w:cs="Arial"/>
          <w:b/>
          <w:sz w:val="22"/>
          <w:szCs w:val="22"/>
          <w:lang w:val="fr-FR"/>
        </w:rPr>
        <w:t xml:space="preserve"> </w:t>
      </w:r>
      <w:r w:rsidR="00531066" w:rsidRPr="00AD33B4">
        <w:rPr>
          <w:rFonts w:cs="Arial"/>
          <w:b/>
          <w:sz w:val="22"/>
          <w:szCs w:val="22"/>
          <w:lang w:val="fr-FR"/>
        </w:rPr>
        <w:t>1 :</w:t>
      </w:r>
      <w:r w:rsidR="000D4BA5" w:rsidRPr="00AD33B4">
        <w:rPr>
          <w:rFonts w:cs="Arial"/>
          <w:b/>
          <w:sz w:val="22"/>
          <w:szCs w:val="22"/>
          <w:lang w:val="fr-FR"/>
        </w:rPr>
        <w:t xml:space="preserve"> </w:t>
      </w:r>
      <w:bookmarkEnd w:id="13"/>
      <w:r w:rsidR="000D4BA5" w:rsidRPr="00AD33B4">
        <w:rPr>
          <w:rFonts w:cs="Arial"/>
          <w:b/>
          <w:sz w:val="22"/>
          <w:szCs w:val="22"/>
          <w:lang w:val="fr-FR"/>
        </w:rPr>
        <w:t xml:space="preserve">ADMINISTRATION </w:t>
      </w:r>
    </w:p>
    <w:p w14:paraId="78788972" w14:textId="04541BFE" w:rsidR="00E82B6D" w:rsidRPr="00952EB3" w:rsidRDefault="00E82B6D" w:rsidP="003D563E">
      <w:pPr>
        <w:tabs>
          <w:tab w:val="left" w:pos="1500"/>
        </w:tabs>
        <w:spacing w:line="276" w:lineRule="auto"/>
        <w:jc w:val="both"/>
        <w:rPr>
          <w:rFonts w:cs="Arial"/>
          <w:sz w:val="22"/>
          <w:szCs w:val="22"/>
          <w:lang w:val="en-US"/>
        </w:rPr>
      </w:pPr>
      <w:r w:rsidRPr="003D563E">
        <w:rPr>
          <w:rFonts w:cs="Arial"/>
          <w:sz w:val="22"/>
          <w:szCs w:val="22"/>
          <w:lang w:val="en-US"/>
        </w:rPr>
        <w:t>The Administration programme consists of four sub-program</w:t>
      </w:r>
      <w:r w:rsidR="00171231" w:rsidRPr="003D563E">
        <w:rPr>
          <w:rFonts w:cs="Arial"/>
          <w:sz w:val="22"/>
          <w:szCs w:val="22"/>
          <w:lang w:val="en-US"/>
        </w:rPr>
        <w:t xml:space="preserve">mes namely, office of the MEC, </w:t>
      </w:r>
      <w:r w:rsidR="00171231" w:rsidRPr="00952EB3">
        <w:rPr>
          <w:rFonts w:cs="Arial"/>
          <w:sz w:val="22"/>
          <w:szCs w:val="22"/>
          <w:lang w:val="en-US"/>
        </w:rPr>
        <w:t>Senior Management, C</w:t>
      </w:r>
      <w:r w:rsidRPr="00952EB3">
        <w:rPr>
          <w:rFonts w:cs="Arial"/>
          <w:sz w:val="22"/>
          <w:szCs w:val="22"/>
          <w:lang w:val="en-US"/>
        </w:rPr>
        <w:t>o</w:t>
      </w:r>
      <w:r w:rsidR="00171231" w:rsidRPr="00952EB3">
        <w:rPr>
          <w:rFonts w:cs="Arial"/>
          <w:sz w:val="22"/>
          <w:szCs w:val="22"/>
          <w:lang w:val="en-US"/>
        </w:rPr>
        <w:t xml:space="preserve">operate Services and Financial Management. </w:t>
      </w:r>
      <w:r w:rsidR="00DC748D" w:rsidRPr="00952EB3">
        <w:rPr>
          <w:rFonts w:cs="Arial"/>
          <w:sz w:val="22"/>
          <w:szCs w:val="22"/>
          <w:lang w:val="en-US"/>
        </w:rPr>
        <w:t>The p</w:t>
      </w:r>
      <w:r w:rsidR="00171231" w:rsidRPr="00952EB3">
        <w:rPr>
          <w:rFonts w:cs="Arial"/>
          <w:sz w:val="22"/>
          <w:szCs w:val="22"/>
          <w:lang w:val="en-US"/>
        </w:rPr>
        <w:t>rogramme provides s</w:t>
      </w:r>
      <w:r w:rsidRPr="00952EB3">
        <w:rPr>
          <w:rFonts w:cs="Arial"/>
          <w:sz w:val="22"/>
          <w:szCs w:val="22"/>
          <w:lang w:val="en-US"/>
        </w:rPr>
        <w:t>ervice delivery quality, human resource management and development, efficient and effective governance, Business process</w:t>
      </w:r>
      <w:r w:rsidR="009F5702" w:rsidRPr="00952EB3">
        <w:rPr>
          <w:rFonts w:cs="Arial"/>
          <w:sz w:val="22"/>
          <w:szCs w:val="22"/>
          <w:lang w:val="en-US"/>
        </w:rPr>
        <w:t>es</w:t>
      </w:r>
      <w:r w:rsidR="00A1363B" w:rsidRPr="00952EB3">
        <w:rPr>
          <w:rFonts w:cs="Arial"/>
          <w:sz w:val="22"/>
          <w:szCs w:val="22"/>
          <w:lang w:val="en-US"/>
        </w:rPr>
        <w:t>.</w:t>
      </w:r>
    </w:p>
    <w:p w14:paraId="148240A5" w14:textId="77777777" w:rsidR="00852D37" w:rsidRDefault="00852D37" w:rsidP="00DA1A1E">
      <w:pPr>
        <w:tabs>
          <w:tab w:val="left" w:pos="1500"/>
        </w:tabs>
        <w:jc w:val="both"/>
        <w:rPr>
          <w:rFonts w:cs="Arial"/>
          <w:sz w:val="22"/>
          <w:szCs w:val="22"/>
          <w:lang w:val="en-US"/>
        </w:rPr>
      </w:pPr>
    </w:p>
    <w:p w14:paraId="386F4FD7" w14:textId="5FAD2EB7" w:rsidR="00DA1A1E" w:rsidRPr="00DA1A1E" w:rsidRDefault="00852D37" w:rsidP="00DA1A1E">
      <w:pPr>
        <w:tabs>
          <w:tab w:val="left" w:pos="1500"/>
        </w:tabs>
        <w:jc w:val="both"/>
        <w:rPr>
          <w:rFonts w:cs="Arial"/>
          <w:b/>
          <w:bCs/>
        </w:rPr>
      </w:pPr>
      <w:r>
        <w:rPr>
          <w:rFonts w:cs="Arial"/>
          <w:b/>
          <w:bCs/>
          <w:sz w:val="24"/>
          <w:szCs w:val="24"/>
        </w:rPr>
        <w:t xml:space="preserve">Table 3 </w:t>
      </w:r>
      <w:r w:rsidR="00DA1A1E" w:rsidRPr="00916315">
        <w:rPr>
          <w:rFonts w:cs="Arial"/>
          <w:b/>
          <w:bCs/>
          <w:sz w:val="24"/>
          <w:szCs w:val="24"/>
        </w:rPr>
        <w:t xml:space="preserve">Administration </w:t>
      </w:r>
      <w:r w:rsidR="00531066" w:rsidRPr="00916315">
        <w:rPr>
          <w:rFonts w:cs="Arial"/>
          <w:b/>
          <w:bCs/>
          <w:sz w:val="24"/>
          <w:szCs w:val="24"/>
        </w:rPr>
        <w:t xml:space="preserve">APPs </w:t>
      </w:r>
      <w:r w:rsidR="00531066">
        <w:rPr>
          <w:rFonts w:cs="Arial"/>
          <w:b/>
          <w:bCs/>
          <w:sz w:val="24"/>
          <w:szCs w:val="24"/>
        </w:rPr>
        <w:t>-</w:t>
      </w:r>
      <w:r w:rsidR="00DA1A1E">
        <w:rPr>
          <w:rFonts w:cs="Arial"/>
          <w:b/>
          <w:bCs/>
          <w:sz w:val="24"/>
          <w:szCs w:val="24"/>
        </w:rPr>
        <w:t xml:space="preserve"> </w:t>
      </w:r>
      <w:r w:rsidR="00DA1A1E" w:rsidRPr="005B5E33">
        <w:rPr>
          <w:rFonts w:cs="Arial"/>
          <w:b/>
          <w:bCs/>
        </w:rPr>
        <w:t xml:space="preserve">Office of The CFO </w:t>
      </w:r>
      <w:r w:rsidR="00DA1A1E">
        <w:rPr>
          <w:rFonts w:cs="Arial"/>
          <w:b/>
          <w:bCs/>
        </w:rPr>
        <w:t>APPs</w:t>
      </w:r>
      <w:r w:rsidR="00DA1A1E" w:rsidRPr="005B5E33">
        <w:rPr>
          <w:rFonts w:cs="Arial"/>
          <w:b/>
          <w:bCs/>
        </w:rPr>
        <w:t xml:space="preserv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106"/>
        <w:gridCol w:w="1020"/>
        <w:gridCol w:w="939"/>
      </w:tblGrid>
      <w:tr w:rsidR="004F0689" w:rsidRPr="00BB587E" w14:paraId="02400AD9" w14:textId="77777777" w:rsidTr="00AD4A08">
        <w:trPr>
          <w:trHeight w:val="290"/>
        </w:trPr>
        <w:tc>
          <w:tcPr>
            <w:tcW w:w="7088" w:type="dxa"/>
            <w:vMerge w:val="restart"/>
            <w:shd w:val="clear" w:color="000000" w:fill="BFBFBF"/>
            <w:noWrap/>
            <w:vAlign w:val="center"/>
            <w:hideMark/>
          </w:tcPr>
          <w:p w14:paraId="6E67111F" w14:textId="77777777" w:rsidR="004F0689" w:rsidRPr="00BB587E" w:rsidRDefault="004F0689" w:rsidP="00014A82">
            <w:pPr>
              <w:rPr>
                <w:rFonts w:cs="Arial"/>
                <w:b/>
                <w:bCs/>
                <w:color w:val="000000"/>
                <w:lang w:eastAsia="en-ZA"/>
              </w:rPr>
            </w:pPr>
            <w:r w:rsidRPr="00BB587E">
              <w:rPr>
                <w:rFonts w:cs="Arial"/>
                <w:b/>
                <w:bCs/>
                <w:color w:val="000000"/>
                <w:lang w:eastAsia="en-ZA"/>
              </w:rPr>
              <w:t>Output Indicator</w:t>
            </w:r>
          </w:p>
        </w:tc>
        <w:tc>
          <w:tcPr>
            <w:tcW w:w="2977" w:type="dxa"/>
            <w:gridSpan w:val="3"/>
            <w:shd w:val="clear" w:color="000000" w:fill="BFBFBF"/>
            <w:noWrap/>
            <w:vAlign w:val="bottom"/>
            <w:hideMark/>
          </w:tcPr>
          <w:p w14:paraId="0308C37B" w14:textId="77777777" w:rsidR="004F0689" w:rsidRPr="00BB587E" w:rsidRDefault="004F0689" w:rsidP="00014A82">
            <w:pPr>
              <w:jc w:val="center"/>
              <w:rPr>
                <w:rFonts w:cs="Arial"/>
                <w:b/>
                <w:bCs/>
                <w:color w:val="000000"/>
                <w:lang w:eastAsia="en-ZA"/>
              </w:rPr>
            </w:pPr>
            <w:r w:rsidRPr="00BB587E">
              <w:rPr>
                <w:rFonts w:cs="Arial"/>
                <w:b/>
                <w:bCs/>
                <w:color w:val="000000"/>
                <w:lang w:eastAsia="en-ZA"/>
              </w:rPr>
              <w:t>MTEF Period</w:t>
            </w:r>
          </w:p>
        </w:tc>
      </w:tr>
      <w:tr w:rsidR="004F0689" w:rsidRPr="00BB587E" w14:paraId="42E2730C" w14:textId="77777777" w:rsidTr="00AD4A08">
        <w:trPr>
          <w:trHeight w:val="290"/>
        </w:trPr>
        <w:tc>
          <w:tcPr>
            <w:tcW w:w="7088" w:type="dxa"/>
            <w:vMerge/>
            <w:vAlign w:val="center"/>
            <w:hideMark/>
          </w:tcPr>
          <w:p w14:paraId="6DECCD0C" w14:textId="77777777" w:rsidR="004F0689" w:rsidRPr="00BB587E" w:rsidRDefault="004F0689" w:rsidP="00014A82">
            <w:pPr>
              <w:rPr>
                <w:rFonts w:cs="Arial"/>
                <w:b/>
                <w:bCs/>
                <w:color w:val="000000"/>
                <w:lang w:eastAsia="en-ZA"/>
              </w:rPr>
            </w:pPr>
          </w:p>
        </w:tc>
        <w:tc>
          <w:tcPr>
            <w:tcW w:w="1106" w:type="dxa"/>
            <w:shd w:val="clear" w:color="000000" w:fill="BFBFBF"/>
            <w:noWrap/>
            <w:vAlign w:val="bottom"/>
            <w:hideMark/>
          </w:tcPr>
          <w:p w14:paraId="30832843" w14:textId="77777777" w:rsidR="004F0689" w:rsidRPr="00BB587E" w:rsidRDefault="004F0689" w:rsidP="00014A82">
            <w:pPr>
              <w:jc w:val="center"/>
              <w:rPr>
                <w:rFonts w:cs="Arial"/>
                <w:b/>
                <w:bCs/>
                <w:color w:val="000000"/>
                <w:lang w:eastAsia="en-ZA"/>
              </w:rPr>
            </w:pPr>
            <w:r w:rsidRPr="00BB587E">
              <w:rPr>
                <w:rFonts w:cs="Arial"/>
                <w:b/>
                <w:bCs/>
                <w:color w:val="000000"/>
                <w:lang w:eastAsia="en-ZA"/>
              </w:rPr>
              <w:t>2021/22</w:t>
            </w:r>
          </w:p>
        </w:tc>
        <w:tc>
          <w:tcPr>
            <w:tcW w:w="1020" w:type="dxa"/>
            <w:shd w:val="clear" w:color="000000" w:fill="BFBFBF"/>
            <w:noWrap/>
            <w:vAlign w:val="bottom"/>
            <w:hideMark/>
          </w:tcPr>
          <w:p w14:paraId="32AC5BB2" w14:textId="77777777" w:rsidR="004F0689" w:rsidRPr="00BB587E" w:rsidRDefault="004F0689" w:rsidP="00014A82">
            <w:pPr>
              <w:jc w:val="center"/>
              <w:rPr>
                <w:rFonts w:cs="Arial"/>
                <w:b/>
                <w:bCs/>
                <w:color w:val="000000"/>
                <w:lang w:eastAsia="en-ZA"/>
              </w:rPr>
            </w:pPr>
            <w:r w:rsidRPr="00BB587E">
              <w:rPr>
                <w:rFonts w:cs="Arial"/>
                <w:b/>
                <w:bCs/>
                <w:color w:val="000000"/>
                <w:lang w:eastAsia="en-ZA"/>
              </w:rPr>
              <w:t>2022/23</w:t>
            </w:r>
          </w:p>
        </w:tc>
        <w:tc>
          <w:tcPr>
            <w:tcW w:w="851" w:type="dxa"/>
            <w:shd w:val="clear" w:color="000000" w:fill="BFBFBF"/>
            <w:noWrap/>
            <w:vAlign w:val="bottom"/>
            <w:hideMark/>
          </w:tcPr>
          <w:p w14:paraId="19468ED6" w14:textId="77777777" w:rsidR="004F0689" w:rsidRPr="00BB587E" w:rsidRDefault="004F0689" w:rsidP="00014A82">
            <w:pPr>
              <w:jc w:val="center"/>
              <w:rPr>
                <w:rFonts w:cs="Arial"/>
                <w:b/>
                <w:bCs/>
                <w:color w:val="000000"/>
                <w:lang w:eastAsia="en-ZA"/>
              </w:rPr>
            </w:pPr>
            <w:r w:rsidRPr="00BB587E">
              <w:rPr>
                <w:rFonts w:cs="Arial"/>
                <w:b/>
                <w:bCs/>
                <w:color w:val="000000"/>
                <w:lang w:eastAsia="en-ZA"/>
              </w:rPr>
              <w:t>2023/24</w:t>
            </w:r>
          </w:p>
        </w:tc>
      </w:tr>
      <w:tr w:rsidR="004F0689" w:rsidRPr="00BB587E" w14:paraId="2AFEA419" w14:textId="77777777" w:rsidTr="00AD4A08">
        <w:trPr>
          <w:trHeight w:val="467"/>
        </w:trPr>
        <w:tc>
          <w:tcPr>
            <w:tcW w:w="7088" w:type="dxa"/>
            <w:shd w:val="clear" w:color="auto" w:fill="auto"/>
            <w:vAlign w:val="center"/>
            <w:hideMark/>
          </w:tcPr>
          <w:p w14:paraId="04645BE5" w14:textId="77777777" w:rsidR="004F0689" w:rsidRPr="00BB587E" w:rsidRDefault="004F0689" w:rsidP="00014A82">
            <w:pPr>
              <w:rPr>
                <w:rFonts w:cs="Arial"/>
                <w:color w:val="000000"/>
                <w:lang w:eastAsia="en-ZA"/>
              </w:rPr>
            </w:pPr>
            <w:r w:rsidRPr="00BB587E">
              <w:rPr>
                <w:rFonts w:cs="Arial"/>
                <w:color w:val="000000"/>
                <w:lang w:eastAsia="en-ZA"/>
              </w:rPr>
              <w:t>Percentage of invoices paid within 15 working days of receipt</w:t>
            </w:r>
          </w:p>
        </w:tc>
        <w:tc>
          <w:tcPr>
            <w:tcW w:w="1106" w:type="dxa"/>
            <w:shd w:val="clear" w:color="auto" w:fill="auto"/>
            <w:noWrap/>
            <w:vAlign w:val="center"/>
            <w:hideMark/>
          </w:tcPr>
          <w:p w14:paraId="19260D13" w14:textId="77777777" w:rsidR="004F0689" w:rsidRPr="00BB587E" w:rsidRDefault="004F0689" w:rsidP="00014A82">
            <w:pPr>
              <w:jc w:val="center"/>
              <w:rPr>
                <w:rFonts w:cs="Arial"/>
                <w:color w:val="000000"/>
                <w:lang w:eastAsia="en-ZA"/>
              </w:rPr>
            </w:pPr>
            <w:r w:rsidRPr="00BB587E">
              <w:rPr>
                <w:rFonts w:cs="Arial"/>
                <w:color w:val="000000"/>
                <w:lang w:eastAsia="en-ZA"/>
              </w:rPr>
              <w:t>Not measured</w:t>
            </w:r>
          </w:p>
        </w:tc>
        <w:tc>
          <w:tcPr>
            <w:tcW w:w="1020" w:type="dxa"/>
            <w:shd w:val="clear" w:color="auto" w:fill="auto"/>
            <w:noWrap/>
            <w:vAlign w:val="center"/>
            <w:hideMark/>
          </w:tcPr>
          <w:p w14:paraId="63D0642C" w14:textId="77777777" w:rsidR="004F0689" w:rsidRPr="00BB587E" w:rsidRDefault="004F0689" w:rsidP="00014A82">
            <w:pPr>
              <w:jc w:val="center"/>
              <w:rPr>
                <w:rFonts w:cs="Arial"/>
                <w:color w:val="000000"/>
                <w:lang w:eastAsia="en-ZA"/>
              </w:rPr>
            </w:pPr>
            <w:r w:rsidRPr="00BB587E">
              <w:rPr>
                <w:rFonts w:cs="Arial"/>
                <w:color w:val="000000"/>
                <w:lang w:eastAsia="en-ZA"/>
              </w:rPr>
              <w:t>100%</w:t>
            </w:r>
          </w:p>
        </w:tc>
        <w:tc>
          <w:tcPr>
            <w:tcW w:w="851" w:type="dxa"/>
            <w:shd w:val="clear" w:color="auto" w:fill="auto"/>
            <w:noWrap/>
            <w:vAlign w:val="center"/>
            <w:hideMark/>
          </w:tcPr>
          <w:p w14:paraId="4C9FD6C2" w14:textId="77777777" w:rsidR="004F0689" w:rsidRPr="00BB587E" w:rsidRDefault="004F0689" w:rsidP="00014A82">
            <w:pPr>
              <w:jc w:val="center"/>
              <w:rPr>
                <w:rFonts w:cs="Arial"/>
                <w:color w:val="000000"/>
                <w:lang w:eastAsia="en-ZA"/>
              </w:rPr>
            </w:pPr>
            <w:r w:rsidRPr="00BB587E">
              <w:rPr>
                <w:rFonts w:cs="Arial"/>
                <w:color w:val="000000"/>
                <w:lang w:eastAsia="en-ZA"/>
              </w:rPr>
              <w:t>100%</w:t>
            </w:r>
          </w:p>
        </w:tc>
      </w:tr>
      <w:tr w:rsidR="004F0689" w:rsidRPr="00BB587E" w14:paraId="0B1983C4" w14:textId="77777777" w:rsidTr="00AD4A08">
        <w:trPr>
          <w:trHeight w:val="377"/>
        </w:trPr>
        <w:tc>
          <w:tcPr>
            <w:tcW w:w="7088" w:type="dxa"/>
            <w:shd w:val="clear" w:color="auto" w:fill="auto"/>
            <w:vAlign w:val="center"/>
            <w:hideMark/>
          </w:tcPr>
          <w:p w14:paraId="05EA21D6" w14:textId="77777777" w:rsidR="004F0689" w:rsidRPr="00BB587E" w:rsidRDefault="004F0689" w:rsidP="00014A82">
            <w:pPr>
              <w:rPr>
                <w:rFonts w:cs="Arial"/>
                <w:color w:val="000000"/>
                <w:lang w:eastAsia="en-ZA"/>
              </w:rPr>
            </w:pPr>
            <w:r w:rsidRPr="00BB587E">
              <w:rPr>
                <w:rFonts w:cs="Arial"/>
                <w:color w:val="000000"/>
                <w:lang w:eastAsia="en-ZA"/>
              </w:rPr>
              <w:t>Percentage of total procurement that targets businesses owned by Women</w:t>
            </w:r>
          </w:p>
        </w:tc>
        <w:tc>
          <w:tcPr>
            <w:tcW w:w="1106" w:type="dxa"/>
            <w:shd w:val="clear" w:color="auto" w:fill="auto"/>
            <w:noWrap/>
            <w:vAlign w:val="center"/>
            <w:hideMark/>
          </w:tcPr>
          <w:p w14:paraId="0220BE8D" w14:textId="77777777" w:rsidR="004F0689" w:rsidRPr="00BB587E" w:rsidRDefault="004F0689" w:rsidP="00014A82">
            <w:pPr>
              <w:jc w:val="center"/>
              <w:rPr>
                <w:rFonts w:cs="Arial"/>
                <w:color w:val="000000"/>
                <w:lang w:eastAsia="en-ZA"/>
              </w:rPr>
            </w:pPr>
            <w:r w:rsidRPr="00BB587E">
              <w:rPr>
                <w:rFonts w:cs="Arial"/>
                <w:color w:val="000000"/>
                <w:lang w:eastAsia="en-ZA"/>
              </w:rPr>
              <w:t>40%</w:t>
            </w:r>
          </w:p>
        </w:tc>
        <w:tc>
          <w:tcPr>
            <w:tcW w:w="1020" w:type="dxa"/>
            <w:shd w:val="clear" w:color="auto" w:fill="auto"/>
            <w:noWrap/>
            <w:vAlign w:val="center"/>
            <w:hideMark/>
          </w:tcPr>
          <w:p w14:paraId="3D3AD65A" w14:textId="77777777" w:rsidR="004F0689" w:rsidRPr="00BB587E" w:rsidRDefault="004F0689" w:rsidP="00014A82">
            <w:pPr>
              <w:jc w:val="center"/>
              <w:rPr>
                <w:rFonts w:cs="Arial"/>
                <w:color w:val="000000"/>
                <w:lang w:eastAsia="en-ZA"/>
              </w:rPr>
            </w:pPr>
            <w:r w:rsidRPr="00BB587E">
              <w:rPr>
                <w:rFonts w:cs="Arial"/>
                <w:color w:val="000000"/>
                <w:lang w:eastAsia="en-ZA"/>
              </w:rPr>
              <w:t>40%</w:t>
            </w:r>
          </w:p>
        </w:tc>
        <w:tc>
          <w:tcPr>
            <w:tcW w:w="851" w:type="dxa"/>
            <w:shd w:val="clear" w:color="auto" w:fill="auto"/>
            <w:noWrap/>
            <w:vAlign w:val="center"/>
            <w:hideMark/>
          </w:tcPr>
          <w:p w14:paraId="153E1E35" w14:textId="77777777" w:rsidR="004F0689" w:rsidRPr="00BB587E" w:rsidRDefault="004F0689" w:rsidP="00014A82">
            <w:pPr>
              <w:jc w:val="center"/>
              <w:rPr>
                <w:rFonts w:cs="Arial"/>
                <w:color w:val="000000"/>
                <w:lang w:eastAsia="en-ZA"/>
              </w:rPr>
            </w:pPr>
            <w:r w:rsidRPr="00BB587E">
              <w:rPr>
                <w:rFonts w:cs="Arial"/>
                <w:color w:val="000000"/>
                <w:lang w:eastAsia="en-ZA"/>
              </w:rPr>
              <w:t>40%</w:t>
            </w:r>
          </w:p>
        </w:tc>
      </w:tr>
      <w:tr w:rsidR="004F0689" w:rsidRPr="00BB587E" w14:paraId="5ED6755D" w14:textId="77777777" w:rsidTr="00AD4A08">
        <w:trPr>
          <w:trHeight w:val="425"/>
        </w:trPr>
        <w:tc>
          <w:tcPr>
            <w:tcW w:w="7088" w:type="dxa"/>
            <w:shd w:val="clear" w:color="auto" w:fill="auto"/>
            <w:vAlign w:val="center"/>
            <w:hideMark/>
          </w:tcPr>
          <w:p w14:paraId="6CE0A5A1" w14:textId="77777777" w:rsidR="004F0689" w:rsidRPr="00BB587E" w:rsidRDefault="004F0689" w:rsidP="00014A82">
            <w:pPr>
              <w:rPr>
                <w:rFonts w:cs="Arial"/>
                <w:color w:val="000000"/>
                <w:lang w:eastAsia="en-ZA"/>
              </w:rPr>
            </w:pPr>
            <w:r w:rsidRPr="00BB587E">
              <w:rPr>
                <w:rFonts w:cs="Arial"/>
                <w:color w:val="000000"/>
                <w:lang w:eastAsia="en-ZA"/>
              </w:rPr>
              <w:t>Percentage of total procurement that targets businesses owned by Youth</w:t>
            </w:r>
          </w:p>
        </w:tc>
        <w:tc>
          <w:tcPr>
            <w:tcW w:w="1106" w:type="dxa"/>
            <w:shd w:val="clear" w:color="auto" w:fill="auto"/>
            <w:noWrap/>
            <w:vAlign w:val="center"/>
            <w:hideMark/>
          </w:tcPr>
          <w:p w14:paraId="013F10DF" w14:textId="77777777" w:rsidR="004F0689" w:rsidRPr="00BB587E" w:rsidRDefault="004F0689" w:rsidP="00014A82">
            <w:pPr>
              <w:jc w:val="center"/>
              <w:rPr>
                <w:rFonts w:cs="Arial"/>
                <w:color w:val="000000"/>
                <w:lang w:eastAsia="en-ZA"/>
              </w:rPr>
            </w:pPr>
            <w:r w:rsidRPr="00BB587E">
              <w:rPr>
                <w:rFonts w:cs="Arial"/>
                <w:color w:val="000000"/>
                <w:lang w:eastAsia="en-ZA"/>
              </w:rPr>
              <w:t>30%</w:t>
            </w:r>
          </w:p>
        </w:tc>
        <w:tc>
          <w:tcPr>
            <w:tcW w:w="1020" w:type="dxa"/>
            <w:shd w:val="clear" w:color="auto" w:fill="auto"/>
            <w:noWrap/>
            <w:vAlign w:val="center"/>
            <w:hideMark/>
          </w:tcPr>
          <w:p w14:paraId="6B76E665" w14:textId="77777777" w:rsidR="004F0689" w:rsidRPr="00BB587E" w:rsidRDefault="004F0689" w:rsidP="00014A82">
            <w:pPr>
              <w:jc w:val="center"/>
              <w:rPr>
                <w:rFonts w:cs="Arial"/>
                <w:color w:val="000000"/>
                <w:lang w:eastAsia="en-ZA"/>
              </w:rPr>
            </w:pPr>
            <w:r w:rsidRPr="00BB587E">
              <w:rPr>
                <w:rFonts w:cs="Arial"/>
                <w:color w:val="000000"/>
                <w:lang w:eastAsia="en-ZA"/>
              </w:rPr>
              <w:t>30%</w:t>
            </w:r>
          </w:p>
        </w:tc>
        <w:tc>
          <w:tcPr>
            <w:tcW w:w="851" w:type="dxa"/>
            <w:shd w:val="clear" w:color="auto" w:fill="auto"/>
            <w:noWrap/>
            <w:vAlign w:val="center"/>
            <w:hideMark/>
          </w:tcPr>
          <w:p w14:paraId="4B71910D" w14:textId="77777777" w:rsidR="004F0689" w:rsidRPr="00BB587E" w:rsidRDefault="004F0689" w:rsidP="00014A82">
            <w:pPr>
              <w:jc w:val="center"/>
              <w:rPr>
                <w:rFonts w:cs="Arial"/>
                <w:color w:val="000000"/>
                <w:lang w:eastAsia="en-ZA"/>
              </w:rPr>
            </w:pPr>
            <w:r w:rsidRPr="00BB587E">
              <w:rPr>
                <w:rFonts w:cs="Arial"/>
                <w:color w:val="000000"/>
                <w:lang w:eastAsia="en-ZA"/>
              </w:rPr>
              <w:t>30%</w:t>
            </w:r>
          </w:p>
        </w:tc>
      </w:tr>
      <w:tr w:rsidR="004F0689" w:rsidRPr="00BB587E" w14:paraId="04B19CA3" w14:textId="77777777" w:rsidTr="00AD4A08">
        <w:trPr>
          <w:trHeight w:val="647"/>
        </w:trPr>
        <w:tc>
          <w:tcPr>
            <w:tcW w:w="7088" w:type="dxa"/>
            <w:shd w:val="clear" w:color="auto" w:fill="auto"/>
            <w:vAlign w:val="center"/>
            <w:hideMark/>
          </w:tcPr>
          <w:p w14:paraId="6461623A" w14:textId="77777777" w:rsidR="004F0689" w:rsidRPr="00BB587E" w:rsidRDefault="004F0689" w:rsidP="00014A82">
            <w:pPr>
              <w:rPr>
                <w:rFonts w:cs="Arial"/>
                <w:color w:val="000000"/>
                <w:lang w:eastAsia="en-ZA"/>
              </w:rPr>
            </w:pPr>
            <w:r w:rsidRPr="00BB587E">
              <w:rPr>
                <w:rFonts w:cs="Arial"/>
                <w:color w:val="000000"/>
                <w:lang w:eastAsia="en-ZA"/>
              </w:rPr>
              <w:t>Percentage of total procurement that targets businesses owned by People with Disabilities</w:t>
            </w:r>
          </w:p>
        </w:tc>
        <w:tc>
          <w:tcPr>
            <w:tcW w:w="1106" w:type="dxa"/>
            <w:shd w:val="clear" w:color="auto" w:fill="auto"/>
            <w:noWrap/>
            <w:vAlign w:val="center"/>
            <w:hideMark/>
          </w:tcPr>
          <w:p w14:paraId="07022510" w14:textId="77777777" w:rsidR="004F0689" w:rsidRPr="00BB587E" w:rsidRDefault="004F0689" w:rsidP="00014A82">
            <w:pPr>
              <w:jc w:val="center"/>
              <w:rPr>
                <w:rFonts w:cs="Arial"/>
                <w:color w:val="000000"/>
                <w:lang w:eastAsia="en-ZA"/>
              </w:rPr>
            </w:pPr>
            <w:r w:rsidRPr="00BB587E">
              <w:rPr>
                <w:rFonts w:cs="Arial"/>
                <w:color w:val="000000"/>
                <w:lang w:eastAsia="en-ZA"/>
              </w:rPr>
              <w:t>7%</w:t>
            </w:r>
          </w:p>
        </w:tc>
        <w:tc>
          <w:tcPr>
            <w:tcW w:w="1020" w:type="dxa"/>
            <w:shd w:val="clear" w:color="auto" w:fill="auto"/>
            <w:noWrap/>
            <w:vAlign w:val="center"/>
            <w:hideMark/>
          </w:tcPr>
          <w:p w14:paraId="7854900E" w14:textId="77777777" w:rsidR="004F0689" w:rsidRPr="00BB587E" w:rsidRDefault="004F0689" w:rsidP="00014A82">
            <w:pPr>
              <w:jc w:val="center"/>
              <w:rPr>
                <w:rFonts w:cs="Arial"/>
                <w:color w:val="000000"/>
                <w:lang w:eastAsia="en-ZA"/>
              </w:rPr>
            </w:pPr>
            <w:r w:rsidRPr="00BB587E">
              <w:rPr>
                <w:rFonts w:cs="Arial"/>
                <w:color w:val="000000"/>
                <w:lang w:eastAsia="en-ZA"/>
              </w:rPr>
              <w:t>7%</w:t>
            </w:r>
          </w:p>
        </w:tc>
        <w:tc>
          <w:tcPr>
            <w:tcW w:w="851" w:type="dxa"/>
            <w:shd w:val="clear" w:color="auto" w:fill="auto"/>
            <w:noWrap/>
            <w:vAlign w:val="center"/>
            <w:hideMark/>
          </w:tcPr>
          <w:p w14:paraId="5F276098" w14:textId="77777777" w:rsidR="004F0689" w:rsidRPr="00BB587E" w:rsidRDefault="004F0689" w:rsidP="00014A82">
            <w:pPr>
              <w:jc w:val="center"/>
              <w:rPr>
                <w:rFonts w:cs="Arial"/>
                <w:color w:val="000000"/>
                <w:lang w:eastAsia="en-ZA"/>
              </w:rPr>
            </w:pPr>
            <w:r w:rsidRPr="00BB587E">
              <w:rPr>
                <w:rFonts w:cs="Arial"/>
                <w:color w:val="000000"/>
                <w:lang w:eastAsia="en-ZA"/>
              </w:rPr>
              <w:t>7%</w:t>
            </w:r>
          </w:p>
        </w:tc>
      </w:tr>
      <w:tr w:rsidR="004F0689" w:rsidRPr="00BB587E" w14:paraId="2AA9A18A" w14:textId="77777777" w:rsidTr="00AD4A08">
        <w:trPr>
          <w:trHeight w:val="559"/>
        </w:trPr>
        <w:tc>
          <w:tcPr>
            <w:tcW w:w="7088" w:type="dxa"/>
            <w:shd w:val="clear" w:color="auto" w:fill="auto"/>
            <w:vAlign w:val="center"/>
          </w:tcPr>
          <w:p w14:paraId="2CD2BE88" w14:textId="77777777" w:rsidR="004F0689" w:rsidRPr="00BB587E" w:rsidRDefault="004F0689" w:rsidP="00014A82">
            <w:pPr>
              <w:rPr>
                <w:rFonts w:cs="Arial"/>
                <w:color w:val="000000"/>
                <w:lang w:eastAsia="en-ZA"/>
              </w:rPr>
            </w:pPr>
            <w:r w:rsidRPr="00BB587E">
              <w:rPr>
                <w:rFonts w:cs="Arial"/>
                <w:color w:val="000000"/>
                <w:lang w:eastAsia="en-ZA"/>
              </w:rPr>
              <w:t>Percentage of total procurement that targets businesses owned by Military Veterans</w:t>
            </w:r>
          </w:p>
        </w:tc>
        <w:tc>
          <w:tcPr>
            <w:tcW w:w="1106" w:type="dxa"/>
            <w:shd w:val="clear" w:color="auto" w:fill="auto"/>
            <w:noWrap/>
            <w:vAlign w:val="center"/>
          </w:tcPr>
          <w:p w14:paraId="2BE42C6B" w14:textId="77777777" w:rsidR="004F0689" w:rsidRPr="00BB587E" w:rsidRDefault="004F0689" w:rsidP="00014A82">
            <w:pPr>
              <w:jc w:val="center"/>
              <w:rPr>
                <w:rFonts w:cs="Arial"/>
                <w:color w:val="000000"/>
                <w:lang w:eastAsia="en-ZA"/>
              </w:rPr>
            </w:pPr>
            <w:r w:rsidRPr="00BB587E">
              <w:rPr>
                <w:rFonts w:cs="Arial"/>
                <w:color w:val="000000"/>
                <w:lang w:eastAsia="en-ZA"/>
              </w:rPr>
              <w:t>1%</w:t>
            </w:r>
          </w:p>
        </w:tc>
        <w:tc>
          <w:tcPr>
            <w:tcW w:w="1020" w:type="dxa"/>
            <w:shd w:val="clear" w:color="auto" w:fill="auto"/>
            <w:noWrap/>
            <w:vAlign w:val="center"/>
          </w:tcPr>
          <w:p w14:paraId="6B88C382" w14:textId="77777777" w:rsidR="004F0689" w:rsidRPr="00BB587E" w:rsidRDefault="004F0689" w:rsidP="00014A82">
            <w:pPr>
              <w:jc w:val="center"/>
              <w:rPr>
                <w:rFonts w:cs="Arial"/>
                <w:color w:val="000000"/>
                <w:lang w:eastAsia="en-ZA"/>
              </w:rPr>
            </w:pPr>
            <w:r w:rsidRPr="00BB587E">
              <w:rPr>
                <w:rFonts w:cs="Arial"/>
                <w:color w:val="000000"/>
                <w:lang w:eastAsia="en-ZA"/>
              </w:rPr>
              <w:t>0,2%</w:t>
            </w:r>
          </w:p>
        </w:tc>
        <w:tc>
          <w:tcPr>
            <w:tcW w:w="851" w:type="dxa"/>
            <w:shd w:val="clear" w:color="auto" w:fill="auto"/>
            <w:noWrap/>
            <w:vAlign w:val="center"/>
          </w:tcPr>
          <w:p w14:paraId="78C14CBB" w14:textId="77777777" w:rsidR="004F0689" w:rsidRPr="00BB587E" w:rsidRDefault="004F0689" w:rsidP="00014A82">
            <w:pPr>
              <w:jc w:val="center"/>
              <w:rPr>
                <w:rFonts w:cs="Arial"/>
                <w:color w:val="000000"/>
                <w:lang w:eastAsia="en-ZA"/>
              </w:rPr>
            </w:pPr>
            <w:r w:rsidRPr="00BB587E">
              <w:rPr>
                <w:rFonts w:cs="Arial"/>
                <w:color w:val="000000"/>
                <w:lang w:eastAsia="en-ZA"/>
              </w:rPr>
              <w:t>0,2%</w:t>
            </w:r>
          </w:p>
        </w:tc>
      </w:tr>
      <w:tr w:rsidR="004F0689" w:rsidRPr="00BB587E" w14:paraId="49B18386" w14:textId="77777777" w:rsidTr="00AD4A08">
        <w:trPr>
          <w:trHeight w:val="383"/>
        </w:trPr>
        <w:tc>
          <w:tcPr>
            <w:tcW w:w="7088" w:type="dxa"/>
            <w:shd w:val="clear" w:color="auto" w:fill="auto"/>
            <w:vAlign w:val="center"/>
            <w:hideMark/>
          </w:tcPr>
          <w:p w14:paraId="48A6EB7F" w14:textId="77777777" w:rsidR="004F0689" w:rsidRPr="00BB587E" w:rsidRDefault="004F0689" w:rsidP="00014A82">
            <w:pPr>
              <w:rPr>
                <w:rFonts w:cs="Arial"/>
                <w:color w:val="000000"/>
                <w:lang w:eastAsia="en-ZA"/>
              </w:rPr>
            </w:pPr>
            <w:r w:rsidRPr="00BB587E">
              <w:rPr>
                <w:rFonts w:cs="Arial"/>
                <w:color w:val="000000"/>
                <w:lang w:eastAsia="en-ZA"/>
              </w:rPr>
              <w:t>Percentage Reduction in irregular expenditure</w:t>
            </w:r>
          </w:p>
        </w:tc>
        <w:tc>
          <w:tcPr>
            <w:tcW w:w="1106" w:type="dxa"/>
            <w:shd w:val="clear" w:color="auto" w:fill="auto"/>
            <w:noWrap/>
            <w:vAlign w:val="center"/>
            <w:hideMark/>
          </w:tcPr>
          <w:p w14:paraId="46A54219" w14:textId="77777777" w:rsidR="004F0689" w:rsidRPr="00BB587E" w:rsidRDefault="004F0689" w:rsidP="00014A82">
            <w:pPr>
              <w:jc w:val="center"/>
              <w:rPr>
                <w:rFonts w:cs="Arial"/>
                <w:color w:val="000000"/>
                <w:lang w:eastAsia="en-ZA"/>
              </w:rPr>
            </w:pPr>
            <w:r w:rsidRPr="00BB587E">
              <w:rPr>
                <w:rFonts w:cs="Arial"/>
                <w:color w:val="000000"/>
                <w:lang w:eastAsia="en-ZA"/>
              </w:rPr>
              <w:t>100%</w:t>
            </w:r>
          </w:p>
        </w:tc>
        <w:tc>
          <w:tcPr>
            <w:tcW w:w="1020" w:type="dxa"/>
            <w:shd w:val="clear" w:color="auto" w:fill="auto"/>
            <w:noWrap/>
            <w:vAlign w:val="center"/>
            <w:hideMark/>
          </w:tcPr>
          <w:p w14:paraId="4CE5A68D" w14:textId="77777777" w:rsidR="004F0689" w:rsidRPr="00BB587E" w:rsidRDefault="004F0689" w:rsidP="00014A82">
            <w:pPr>
              <w:jc w:val="center"/>
              <w:rPr>
                <w:rFonts w:cs="Arial"/>
                <w:color w:val="000000"/>
                <w:lang w:eastAsia="en-ZA"/>
              </w:rPr>
            </w:pPr>
            <w:r w:rsidRPr="00BB587E">
              <w:rPr>
                <w:rFonts w:cs="Arial"/>
                <w:color w:val="000000"/>
                <w:lang w:eastAsia="en-ZA"/>
              </w:rPr>
              <w:t>100%</w:t>
            </w:r>
          </w:p>
        </w:tc>
        <w:tc>
          <w:tcPr>
            <w:tcW w:w="851" w:type="dxa"/>
            <w:shd w:val="clear" w:color="auto" w:fill="auto"/>
            <w:noWrap/>
            <w:vAlign w:val="center"/>
            <w:hideMark/>
          </w:tcPr>
          <w:p w14:paraId="21335786" w14:textId="77777777" w:rsidR="004F0689" w:rsidRPr="00BB587E" w:rsidRDefault="004F0689" w:rsidP="00014A82">
            <w:pPr>
              <w:jc w:val="center"/>
              <w:rPr>
                <w:rFonts w:cs="Arial"/>
                <w:color w:val="000000"/>
                <w:lang w:eastAsia="en-ZA"/>
              </w:rPr>
            </w:pPr>
            <w:r w:rsidRPr="00BB587E">
              <w:rPr>
                <w:rFonts w:cs="Arial"/>
                <w:color w:val="000000"/>
                <w:lang w:eastAsia="en-ZA"/>
              </w:rPr>
              <w:t>100%</w:t>
            </w:r>
          </w:p>
        </w:tc>
      </w:tr>
      <w:tr w:rsidR="004F0689" w:rsidRPr="00BB587E" w14:paraId="15271F9D" w14:textId="77777777" w:rsidTr="00AD4A08">
        <w:trPr>
          <w:trHeight w:val="482"/>
        </w:trPr>
        <w:tc>
          <w:tcPr>
            <w:tcW w:w="7088" w:type="dxa"/>
            <w:shd w:val="clear" w:color="auto" w:fill="auto"/>
            <w:vAlign w:val="center"/>
            <w:hideMark/>
          </w:tcPr>
          <w:p w14:paraId="3A0F8F56" w14:textId="77777777" w:rsidR="004F0689" w:rsidRPr="00BB587E" w:rsidRDefault="004F0689" w:rsidP="00014A82">
            <w:pPr>
              <w:rPr>
                <w:rFonts w:cs="Arial"/>
                <w:color w:val="000000"/>
                <w:lang w:eastAsia="en-ZA"/>
              </w:rPr>
            </w:pPr>
            <w:r w:rsidRPr="00BB587E">
              <w:rPr>
                <w:rFonts w:cs="Arial"/>
                <w:color w:val="000000"/>
                <w:lang w:eastAsia="en-ZA"/>
              </w:rPr>
              <w:t>Percentage procurement implemented through the open tender system</w:t>
            </w:r>
          </w:p>
        </w:tc>
        <w:tc>
          <w:tcPr>
            <w:tcW w:w="1106" w:type="dxa"/>
            <w:shd w:val="clear" w:color="auto" w:fill="auto"/>
            <w:noWrap/>
            <w:vAlign w:val="center"/>
            <w:hideMark/>
          </w:tcPr>
          <w:p w14:paraId="01FAA00D" w14:textId="77777777" w:rsidR="004F0689" w:rsidRPr="00BB587E" w:rsidRDefault="004F0689" w:rsidP="00014A82">
            <w:pPr>
              <w:jc w:val="center"/>
              <w:rPr>
                <w:rFonts w:cs="Arial"/>
                <w:color w:val="000000"/>
                <w:lang w:eastAsia="en-ZA"/>
              </w:rPr>
            </w:pPr>
            <w:r w:rsidRPr="00BB587E">
              <w:rPr>
                <w:rFonts w:cs="Arial"/>
                <w:color w:val="000000"/>
                <w:lang w:eastAsia="en-ZA"/>
              </w:rPr>
              <w:t>100%</w:t>
            </w:r>
          </w:p>
        </w:tc>
        <w:tc>
          <w:tcPr>
            <w:tcW w:w="1020" w:type="dxa"/>
            <w:shd w:val="clear" w:color="auto" w:fill="auto"/>
            <w:noWrap/>
            <w:vAlign w:val="center"/>
            <w:hideMark/>
          </w:tcPr>
          <w:p w14:paraId="06DAC2FB" w14:textId="77777777" w:rsidR="004F0689" w:rsidRPr="00BB587E" w:rsidRDefault="004F0689" w:rsidP="00014A82">
            <w:pPr>
              <w:jc w:val="center"/>
              <w:rPr>
                <w:rFonts w:cs="Arial"/>
                <w:color w:val="000000"/>
                <w:lang w:eastAsia="en-ZA"/>
              </w:rPr>
            </w:pPr>
            <w:r w:rsidRPr="00BB587E">
              <w:rPr>
                <w:rFonts w:cs="Arial"/>
                <w:color w:val="000000"/>
                <w:lang w:eastAsia="en-ZA"/>
              </w:rPr>
              <w:t>100%</w:t>
            </w:r>
          </w:p>
        </w:tc>
        <w:tc>
          <w:tcPr>
            <w:tcW w:w="851" w:type="dxa"/>
            <w:shd w:val="clear" w:color="auto" w:fill="auto"/>
            <w:noWrap/>
            <w:vAlign w:val="center"/>
            <w:hideMark/>
          </w:tcPr>
          <w:p w14:paraId="1176C9C4" w14:textId="77777777" w:rsidR="004F0689" w:rsidRPr="00BB587E" w:rsidRDefault="004F0689" w:rsidP="00014A82">
            <w:pPr>
              <w:jc w:val="center"/>
              <w:rPr>
                <w:rFonts w:cs="Arial"/>
                <w:color w:val="000000"/>
                <w:lang w:eastAsia="en-ZA"/>
              </w:rPr>
            </w:pPr>
            <w:r w:rsidRPr="00BB587E">
              <w:rPr>
                <w:rFonts w:cs="Arial"/>
                <w:color w:val="000000"/>
                <w:lang w:eastAsia="en-ZA"/>
              </w:rPr>
              <w:t>100%</w:t>
            </w:r>
          </w:p>
        </w:tc>
      </w:tr>
      <w:tr w:rsidR="004F0689" w:rsidRPr="00BB587E" w14:paraId="2057FF8A" w14:textId="77777777" w:rsidTr="00AD4A08">
        <w:trPr>
          <w:trHeight w:val="349"/>
        </w:trPr>
        <w:tc>
          <w:tcPr>
            <w:tcW w:w="7088" w:type="dxa"/>
            <w:shd w:val="clear" w:color="auto" w:fill="auto"/>
            <w:vAlign w:val="center"/>
            <w:hideMark/>
          </w:tcPr>
          <w:p w14:paraId="18F49634" w14:textId="77777777" w:rsidR="004F0689" w:rsidRPr="00BB587E" w:rsidRDefault="004F0689" w:rsidP="00014A82">
            <w:pPr>
              <w:rPr>
                <w:rFonts w:cs="Arial"/>
                <w:color w:val="000000"/>
                <w:lang w:eastAsia="en-ZA"/>
              </w:rPr>
            </w:pPr>
            <w:r w:rsidRPr="00BB587E">
              <w:rPr>
                <w:rFonts w:cs="Arial"/>
                <w:color w:val="000000"/>
                <w:lang w:eastAsia="en-ZA"/>
              </w:rPr>
              <w:t>Percentage increase in department spend in township</w:t>
            </w:r>
          </w:p>
        </w:tc>
        <w:tc>
          <w:tcPr>
            <w:tcW w:w="1106" w:type="dxa"/>
            <w:shd w:val="clear" w:color="auto" w:fill="auto"/>
            <w:noWrap/>
            <w:vAlign w:val="center"/>
            <w:hideMark/>
          </w:tcPr>
          <w:p w14:paraId="7A3301A5" w14:textId="77777777" w:rsidR="004F0689" w:rsidRPr="00BB587E" w:rsidRDefault="004F0689" w:rsidP="00014A82">
            <w:pPr>
              <w:jc w:val="center"/>
              <w:rPr>
                <w:rFonts w:cs="Arial"/>
                <w:color w:val="000000"/>
                <w:lang w:eastAsia="en-ZA"/>
              </w:rPr>
            </w:pPr>
            <w:r w:rsidRPr="00BB587E">
              <w:rPr>
                <w:rFonts w:cs="Arial"/>
                <w:color w:val="000000"/>
                <w:lang w:eastAsia="en-ZA"/>
              </w:rPr>
              <w:t>40%</w:t>
            </w:r>
          </w:p>
        </w:tc>
        <w:tc>
          <w:tcPr>
            <w:tcW w:w="1020" w:type="dxa"/>
            <w:shd w:val="clear" w:color="auto" w:fill="auto"/>
            <w:noWrap/>
            <w:vAlign w:val="center"/>
            <w:hideMark/>
          </w:tcPr>
          <w:p w14:paraId="11D31AB5" w14:textId="77777777" w:rsidR="004F0689" w:rsidRPr="00BB587E" w:rsidRDefault="004F0689" w:rsidP="00014A82">
            <w:pPr>
              <w:jc w:val="center"/>
              <w:rPr>
                <w:rFonts w:cs="Arial"/>
                <w:color w:val="000000"/>
                <w:lang w:eastAsia="en-ZA"/>
              </w:rPr>
            </w:pPr>
            <w:r w:rsidRPr="00BB587E">
              <w:rPr>
                <w:rFonts w:cs="Arial"/>
                <w:color w:val="000000"/>
                <w:lang w:eastAsia="en-ZA"/>
              </w:rPr>
              <w:t>40%</w:t>
            </w:r>
          </w:p>
        </w:tc>
        <w:tc>
          <w:tcPr>
            <w:tcW w:w="851" w:type="dxa"/>
            <w:shd w:val="clear" w:color="auto" w:fill="auto"/>
            <w:noWrap/>
            <w:vAlign w:val="center"/>
            <w:hideMark/>
          </w:tcPr>
          <w:p w14:paraId="6AB44215" w14:textId="77777777" w:rsidR="004F0689" w:rsidRPr="00BB587E" w:rsidRDefault="004F0689" w:rsidP="00014A82">
            <w:pPr>
              <w:jc w:val="center"/>
              <w:rPr>
                <w:rFonts w:cs="Arial"/>
                <w:color w:val="000000"/>
                <w:lang w:eastAsia="en-ZA"/>
              </w:rPr>
            </w:pPr>
            <w:r w:rsidRPr="00BB587E">
              <w:rPr>
                <w:rFonts w:cs="Arial"/>
                <w:color w:val="000000"/>
                <w:lang w:eastAsia="en-ZA"/>
              </w:rPr>
              <w:t>40%</w:t>
            </w:r>
          </w:p>
        </w:tc>
      </w:tr>
      <w:tr w:rsidR="004F0689" w:rsidRPr="00BB587E" w14:paraId="367A0874" w14:textId="77777777" w:rsidTr="00AD4A08">
        <w:trPr>
          <w:trHeight w:val="614"/>
        </w:trPr>
        <w:tc>
          <w:tcPr>
            <w:tcW w:w="7088" w:type="dxa"/>
            <w:shd w:val="clear" w:color="auto" w:fill="auto"/>
            <w:vAlign w:val="center"/>
            <w:hideMark/>
          </w:tcPr>
          <w:p w14:paraId="6AF317CA" w14:textId="77777777" w:rsidR="004F0689" w:rsidRPr="00BB587E" w:rsidRDefault="004F0689" w:rsidP="00014A82">
            <w:pPr>
              <w:rPr>
                <w:rFonts w:cs="Arial"/>
                <w:color w:val="000000"/>
                <w:lang w:eastAsia="en-ZA"/>
              </w:rPr>
            </w:pPr>
            <w:r w:rsidRPr="00BB587E">
              <w:rPr>
                <w:rFonts w:cs="Arial"/>
                <w:color w:val="000000"/>
                <w:lang w:eastAsia="en-ZA"/>
              </w:rPr>
              <w:t>Percentage of the rand value of tenders above R30 million to be sub-contracted to SMMEs</w:t>
            </w:r>
          </w:p>
        </w:tc>
        <w:tc>
          <w:tcPr>
            <w:tcW w:w="1106" w:type="dxa"/>
            <w:shd w:val="clear" w:color="auto" w:fill="auto"/>
            <w:noWrap/>
            <w:vAlign w:val="center"/>
            <w:hideMark/>
          </w:tcPr>
          <w:p w14:paraId="0AE4853D" w14:textId="77777777" w:rsidR="004F0689" w:rsidRPr="00BB587E" w:rsidRDefault="004F0689" w:rsidP="00014A82">
            <w:pPr>
              <w:jc w:val="center"/>
              <w:rPr>
                <w:rFonts w:cs="Arial"/>
                <w:color w:val="000000"/>
                <w:lang w:eastAsia="en-ZA"/>
              </w:rPr>
            </w:pPr>
            <w:r w:rsidRPr="00BB587E">
              <w:rPr>
                <w:rFonts w:cs="Arial"/>
                <w:color w:val="000000"/>
                <w:lang w:eastAsia="en-ZA"/>
              </w:rPr>
              <w:t>100%</w:t>
            </w:r>
          </w:p>
        </w:tc>
        <w:tc>
          <w:tcPr>
            <w:tcW w:w="1020" w:type="dxa"/>
            <w:shd w:val="clear" w:color="auto" w:fill="auto"/>
            <w:noWrap/>
            <w:vAlign w:val="center"/>
            <w:hideMark/>
          </w:tcPr>
          <w:p w14:paraId="7BD83B84" w14:textId="77777777" w:rsidR="004F0689" w:rsidRPr="00BB587E" w:rsidRDefault="004F0689" w:rsidP="00014A82">
            <w:pPr>
              <w:jc w:val="center"/>
              <w:rPr>
                <w:rFonts w:cs="Arial"/>
                <w:color w:val="000000"/>
                <w:lang w:eastAsia="en-ZA"/>
              </w:rPr>
            </w:pPr>
            <w:r w:rsidRPr="00BB587E">
              <w:rPr>
                <w:rFonts w:cs="Arial"/>
                <w:color w:val="000000"/>
                <w:lang w:eastAsia="en-ZA"/>
              </w:rPr>
              <w:t>100%</w:t>
            </w:r>
          </w:p>
        </w:tc>
        <w:tc>
          <w:tcPr>
            <w:tcW w:w="851" w:type="dxa"/>
            <w:shd w:val="clear" w:color="auto" w:fill="auto"/>
            <w:noWrap/>
            <w:vAlign w:val="center"/>
            <w:hideMark/>
          </w:tcPr>
          <w:p w14:paraId="3170264C" w14:textId="77777777" w:rsidR="004F0689" w:rsidRPr="00BB587E" w:rsidRDefault="004F0689" w:rsidP="00014A82">
            <w:pPr>
              <w:jc w:val="center"/>
              <w:rPr>
                <w:rFonts w:cs="Arial"/>
                <w:color w:val="000000"/>
                <w:lang w:eastAsia="en-ZA"/>
              </w:rPr>
            </w:pPr>
            <w:r w:rsidRPr="00BB587E">
              <w:rPr>
                <w:rFonts w:cs="Arial"/>
                <w:color w:val="000000"/>
                <w:lang w:eastAsia="en-ZA"/>
              </w:rPr>
              <w:t>100%</w:t>
            </w:r>
          </w:p>
        </w:tc>
      </w:tr>
      <w:tr w:rsidR="004F0689" w:rsidRPr="00BB587E" w14:paraId="1B630683" w14:textId="77777777" w:rsidTr="00AD4A08">
        <w:trPr>
          <w:trHeight w:val="349"/>
        </w:trPr>
        <w:tc>
          <w:tcPr>
            <w:tcW w:w="7088" w:type="dxa"/>
            <w:shd w:val="clear" w:color="auto" w:fill="auto"/>
            <w:vAlign w:val="center"/>
          </w:tcPr>
          <w:p w14:paraId="02A311A0" w14:textId="77777777" w:rsidR="004F0689" w:rsidRPr="00BB587E" w:rsidRDefault="004F0689" w:rsidP="00014A82">
            <w:pPr>
              <w:rPr>
                <w:rFonts w:cs="Arial"/>
                <w:color w:val="000000"/>
                <w:lang w:eastAsia="en-ZA"/>
              </w:rPr>
            </w:pPr>
            <w:r w:rsidRPr="00BB587E">
              <w:rPr>
                <w:rFonts w:cs="Arial"/>
                <w:color w:val="000000"/>
                <w:lang w:eastAsia="en-ZA"/>
              </w:rPr>
              <w:t>Clean audit outcome obtained from the Auditor-General</w:t>
            </w:r>
          </w:p>
        </w:tc>
        <w:tc>
          <w:tcPr>
            <w:tcW w:w="1106" w:type="dxa"/>
            <w:shd w:val="clear" w:color="auto" w:fill="auto"/>
            <w:noWrap/>
            <w:vAlign w:val="center"/>
          </w:tcPr>
          <w:p w14:paraId="44E7E58A" w14:textId="77777777" w:rsidR="004F0689" w:rsidRPr="00BB587E" w:rsidRDefault="004F0689" w:rsidP="00014A82">
            <w:pPr>
              <w:jc w:val="center"/>
              <w:rPr>
                <w:rFonts w:cs="Arial"/>
                <w:color w:val="000000"/>
                <w:lang w:eastAsia="en-ZA"/>
              </w:rPr>
            </w:pPr>
            <w:r w:rsidRPr="00BB587E">
              <w:rPr>
                <w:rFonts w:cs="Arial"/>
                <w:color w:val="000000"/>
                <w:lang w:eastAsia="en-ZA"/>
              </w:rPr>
              <w:t>Not measured</w:t>
            </w:r>
          </w:p>
        </w:tc>
        <w:tc>
          <w:tcPr>
            <w:tcW w:w="1020" w:type="dxa"/>
            <w:shd w:val="clear" w:color="auto" w:fill="auto"/>
            <w:noWrap/>
            <w:vAlign w:val="center"/>
          </w:tcPr>
          <w:p w14:paraId="0F5DC4BE" w14:textId="77777777" w:rsidR="004F0689" w:rsidRPr="00BB587E" w:rsidRDefault="004F0689" w:rsidP="00014A82">
            <w:pPr>
              <w:jc w:val="center"/>
              <w:rPr>
                <w:rFonts w:cs="Arial"/>
                <w:color w:val="000000"/>
                <w:lang w:eastAsia="en-ZA"/>
              </w:rPr>
            </w:pPr>
            <w:r w:rsidRPr="00BB587E">
              <w:rPr>
                <w:rFonts w:cs="Arial"/>
                <w:color w:val="000000"/>
                <w:lang w:eastAsia="en-ZA"/>
              </w:rPr>
              <w:t>Clean audit</w:t>
            </w:r>
          </w:p>
        </w:tc>
        <w:tc>
          <w:tcPr>
            <w:tcW w:w="851" w:type="dxa"/>
            <w:shd w:val="clear" w:color="auto" w:fill="auto"/>
            <w:noWrap/>
            <w:vAlign w:val="center"/>
          </w:tcPr>
          <w:p w14:paraId="1B515CD5" w14:textId="77777777" w:rsidR="004F0689" w:rsidRPr="00BB587E" w:rsidRDefault="004F0689" w:rsidP="00014A82">
            <w:pPr>
              <w:jc w:val="center"/>
              <w:rPr>
                <w:rFonts w:cs="Arial"/>
                <w:color w:val="000000"/>
                <w:lang w:eastAsia="en-ZA"/>
              </w:rPr>
            </w:pPr>
            <w:r w:rsidRPr="00BB587E">
              <w:rPr>
                <w:rFonts w:cs="Arial"/>
                <w:color w:val="000000"/>
                <w:lang w:eastAsia="en-ZA"/>
              </w:rPr>
              <w:t>Clean audit</w:t>
            </w:r>
          </w:p>
        </w:tc>
      </w:tr>
    </w:tbl>
    <w:p w14:paraId="4CC12156" w14:textId="53757F74" w:rsidR="00924C74" w:rsidRDefault="008956C8" w:rsidP="00BA6500">
      <w:pPr>
        <w:tabs>
          <w:tab w:val="left" w:pos="1500"/>
        </w:tabs>
        <w:spacing w:line="276" w:lineRule="auto"/>
        <w:jc w:val="both"/>
        <w:rPr>
          <w:rFonts w:ascii="Arial Narrow" w:hAnsi="Arial Narrow"/>
          <w:sz w:val="16"/>
          <w:szCs w:val="16"/>
          <w:lang w:val="en-US"/>
        </w:rPr>
      </w:pPr>
      <w:r>
        <w:rPr>
          <w:rFonts w:ascii="Arial Narrow" w:hAnsi="Arial Narrow"/>
          <w:sz w:val="16"/>
          <w:szCs w:val="16"/>
          <w:lang w:val="en-US"/>
        </w:rPr>
        <w:t xml:space="preserve">Table 3 </w:t>
      </w:r>
      <w:r w:rsidRPr="000D38C9">
        <w:rPr>
          <w:rFonts w:ascii="Arial Narrow" w:hAnsi="Arial Narrow"/>
          <w:sz w:val="16"/>
          <w:szCs w:val="16"/>
          <w:lang w:val="en-US"/>
        </w:rPr>
        <w:t xml:space="preserve">above illustrates the appropriations </w:t>
      </w:r>
      <w:r w:rsidR="001E2FE8">
        <w:rPr>
          <w:rFonts w:ascii="Arial Narrow" w:hAnsi="Arial Narrow"/>
          <w:sz w:val="16"/>
          <w:szCs w:val="16"/>
          <w:lang w:val="en-US"/>
        </w:rPr>
        <w:t>in the office of the CFO</w:t>
      </w:r>
    </w:p>
    <w:p w14:paraId="1A523E7D" w14:textId="77777777" w:rsidR="0029347B" w:rsidRDefault="0029347B" w:rsidP="00BA6500">
      <w:pPr>
        <w:tabs>
          <w:tab w:val="left" w:pos="1500"/>
        </w:tabs>
        <w:spacing w:line="276" w:lineRule="auto"/>
        <w:jc w:val="both"/>
        <w:rPr>
          <w:rFonts w:cs="Arial"/>
          <w:sz w:val="22"/>
          <w:szCs w:val="22"/>
        </w:rPr>
      </w:pPr>
    </w:p>
    <w:p w14:paraId="7BB413B5" w14:textId="621C8411" w:rsidR="00753993" w:rsidRPr="00282928" w:rsidRDefault="00230512" w:rsidP="003D563E">
      <w:pPr>
        <w:tabs>
          <w:tab w:val="left" w:pos="1500"/>
        </w:tabs>
        <w:spacing w:line="276" w:lineRule="auto"/>
        <w:jc w:val="both"/>
        <w:rPr>
          <w:rFonts w:cs="Arial"/>
          <w:b/>
          <w:bCs/>
          <w:sz w:val="22"/>
          <w:szCs w:val="22"/>
        </w:rPr>
      </w:pPr>
      <w:bookmarkStart w:id="14" w:name="_Toc136657136"/>
      <w:r w:rsidRPr="00282928">
        <w:rPr>
          <w:rFonts w:cs="Arial"/>
          <w:b/>
          <w:bCs/>
          <w:sz w:val="22"/>
          <w:szCs w:val="22"/>
        </w:rPr>
        <w:t>The Committee</w:t>
      </w:r>
      <w:r w:rsidR="00C81747" w:rsidRPr="00282928">
        <w:rPr>
          <w:rFonts w:cs="Arial"/>
          <w:b/>
          <w:bCs/>
          <w:sz w:val="22"/>
          <w:szCs w:val="22"/>
        </w:rPr>
        <w:t xml:space="preserve"> </w:t>
      </w:r>
      <w:r w:rsidR="00F34B48" w:rsidRPr="00282928">
        <w:rPr>
          <w:rFonts w:cs="Arial"/>
          <w:b/>
          <w:bCs/>
          <w:sz w:val="22"/>
          <w:szCs w:val="22"/>
        </w:rPr>
        <w:t>continues to observe</w:t>
      </w:r>
      <w:r w:rsidR="00C81747" w:rsidRPr="00282928">
        <w:rPr>
          <w:rFonts w:cs="Arial"/>
          <w:b/>
          <w:bCs/>
          <w:sz w:val="22"/>
          <w:szCs w:val="22"/>
        </w:rPr>
        <w:t xml:space="preserve"> </w:t>
      </w:r>
      <w:r w:rsidR="00282928" w:rsidRPr="00282928">
        <w:rPr>
          <w:rFonts w:cs="Arial"/>
          <w:b/>
          <w:bCs/>
          <w:sz w:val="22"/>
          <w:szCs w:val="22"/>
        </w:rPr>
        <w:t xml:space="preserve">with concern </w:t>
      </w:r>
      <w:r w:rsidRPr="00282928">
        <w:rPr>
          <w:rFonts w:cs="Arial"/>
          <w:b/>
          <w:bCs/>
          <w:sz w:val="22"/>
          <w:szCs w:val="22"/>
        </w:rPr>
        <w:t xml:space="preserve">that in the previous financial years, some </w:t>
      </w:r>
      <w:r w:rsidR="00EF0212" w:rsidRPr="00282928">
        <w:rPr>
          <w:rFonts w:cs="Arial"/>
          <w:b/>
          <w:bCs/>
          <w:sz w:val="22"/>
          <w:szCs w:val="22"/>
        </w:rPr>
        <w:t>service providers</w:t>
      </w:r>
      <w:r w:rsidR="003D563E" w:rsidRPr="00282928">
        <w:rPr>
          <w:rFonts w:cs="Arial"/>
          <w:b/>
          <w:bCs/>
          <w:sz w:val="22"/>
          <w:szCs w:val="22"/>
        </w:rPr>
        <w:t xml:space="preserve"> were appointed late while some </w:t>
      </w:r>
      <w:r w:rsidRPr="00282928">
        <w:rPr>
          <w:rFonts w:cs="Arial"/>
          <w:b/>
          <w:bCs/>
          <w:sz w:val="22"/>
          <w:szCs w:val="22"/>
        </w:rPr>
        <w:t xml:space="preserve">rendered </w:t>
      </w:r>
      <w:r w:rsidR="001F6AD1" w:rsidRPr="00282928">
        <w:rPr>
          <w:rFonts w:cs="Arial"/>
          <w:b/>
          <w:bCs/>
          <w:sz w:val="22"/>
          <w:szCs w:val="22"/>
        </w:rPr>
        <w:t xml:space="preserve">work of </w:t>
      </w:r>
      <w:r w:rsidRPr="00282928">
        <w:rPr>
          <w:rFonts w:cs="Arial"/>
          <w:b/>
          <w:bCs/>
          <w:sz w:val="22"/>
          <w:szCs w:val="22"/>
        </w:rPr>
        <w:t xml:space="preserve">poor quality </w:t>
      </w:r>
      <w:r w:rsidR="00AA4F0E" w:rsidRPr="00282928">
        <w:rPr>
          <w:rFonts w:cs="Arial"/>
          <w:b/>
          <w:bCs/>
          <w:sz w:val="22"/>
          <w:szCs w:val="22"/>
        </w:rPr>
        <w:t>to farmers</w:t>
      </w:r>
      <w:r w:rsidRPr="00282928">
        <w:rPr>
          <w:rFonts w:cs="Arial"/>
          <w:b/>
          <w:bCs/>
          <w:sz w:val="22"/>
          <w:szCs w:val="22"/>
        </w:rPr>
        <w:t>.</w:t>
      </w:r>
      <w:r w:rsidR="00753993" w:rsidRPr="00282928">
        <w:rPr>
          <w:rFonts w:cs="Arial"/>
          <w:b/>
          <w:bCs/>
          <w:sz w:val="22"/>
          <w:szCs w:val="22"/>
        </w:rPr>
        <w:t xml:space="preserve"> </w:t>
      </w:r>
      <w:bookmarkStart w:id="15" w:name="_Hlk42590568"/>
      <w:r w:rsidR="00753993" w:rsidRPr="00282928">
        <w:rPr>
          <w:rFonts w:cs="Arial"/>
          <w:b/>
          <w:bCs/>
          <w:sz w:val="22"/>
          <w:szCs w:val="22"/>
        </w:rPr>
        <w:t>It would be critical that the Department monitor</w:t>
      </w:r>
      <w:r w:rsidR="009F5702" w:rsidRPr="00282928">
        <w:rPr>
          <w:rFonts w:cs="Arial"/>
          <w:b/>
          <w:bCs/>
          <w:sz w:val="22"/>
          <w:szCs w:val="22"/>
        </w:rPr>
        <w:t>s</w:t>
      </w:r>
      <w:r w:rsidR="00753993" w:rsidRPr="00282928">
        <w:rPr>
          <w:rFonts w:cs="Arial"/>
          <w:b/>
          <w:bCs/>
          <w:sz w:val="22"/>
          <w:szCs w:val="22"/>
        </w:rPr>
        <w:t xml:space="preserve"> service providers and ensure </w:t>
      </w:r>
      <w:r w:rsidR="00AA4F0E" w:rsidRPr="00282928">
        <w:rPr>
          <w:rFonts w:cs="Arial"/>
          <w:b/>
          <w:bCs/>
          <w:sz w:val="22"/>
          <w:szCs w:val="22"/>
        </w:rPr>
        <w:t>that they</w:t>
      </w:r>
      <w:r w:rsidR="003D563E" w:rsidRPr="00282928">
        <w:rPr>
          <w:rFonts w:cs="Arial"/>
          <w:b/>
          <w:bCs/>
          <w:sz w:val="22"/>
          <w:szCs w:val="22"/>
        </w:rPr>
        <w:t xml:space="preserve"> </w:t>
      </w:r>
      <w:r w:rsidR="00753993" w:rsidRPr="00282928">
        <w:rPr>
          <w:rFonts w:cs="Arial"/>
          <w:b/>
          <w:bCs/>
          <w:sz w:val="22"/>
          <w:szCs w:val="22"/>
        </w:rPr>
        <w:t xml:space="preserve">do not breach </w:t>
      </w:r>
      <w:r w:rsidR="00D939E4" w:rsidRPr="00282928">
        <w:rPr>
          <w:rFonts w:cs="Arial"/>
          <w:b/>
          <w:bCs/>
          <w:sz w:val="22"/>
          <w:szCs w:val="22"/>
        </w:rPr>
        <w:t>their</w:t>
      </w:r>
      <w:r w:rsidR="00753993" w:rsidRPr="00282928">
        <w:rPr>
          <w:rFonts w:cs="Arial"/>
          <w:b/>
          <w:bCs/>
          <w:sz w:val="22"/>
          <w:szCs w:val="22"/>
        </w:rPr>
        <w:t xml:space="preserve"> contract</w:t>
      </w:r>
      <w:r w:rsidR="003D563E" w:rsidRPr="00282928">
        <w:rPr>
          <w:rFonts w:cs="Arial"/>
          <w:b/>
          <w:bCs/>
          <w:sz w:val="22"/>
          <w:szCs w:val="22"/>
        </w:rPr>
        <w:t xml:space="preserve"> especially on the delivery of production inputs</w:t>
      </w:r>
      <w:r w:rsidR="00BC0145" w:rsidRPr="00282928">
        <w:rPr>
          <w:rFonts w:cs="Arial"/>
          <w:b/>
          <w:bCs/>
          <w:sz w:val="22"/>
          <w:szCs w:val="22"/>
        </w:rPr>
        <w:t xml:space="preserve">. </w:t>
      </w:r>
      <w:r w:rsidR="00753993" w:rsidRPr="00282928">
        <w:rPr>
          <w:rFonts w:cs="Arial"/>
          <w:b/>
          <w:bCs/>
          <w:sz w:val="22"/>
          <w:szCs w:val="22"/>
        </w:rPr>
        <w:t xml:space="preserve"> </w:t>
      </w:r>
    </w:p>
    <w:bookmarkEnd w:id="15"/>
    <w:p w14:paraId="466501C9" w14:textId="77777777" w:rsidR="000D4BA5" w:rsidRPr="005F4F6B" w:rsidRDefault="00EF0212" w:rsidP="005F4F6B">
      <w:pPr>
        <w:pStyle w:val="Heading2"/>
        <w:keepLines w:val="0"/>
        <w:spacing w:before="240" w:after="60" w:line="276" w:lineRule="auto"/>
        <w:jc w:val="both"/>
        <w:rPr>
          <w:rFonts w:asciiTheme="minorHAnsi" w:hAnsiTheme="minorHAnsi" w:cs="Arial"/>
          <w:color w:val="auto"/>
          <w:sz w:val="24"/>
          <w:szCs w:val="24"/>
        </w:rPr>
      </w:pPr>
      <w:r w:rsidRPr="005F4F6B">
        <w:rPr>
          <w:rFonts w:asciiTheme="minorHAnsi" w:hAnsiTheme="minorHAnsi" w:cs="Arial"/>
          <w:color w:val="auto"/>
          <w:sz w:val="24"/>
          <w:szCs w:val="24"/>
        </w:rPr>
        <w:lastRenderedPageBreak/>
        <w:t>6</w:t>
      </w:r>
      <w:r w:rsidR="00F94DB1" w:rsidRPr="005F4F6B">
        <w:rPr>
          <w:rFonts w:asciiTheme="minorHAnsi" w:hAnsiTheme="minorHAnsi" w:cs="Arial"/>
          <w:color w:val="auto"/>
          <w:sz w:val="24"/>
          <w:szCs w:val="24"/>
        </w:rPr>
        <w:t>.2</w:t>
      </w:r>
      <w:r w:rsidR="00553F92" w:rsidRPr="005F4F6B">
        <w:rPr>
          <w:rFonts w:asciiTheme="minorHAnsi" w:hAnsiTheme="minorHAnsi" w:cs="Arial"/>
          <w:color w:val="auto"/>
          <w:sz w:val="24"/>
          <w:szCs w:val="24"/>
        </w:rPr>
        <w:t xml:space="preserve"> </w:t>
      </w:r>
      <w:r w:rsidR="000D4BA5" w:rsidRPr="005F4F6B">
        <w:rPr>
          <w:rFonts w:asciiTheme="minorHAnsi" w:hAnsiTheme="minorHAnsi" w:cs="Arial"/>
          <w:color w:val="auto"/>
          <w:sz w:val="24"/>
          <w:szCs w:val="24"/>
        </w:rPr>
        <w:t xml:space="preserve">PROGRAMME </w:t>
      </w:r>
      <w:bookmarkEnd w:id="14"/>
      <w:r w:rsidR="000D4BA5" w:rsidRPr="005F4F6B">
        <w:rPr>
          <w:rFonts w:asciiTheme="minorHAnsi" w:hAnsiTheme="minorHAnsi" w:cs="Arial"/>
          <w:color w:val="auto"/>
          <w:sz w:val="24"/>
          <w:szCs w:val="24"/>
        </w:rPr>
        <w:t xml:space="preserve">2: AGRICULTURE </w:t>
      </w:r>
      <w:r w:rsidR="0048189B" w:rsidRPr="005F4F6B">
        <w:rPr>
          <w:rFonts w:asciiTheme="minorHAnsi" w:hAnsiTheme="minorHAnsi" w:cs="Arial"/>
          <w:color w:val="auto"/>
          <w:sz w:val="24"/>
          <w:szCs w:val="24"/>
        </w:rPr>
        <w:t>AND</w:t>
      </w:r>
      <w:r w:rsidR="00790034" w:rsidRPr="005F4F6B">
        <w:rPr>
          <w:rFonts w:asciiTheme="minorHAnsi" w:hAnsiTheme="minorHAnsi" w:cs="Arial"/>
          <w:color w:val="auto"/>
          <w:sz w:val="24"/>
          <w:szCs w:val="24"/>
        </w:rPr>
        <w:t xml:space="preserve"> RURAL DEVELOPME</w:t>
      </w:r>
      <w:r w:rsidR="00877A3F" w:rsidRPr="005F4F6B">
        <w:rPr>
          <w:rFonts w:asciiTheme="minorHAnsi" w:hAnsiTheme="minorHAnsi" w:cs="Arial"/>
          <w:color w:val="auto"/>
          <w:sz w:val="24"/>
          <w:szCs w:val="24"/>
        </w:rPr>
        <w:t>N</w:t>
      </w:r>
      <w:r w:rsidR="00790034" w:rsidRPr="005F4F6B">
        <w:rPr>
          <w:rFonts w:asciiTheme="minorHAnsi" w:hAnsiTheme="minorHAnsi" w:cs="Arial"/>
          <w:color w:val="auto"/>
          <w:sz w:val="24"/>
          <w:szCs w:val="24"/>
        </w:rPr>
        <w:t>T</w:t>
      </w:r>
    </w:p>
    <w:p w14:paraId="2C025FC0" w14:textId="2C06B94D" w:rsidR="00DB5E42" w:rsidRPr="00F47B63" w:rsidRDefault="007D33E2" w:rsidP="00ED7104">
      <w:pPr>
        <w:tabs>
          <w:tab w:val="left" w:pos="1500"/>
        </w:tabs>
        <w:spacing w:line="276" w:lineRule="auto"/>
        <w:jc w:val="both"/>
        <w:rPr>
          <w:rFonts w:cs="Arial"/>
          <w:sz w:val="22"/>
          <w:szCs w:val="22"/>
        </w:rPr>
      </w:pPr>
      <w:r w:rsidRPr="00AA4F0E">
        <w:rPr>
          <w:rFonts w:cs="Arial"/>
          <w:sz w:val="22"/>
          <w:szCs w:val="22"/>
        </w:rPr>
        <w:t>The Programme aims to optimise the contribution of sustainable agriculture towards the equitable development of all communities and the economy in the Province by enhancing food security, income</w:t>
      </w:r>
      <w:r w:rsidR="0096475C" w:rsidRPr="00AA4F0E">
        <w:rPr>
          <w:rFonts w:cs="Arial"/>
          <w:sz w:val="22"/>
          <w:szCs w:val="22"/>
        </w:rPr>
        <w:t xml:space="preserve">  </w:t>
      </w:r>
      <w:r w:rsidRPr="00AA4F0E">
        <w:rPr>
          <w:rFonts w:cs="Arial"/>
          <w:sz w:val="22"/>
          <w:szCs w:val="22"/>
        </w:rPr>
        <w:t xml:space="preserve"> generation, job creation and the quality of life; and to control and manage health risks of animal origin, thus stimulating economic growth and contributing to poverty alleviation and international trade.</w:t>
      </w:r>
      <w:r w:rsidR="00EF0212" w:rsidRPr="00AA4F0E">
        <w:rPr>
          <w:rFonts w:cs="Arial"/>
          <w:sz w:val="22"/>
          <w:szCs w:val="22"/>
        </w:rPr>
        <w:t xml:space="preserve"> </w:t>
      </w:r>
      <w:r w:rsidR="00DB5E42" w:rsidRPr="00ED7104">
        <w:rPr>
          <w:rFonts w:cs="Arial"/>
          <w:sz w:val="22"/>
          <w:szCs w:val="22"/>
        </w:rPr>
        <w:t>This programme consists of six sub-programmes: Agricultural Economics Services, Farmer Support &amp; Development, Research and Technology Development Services, Rural Development Coordination, Sustainable Resource Management and Veterinary Services.</w:t>
      </w:r>
    </w:p>
    <w:p w14:paraId="72201985" w14:textId="77777777" w:rsidR="00EF0212" w:rsidRPr="00ED7104" w:rsidRDefault="00EF0212" w:rsidP="005F28A5">
      <w:pPr>
        <w:tabs>
          <w:tab w:val="left" w:pos="1500"/>
        </w:tabs>
        <w:jc w:val="both"/>
        <w:rPr>
          <w:rFonts w:cs="Arial"/>
          <w:sz w:val="22"/>
          <w:szCs w:val="22"/>
        </w:rPr>
      </w:pPr>
    </w:p>
    <w:p w14:paraId="5B11B416" w14:textId="01CB5AE0" w:rsidR="009A5DB3" w:rsidRPr="009A5DB3" w:rsidRDefault="009A5DB3" w:rsidP="009A5DB3">
      <w:pPr>
        <w:tabs>
          <w:tab w:val="left" w:pos="1500"/>
        </w:tabs>
        <w:spacing w:line="276" w:lineRule="auto"/>
        <w:jc w:val="both"/>
        <w:rPr>
          <w:rFonts w:cs="Arial"/>
          <w:sz w:val="22"/>
          <w:szCs w:val="22"/>
          <w:lang w:val="en-US"/>
        </w:rPr>
      </w:pPr>
      <w:r w:rsidRPr="009A5DB3">
        <w:rPr>
          <w:rFonts w:cs="Arial"/>
          <w:b/>
          <w:sz w:val="22"/>
          <w:szCs w:val="22"/>
          <w:lang w:val="en-US"/>
        </w:rPr>
        <w:t>The Committee continues to be concerned with the</w:t>
      </w:r>
      <w:r w:rsidRPr="009A5DB3">
        <w:rPr>
          <w:rFonts w:cs="Arial"/>
          <w:sz w:val="22"/>
          <w:szCs w:val="22"/>
          <w:lang w:val="en-US"/>
        </w:rPr>
        <w:t xml:space="preserve"> </w:t>
      </w:r>
      <w:r w:rsidRPr="009A5DB3">
        <w:rPr>
          <w:rFonts w:cs="Arial"/>
          <w:b/>
          <w:sz w:val="22"/>
          <w:szCs w:val="22"/>
          <w:lang w:val="en-US"/>
        </w:rPr>
        <w:t>backlog faced with the establishment of infrastructure projects brought about by the IDMS policy and encourages the Department to ensure that the backlog will be reduced in the year under review.</w:t>
      </w:r>
    </w:p>
    <w:p w14:paraId="220E105F" w14:textId="513699A4" w:rsidR="001A3DF0" w:rsidRDefault="001A3DF0" w:rsidP="00414BA9">
      <w:pPr>
        <w:tabs>
          <w:tab w:val="left" w:pos="1500"/>
        </w:tabs>
        <w:spacing w:line="276" w:lineRule="auto"/>
        <w:jc w:val="both"/>
        <w:rPr>
          <w:rFonts w:cs="Arial"/>
          <w:sz w:val="22"/>
          <w:szCs w:val="22"/>
        </w:rPr>
      </w:pPr>
    </w:p>
    <w:p w14:paraId="4C6FCA03" w14:textId="3F11C3DC" w:rsidR="00AB2695" w:rsidRPr="00AB2695" w:rsidRDefault="00796F69" w:rsidP="00AB2695">
      <w:pPr>
        <w:tabs>
          <w:tab w:val="left" w:pos="1500"/>
        </w:tabs>
        <w:spacing w:line="276" w:lineRule="auto"/>
        <w:jc w:val="both"/>
        <w:rPr>
          <w:rFonts w:cs="Arial"/>
          <w:sz w:val="22"/>
          <w:szCs w:val="22"/>
          <w:lang w:val="en-US"/>
        </w:rPr>
      </w:pPr>
      <w:r w:rsidRPr="00D62B3F">
        <w:rPr>
          <w:rFonts w:cs="Arial"/>
          <w:b/>
          <w:bCs/>
          <w:sz w:val="22"/>
          <w:szCs w:val="22"/>
        </w:rPr>
        <w:t>The Sustainable Resource Management services</w:t>
      </w:r>
      <w:r w:rsidRPr="00796F69">
        <w:rPr>
          <w:rFonts w:cs="Arial"/>
          <w:sz w:val="22"/>
          <w:szCs w:val="22"/>
        </w:rPr>
        <w:t xml:space="preserve"> budget increases from R7.</w:t>
      </w:r>
      <w:r w:rsidR="00B41210">
        <w:rPr>
          <w:rFonts w:cs="Arial"/>
          <w:sz w:val="22"/>
          <w:szCs w:val="22"/>
        </w:rPr>
        <w:t>5</w:t>
      </w:r>
      <w:r w:rsidRPr="00796F69">
        <w:rPr>
          <w:rFonts w:cs="Arial"/>
          <w:sz w:val="22"/>
          <w:szCs w:val="22"/>
        </w:rPr>
        <w:t xml:space="preserve"> million in 202</w:t>
      </w:r>
      <w:r w:rsidR="006E7679">
        <w:rPr>
          <w:rFonts w:cs="Arial"/>
          <w:sz w:val="22"/>
          <w:szCs w:val="22"/>
        </w:rPr>
        <w:t>2</w:t>
      </w:r>
      <w:r w:rsidRPr="00796F69">
        <w:rPr>
          <w:rFonts w:cs="Arial"/>
          <w:sz w:val="22"/>
          <w:szCs w:val="22"/>
        </w:rPr>
        <w:t>/2</w:t>
      </w:r>
      <w:r w:rsidR="006E7679">
        <w:rPr>
          <w:rFonts w:cs="Arial"/>
          <w:sz w:val="22"/>
          <w:szCs w:val="22"/>
        </w:rPr>
        <w:t xml:space="preserve">3 </w:t>
      </w:r>
      <w:r w:rsidRPr="00796F69">
        <w:rPr>
          <w:rFonts w:cs="Arial"/>
          <w:sz w:val="22"/>
          <w:szCs w:val="22"/>
        </w:rPr>
        <w:t xml:space="preserve">to R7.9 million in the outer MTEF year. This increase is for the removal of alien vegetation and wetlands rehabilitation in relation to the Land Care Conditional grant. </w:t>
      </w:r>
      <w:r w:rsidR="00AB2695" w:rsidRPr="00AB2695">
        <w:rPr>
          <w:rFonts w:cs="Arial"/>
          <w:sz w:val="22"/>
          <w:szCs w:val="22"/>
          <w:lang w:val="en-US"/>
        </w:rPr>
        <w:t>It is critical that the branch be allocated more funds due to the nature of its function.</w:t>
      </w:r>
    </w:p>
    <w:p w14:paraId="5E311394" w14:textId="77A5B286" w:rsidR="00E84C2F" w:rsidRDefault="00E84C2F" w:rsidP="00414BA9">
      <w:pPr>
        <w:tabs>
          <w:tab w:val="left" w:pos="1500"/>
        </w:tabs>
        <w:spacing w:line="276" w:lineRule="auto"/>
        <w:jc w:val="both"/>
        <w:rPr>
          <w:rFonts w:cs="Arial"/>
          <w:sz w:val="22"/>
          <w:szCs w:val="22"/>
        </w:rPr>
      </w:pPr>
    </w:p>
    <w:p w14:paraId="20B3CAE0" w14:textId="1C7FBBF0" w:rsidR="00546FC1" w:rsidRPr="00546FC1" w:rsidRDefault="00796F69" w:rsidP="00546FC1">
      <w:pPr>
        <w:tabs>
          <w:tab w:val="left" w:pos="1500"/>
        </w:tabs>
        <w:spacing w:line="276" w:lineRule="auto"/>
        <w:jc w:val="both"/>
        <w:rPr>
          <w:rFonts w:cs="Arial"/>
          <w:sz w:val="22"/>
          <w:szCs w:val="22"/>
          <w:lang w:val="en-US"/>
        </w:rPr>
      </w:pPr>
      <w:r w:rsidRPr="00D62B3F">
        <w:rPr>
          <w:rFonts w:cs="Arial"/>
          <w:b/>
          <w:bCs/>
          <w:sz w:val="22"/>
          <w:szCs w:val="22"/>
        </w:rPr>
        <w:t>The Farmer Support and Development programme’s</w:t>
      </w:r>
      <w:r w:rsidRPr="00796F69">
        <w:rPr>
          <w:rFonts w:cs="Arial"/>
          <w:sz w:val="22"/>
          <w:szCs w:val="22"/>
        </w:rPr>
        <w:t xml:space="preserve"> main service is to render extension and advisory services to subsistence producers by providing production inputs such as vegetable seeds, compost, watering cans and provision of production infrastructure in the form of piggery and poultry housing. The programme is funded through the Comprehensive Agricultural Support Programme grant and the Illima/Letsema conditional grant. Over the 2021 MTEF, the allocation grows from R221 million in 2021/22 to R238 million in 202</w:t>
      </w:r>
      <w:r w:rsidR="00D30E2A">
        <w:rPr>
          <w:rFonts w:cs="Arial"/>
          <w:sz w:val="22"/>
          <w:szCs w:val="22"/>
        </w:rPr>
        <w:t>2</w:t>
      </w:r>
      <w:r w:rsidRPr="00796F69">
        <w:rPr>
          <w:rFonts w:cs="Arial"/>
          <w:sz w:val="22"/>
          <w:szCs w:val="22"/>
        </w:rPr>
        <w:t>/2</w:t>
      </w:r>
      <w:r w:rsidR="00D30E2A">
        <w:rPr>
          <w:rFonts w:cs="Arial"/>
          <w:sz w:val="22"/>
          <w:szCs w:val="22"/>
        </w:rPr>
        <w:t>3</w:t>
      </w:r>
      <w:r w:rsidRPr="00796F69">
        <w:rPr>
          <w:rFonts w:cs="Arial"/>
          <w:sz w:val="22"/>
          <w:szCs w:val="22"/>
        </w:rPr>
        <w:t xml:space="preserve"> financial year.</w:t>
      </w:r>
      <w:r w:rsidR="00546FC1" w:rsidRPr="00546FC1">
        <w:rPr>
          <w:rFonts w:cs="Arial"/>
          <w:sz w:val="22"/>
          <w:szCs w:val="22"/>
          <w:lang w:val="en-US"/>
        </w:rPr>
        <w:t xml:space="preserve"> The Committee encourages the Department to ensure that Agricultural Cooperatives are assisted with agricultural advice and access to markets. </w:t>
      </w:r>
    </w:p>
    <w:p w14:paraId="0FBF4D7C" w14:textId="77777777" w:rsidR="00E84C2F" w:rsidRDefault="00E84C2F" w:rsidP="00414BA9">
      <w:pPr>
        <w:tabs>
          <w:tab w:val="left" w:pos="1500"/>
        </w:tabs>
        <w:spacing w:line="276" w:lineRule="auto"/>
        <w:jc w:val="both"/>
        <w:rPr>
          <w:rFonts w:cs="Arial"/>
          <w:sz w:val="22"/>
          <w:szCs w:val="22"/>
        </w:rPr>
      </w:pPr>
    </w:p>
    <w:p w14:paraId="4D543411" w14:textId="716892C4" w:rsidR="00E84C2F" w:rsidRDefault="00796F69" w:rsidP="00414BA9">
      <w:pPr>
        <w:tabs>
          <w:tab w:val="left" w:pos="1500"/>
        </w:tabs>
        <w:spacing w:line="276" w:lineRule="auto"/>
        <w:jc w:val="both"/>
        <w:rPr>
          <w:rFonts w:cs="Arial"/>
          <w:sz w:val="22"/>
          <w:szCs w:val="22"/>
        </w:rPr>
      </w:pPr>
      <w:r w:rsidRPr="005929FA">
        <w:rPr>
          <w:rFonts w:cs="Arial"/>
          <w:b/>
          <w:bCs/>
          <w:sz w:val="22"/>
          <w:szCs w:val="22"/>
        </w:rPr>
        <w:t xml:space="preserve">The Veterinary Services </w:t>
      </w:r>
      <w:r w:rsidRPr="00796F69">
        <w:rPr>
          <w:rFonts w:cs="Arial"/>
          <w:sz w:val="22"/>
          <w:szCs w:val="22"/>
        </w:rPr>
        <w:t>budget increases from R106 million in 2021/22 to R109 million in 202</w:t>
      </w:r>
      <w:r w:rsidR="003C4372">
        <w:rPr>
          <w:rFonts w:cs="Arial"/>
          <w:sz w:val="22"/>
          <w:szCs w:val="22"/>
        </w:rPr>
        <w:t>2</w:t>
      </w:r>
      <w:r w:rsidRPr="00796F69">
        <w:rPr>
          <w:rFonts w:cs="Arial"/>
          <w:sz w:val="22"/>
          <w:szCs w:val="22"/>
        </w:rPr>
        <w:t>/2</w:t>
      </w:r>
      <w:r w:rsidR="003C4372">
        <w:rPr>
          <w:rFonts w:cs="Arial"/>
          <w:sz w:val="22"/>
          <w:szCs w:val="22"/>
        </w:rPr>
        <w:t>3</w:t>
      </w:r>
      <w:r w:rsidRPr="00796F69">
        <w:rPr>
          <w:rFonts w:cs="Arial"/>
          <w:sz w:val="22"/>
          <w:szCs w:val="22"/>
        </w:rPr>
        <w:t xml:space="preserve">. The budget is availed for increased demand for clinical services in the economic development corridors as well as to extend veterinary services to previously marginalised communities. </w:t>
      </w:r>
      <w:r w:rsidR="00CA0E47">
        <w:rPr>
          <w:rFonts w:cs="Arial"/>
          <w:sz w:val="22"/>
          <w:szCs w:val="22"/>
        </w:rPr>
        <w:t>L</w:t>
      </w:r>
      <w:r w:rsidR="00CA0E47" w:rsidRPr="00796F69">
        <w:rPr>
          <w:rFonts w:cs="Arial"/>
          <w:sz w:val="22"/>
          <w:szCs w:val="22"/>
        </w:rPr>
        <w:t xml:space="preserve"> </w:t>
      </w:r>
      <w:r w:rsidRPr="00796F69">
        <w:rPr>
          <w:rFonts w:cs="Arial"/>
          <w:sz w:val="22"/>
          <w:szCs w:val="22"/>
        </w:rPr>
        <w:t xml:space="preserve">lastly, it is used for maintaining optimal biosecurity measures on farms to reduce the risk of spread of diseases as well as import and export services. </w:t>
      </w:r>
    </w:p>
    <w:p w14:paraId="69CB24C6" w14:textId="77777777" w:rsidR="00E84C2F" w:rsidRDefault="00E84C2F" w:rsidP="00414BA9">
      <w:pPr>
        <w:tabs>
          <w:tab w:val="left" w:pos="1500"/>
        </w:tabs>
        <w:spacing w:line="276" w:lineRule="auto"/>
        <w:jc w:val="both"/>
        <w:rPr>
          <w:rFonts w:cs="Arial"/>
          <w:sz w:val="22"/>
          <w:szCs w:val="22"/>
        </w:rPr>
      </w:pPr>
    </w:p>
    <w:p w14:paraId="01BE3C96" w14:textId="6472FE0F" w:rsidR="005929FA" w:rsidRPr="005929FA" w:rsidRDefault="00796F69" w:rsidP="005929FA">
      <w:pPr>
        <w:tabs>
          <w:tab w:val="left" w:pos="1500"/>
        </w:tabs>
        <w:spacing w:line="276" w:lineRule="auto"/>
        <w:jc w:val="both"/>
        <w:rPr>
          <w:rFonts w:cs="Arial"/>
          <w:sz w:val="22"/>
          <w:szCs w:val="22"/>
        </w:rPr>
      </w:pPr>
      <w:r w:rsidRPr="005929FA">
        <w:rPr>
          <w:rFonts w:cs="Arial"/>
          <w:b/>
          <w:bCs/>
          <w:sz w:val="22"/>
          <w:szCs w:val="22"/>
        </w:rPr>
        <w:t>The Research and Technology Development services</w:t>
      </w:r>
      <w:r w:rsidRPr="00796F69">
        <w:rPr>
          <w:rFonts w:cs="Arial"/>
          <w:sz w:val="22"/>
          <w:szCs w:val="22"/>
        </w:rPr>
        <w:t xml:space="preserve"> budget </w:t>
      </w:r>
      <w:r w:rsidR="00D30E2A">
        <w:rPr>
          <w:rFonts w:cs="Arial"/>
          <w:sz w:val="22"/>
          <w:szCs w:val="22"/>
        </w:rPr>
        <w:t xml:space="preserve">decreases </w:t>
      </w:r>
      <w:r w:rsidRPr="00796F69">
        <w:rPr>
          <w:rFonts w:cs="Arial"/>
          <w:sz w:val="22"/>
          <w:szCs w:val="22"/>
        </w:rPr>
        <w:t>from R</w:t>
      </w:r>
      <w:r w:rsidR="00DF67D7">
        <w:rPr>
          <w:rFonts w:cs="Arial"/>
          <w:sz w:val="22"/>
          <w:szCs w:val="22"/>
        </w:rPr>
        <w:t>83</w:t>
      </w:r>
      <w:r w:rsidRPr="00796F69">
        <w:rPr>
          <w:rFonts w:cs="Arial"/>
          <w:sz w:val="22"/>
          <w:szCs w:val="22"/>
        </w:rPr>
        <w:t xml:space="preserve"> million in 2021/2022 to R</w:t>
      </w:r>
      <w:r w:rsidR="00DF67D7">
        <w:rPr>
          <w:rFonts w:cs="Arial"/>
          <w:sz w:val="22"/>
          <w:szCs w:val="22"/>
        </w:rPr>
        <w:t>79</w:t>
      </w:r>
      <w:r w:rsidRPr="00796F69">
        <w:rPr>
          <w:rFonts w:cs="Arial"/>
          <w:sz w:val="22"/>
          <w:szCs w:val="22"/>
        </w:rPr>
        <w:t xml:space="preserve"> million in 202</w:t>
      </w:r>
      <w:r w:rsidR="00DF67D7">
        <w:rPr>
          <w:rFonts w:cs="Arial"/>
          <w:sz w:val="22"/>
          <w:szCs w:val="22"/>
        </w:rPr>
        <w:t>2</w:t>
      </w:r>
      <w:r w:rsidRPr="00796F69">
        <w:rPr>
          <w:rFonts w:cs="Arial"/>
          <w:sz w:val="22"/>
          <w:szCs w:val="22"/>
        </w:rPr>
        <w:t>/202</w:t>
      </w:r>
      <w:r w:rsidR="00DF67D7">
        <w:rPr>
          <w:rFonts w:cs="Arial"/>
          <w:sz w:val="22"/>
          <w:szCs w:val="22"/>
        </w:rPr>
        <w:t>3</w:t>
      </w:r>
      <w:r w:rsidRPr="00796F69">
        <w:rPr>
          <w:rFonts w:cs="Arial"/>
          <w:sz w:val="22"/>
          <w:szCs w:val="22"/>
        </w:rPr>
        <w:t xml:space="preserve"> to render expert and needs based research, </w:t>
      </w:r>
      <w:proofErr w:type="gramStart"/>
      <w:r w:rsidRPr="00796F69">
        <w:rPr>
          <w:rFonts w:cs="Arial"/>
          <w:sz w:val="22"/>
          <w:szCs w:val="22"/>
        </w:rPr>
        <w:t>development</w:t>
      </w:r>
      <w:proofErr w:type="gramEnd"/>
      <w:r w:rsidRPr="00796F69">
        <w:rPr>
          <w:rFonts w:cs="Arial"/>
          <w:sz w:val="22"/>
          <w:szCs w:val="22"/>
        </w:rPr>
        <w:t xml:space="preserve"> and technology transfer services to farmers to improve agricultural production.</w:t>
      </w:r>
      <w:r w:rsidR="005929FA" w:rsidRPr="005929FA">
        <w:rPr>
          <w:rFonts w:cs="Arial"/>
          <w:sz w:val="22"/>
          <w:szCs w:val="22"/>
        </w:rPr>
        <w:t xml:space="preserve"> The Department is commended for realizing the importance of spending a significant amount in the budget on research. Moreover, the Department is </w:t>
      </w:r>
      <w:r w:rsidR="005929FA" w:rsidRPr="005929FA">
        <w:rPr>
          <w:rFonts w:cs="Arial"/>
          <w:sz w:val="22"/>
          <w:szCs w:val="22"/>
          <w:lang w:val="en-US"/>
        </w:rPr>
        <w:t xml:space="preserve">encouraged to continue treating Agricultural research with high importance </w:t>
      </w:r>
      <w:proofErr w:type="gramStart"/>
      <w:r w:rsidR="005929FA" w:rsidRPr="005929FA">
        <w:rPr>
          <w:rFonts w:cs="Arial"/>
          <w:sz w:val="22"/>
          <w:szCs w:val="22"/>
          <w:lang w:val="en-US"/>
        </w:rPr>
        <w:t>so as to</w:t>
      </w:r>
      <w:proofErr w:type="gramEnd"/>
      <w:r w:rsidR="005929FA" w:rsidRPr="005929FA">
        <w:rPr>
          <w:rFonts w:cs="Arial"/>
          <w:sz w:val="22"/>
          <w:szCs w:val="22"/>
          <w:lang w:val="en-US"/>
        </w:rPr>
        <w:t xml:space="preserve"> provide long term solutions to the challenges faced by the sector.</w:t>
      </w:r>
    </w:p>
    <w:p w14:paraId="3A094556" w14:textId="77777777" w:rsidR="009A5DB3" w:rsidRDefault="009A5DB3" w:rsidP="00414BA9">
      <w:pPr>
        <w:tabs>
          <w:tab w:val="left" w:pos="1500"/>
        </w:tabs>
        <w:spacing w:line="276" w:lineRule="auto"/>
        <w:jc w:val="both"/>
        <w:rPr>
          <w:rFonts w:cs="Arial"/>
          <w:sz w:val="22"/>
          <w:szCs w:val="22"/>
        </w:rPr>
      </w:pPr>
    </w:p>
    <w:p w14:paraId="7B98CE5D" w14:textId="20237839" w:rsidR="009A5DB3" w:rsidRDefault="00796F69" w:rsidP="00414BA9">
      <w:pPr>
        <w:tabs>
          <w:tab w:val="left" w:pos="1500"/>
        </w:tabs>
        <w:spacing w:line="276" w:lineRule="auto"/>
        <w:jc w:val="both"/>
        <w:rPr>
          <w:rFonts w:cs="Arial"/>
          <w:sz w:val="22"/>
          <w:szCs w:val="22"/>
        </w:rPr>
      </w:pPr>
      <w:r w:rsidRPr="00546FC1">
        <w:rPr>
          <w:rFonts w:cs="Arial"/>
          <w:b/>
          <w:bCs/>
          <w:sz w:val="22"/>
          <w:szCs w:val="22"/>
        </w:rPr>
        <w:t>The Agriculture Economic Services</w:t>
      </w:r>
      <w:r w:rsidRPr="00796F69">
        <w:rPr>
          <w:rFonts w:cs="Arial"/>
          <w:sz w:val="22"/>
          <w:szCs w:val="22"/>
        </w:rPr>
        <w:t xml:space="preserve"> allocation is set at R</w:t>
      </w:r>
      <w:r w:rsidR="00AB1C15">
        <w:rPr>
          <w:rFonts w:cs="Arial"/>
          <w:sz w:val="22"/>
          <w:szCs w:val="22"/>
        </w:rPr>
        <w:t>42</w:t>
      </w:r>
      <w:r w:rsidRPr="00796F69">
        <w:rPr>
          <w:rFonts w:cs="Arial"/>
          <w:sz w:val="22"/>
          <w:szCs w:val="22"/>
        </w:rPr>
        <w:t xml:space="preserve"> million in 202</w:t>
      </w:r>
      <w:r w:rsidR="00AB1C15">
        <w:rPr>
          <w:rFonts w:cs="Arial"/>
          <w:sz w:val="22"/>
          <w:szCs w:val="22"/>
        </w:rPr>
        <w:t>2</w:t>
      </w:r>
      <w:r w:rsidRPr="00796F69">
        <w:rPr>
          <w:rFonts w:cs="Arial"/>
          <w:sz w:val="22"/>
          <w:szCs w:val="22"/>
        </w:rPr>
        <w:t>/2</w:t>
      </w:r>
      <w:r w:rsidR="00AB1C15">
        <w:rPr>
          <w:rFonts w:cs="Arial"/>
          <w:sz w:val="22"/>
          <w:szCs w:val="22"/>
        </w:rPr>
        <w:t>3</w:t>
      </w:r>
      <w:r w:rsidRPr="00796F69">
        <w:rPr>
          <w:rFonts w:cs="Arial"/>
          <w:sz w:val="22"/>
          <w:szCs w:val="22"/>
        </w:rPr>
        <w:t xml:space="preserve"> and will </w:t>
      </w:r>
      <w:r w:rsidR="00FC424D">
        <w:rPr>
          <w:rFonts w:cs="Arial"/>
          <w:sz w:val="22"/>
          <w:szCs w:val="22"/>
        </w:rPr>
        <w:t xml:space="preserve">decrease </w:t>
      </w:r>
      <w:r w:rsidRPr="00796F69">
        <w:rPr>
          <w:rFonts w:cs="Arial"/>
          <w:sz w:val="22"/>
          <w:szCs w:val="22"/>
        </w:rPr>
        <w:t>to R3</w:t>
      </w:r>
      <w:r w:rsidR="00FC424D">
        <w:rPr>
          <w:rFonts w:cs="Arial"/>
          <w:sz w:val="22"/>
          <w:szCs w:val="22"/>
        </w:rPr>
        <w:t>7</w:t>
      </w:r>
      <w:r w:rsidRPr="00796F69">
        <w:rPr>
          <w:rFonts w:cs="Arial"/>
          <w:sz w:val="22"/>
          <w:szCs w:val="22"/>
        </w:rPr>
        <w:t xml:space="preserve"> million in 2023/24, for managing and coordinating the provision of agriculture, agro-processing and technical services. Furthermore, the programme will continue to provide support to farmers to access markets and sell their agricultural produce. </w:t>
      </w:r>
      <w:r w:rsidR="00C0728A" w:rsidRPr="00C0728A">
        <w:rPr>
          <w:rFonts w:cs="Arial"/>
          <w:sz w:val="22"/>
          <w:szCs w:val="22"/>
        </w:rPr>
        <w:t xml:space="preserve">The Committee continues to encourage the Department to continue supporting small scale farmers with marketing of their products and to assist them to have </w:t>
      </w:r>
      <w:r w:rsidR="00C0728A" w:rsidRPr="00C0728A">
        <w:rPr>
          <w:rFonts w:cs="Arial"/>
          <w:sz w:val="22"/>
          <w:szCs w:val="22"/>
          <w:lang w:val="en-US"/>
        </w:rPr>
        <w:t>access to markets as most small</w:t>
      </w:r>
      <w:r w:rsidR="009360EE">
        <w:rPr>
          <w:rFonts w:cs="Arial"/>
          <w:sz w:val="22"/>
          <w:szCs w:val="22"/>
          <w:lang w:val="en-US"/>
        </w:rPr>
        <w:t>-scale</w:t>
      </w:r>
      <w:r w:rsidR="00C0728A" w:rsidRPr="00C0728A">
        <w:rPr>
          <w:rFonts w:cs="Arial"/>
          <w:sz w:val="22"/>
          <w:szCs w:val="22"/>
          <w:lang w:val="en-US"/>
        </w:rPr>
        <w:t xml:space="preserve"> farmers continue to have a challenge of sustaining themselves</w:t>
      </w:r>
      <w:r w:rsidR="00F00C0A">
        <w:rPr>
          <w:rFonts w:cs="Arial"/>
          <w:sz w:val="22"/>
          <w:szCs w:val="22"/>
          <w:lang w:val="en-US"/>
        </w:rPr>
        <w:t>.</w:t>
      </w:r>
    </w:p>
    <w:p w14:paraId="146F04D0" w14:textId="77777777" w:rsidR="009360EE" w:rsidRDefault="009360EE" w:rsidP="00414BA9">
      <w:pPr>
        <w:tabs>
          <w:tab w:val="left" w:pos="1500"/>
        </w:tabs>
        <w:spacing w:line="276" w:lineRule="auto"/>
        <w:jc w:val="both"/>
        <w:rPr>
          <w:rFonts w:cs="Arial"/>
          <w:sz w:val="22"/>
          <w:szCs w:val="22"/>
        </w:rPr>
      </w:pPr>
    </w:p>
    <w:p w14:paraId="7FE4AECF" w14:textId="6D6273C2" w:rsidR="00C0728A" w:rsidRPr="00C0728A" w:rsidRDefault="00796F69" w:rsidP="00C0728A">
      <w:pPr>
        <w:tabs>
          <w:tab w:val="left" w:pos="1500"/>
        </w:tabs>
        <w:spacing w:line="276" w:lineRule="auto"/>
        <w:jc w:val="both"/>
        <w:rPr>
          <w:rFonts w:cs="Arial"/>
          <w:bCs/>
          <w:sz w:val="22"/>
          <w:szCs w:val="22"/>
          <w:lang w:val="en-US"/>
        </w:rPr>
      </w:pPr>
      <w:r w:rsidRPr="00546FC1">
        <w:rPr>
          <w:rFonts w:cs="Arial"/>
          <w:b/>
          <w:bCs/>
          <w:sz w:val="22"/>
          <w:szCs w:val="22"/>
        </w:rPr>
        <w:t>The Rural Development</w:t>
      </w:r>
      <w:r w:rsidRPr="00796F69">
        <w:rPr>
          <w:rFonts w:cs="Arial"/>
          <w:sz w:val="22"/>
          <w:szCs w:val="22"/>
        </w:rPr>
        <w:t xml:space="preserve"> allocation is R10</w:t>
      </w:r>
      <w:r w:rsidR="006F359A">
        <w:rPr>
          <w:rFonts w:cs="Arial"/>
          <w:sz w:val="22"/>
          <w:szCs w:val="22"/>
        </w:rPr>
        <w:t>,7</w:t>
      </w:r>
      <w:r w:rsidRPr="00796F69">
        <w:rPr>
          <w:rFonts w:cs="Arial"/>
          <w:sz w:val="22"/>
          <w:szCs w:val="22"/>
        </w:rPr>
        <w:t xml:space="preserve"> million in 202</w:t>
      </w:r>
      <w:r w:rsidR="00935F12">
        <w:rPr>
          <w:rFonts w:cs="Arial"/>
          <w:sz w:val="22"/>
          <w:szCs w:val="22"/>
        </w:rPr>
        <w:t>2</w:t>
      </w:r>
      <w:r w:rsidRPr="00796F69">
        <w:rPr>
          <w:rFonts w:cs="Arial"/>
          <w:sz w:val="22"/>
          <w:szCs w:val="22"/>
        </w:rPr>
        <w:t>/2</w:t>
      </w:r>
      <w:r w:rsidR="00935F12">
        <w:rPr>
          <w:rFonts w:cs="Arial"/>
          <w:sz w:val="22"/>
          <w:szCs w:val="22"/>
        </w:rPr>
        <w:t>3</w:t>
      </w:r>
      <w:r w:rsidRPr="00796F69">
        <w:rPr>
          <w:rFonts w:cs="Arial"/>
          <w:sz w:val="22"/>
          <w:szCs w:val="22"/>
        </w:rPr>
        <w:t xml:space="preserve"> primarily to ensure proper coordination with GPG departments regarding services supporting rural enterprises and industries; providing skills development opportunities in rural development initiatives; creating job opportunities; and supporting rural infrastructure projects</w:t>
      </w:r>
      <w:r w:rsidR="009A5DB3">
        <w:rPr>
          <w:rFonts w:cs="Arial"/>
          <w:sz w:val="22"/>
          <w:szCs w:val="22"/>
        </w:rPr>
        <w:t>.</w:t>
      </w:r>
      <w:r w:rsidR="00C0728A" w:rsidRPr="00C0728A">
        <w:rPr>
          <w:rFonts w:cs="Arial"/>
          <w:sz w:val="22"/>
          <w:szCs w:val="22"/>
        </w:rPr>
        <w:t xml:space="preserve"> It is important to enhance this sub-</w:t>
      </w:r>
      <w:r w:rsidR="00C0728A" w:rsidRPr="00C0728A">
        <w:rPr>
          <w:rFonts w:cs="Arial"/>
          <w:sz w:val="22"/>
          <w:szCs w:val="22"/>
        </w:rPr>
        <w:lastRenderedPageBreak/>
        <w:t xml:space="preserve">programme </w:t>
      </w:r>
      <w:proofErr w:type="gramStart"/>
      <w:r w:rsidR="00C0728A" w:rsidRPr="00C0728A">
        <w:rPr>
          <w:rFonts w:cs="Arial"/>
          <w:sz w:val="22"/>
          <w:szCs w:val="22"/>
        </w:rPr>
        <w:t>in order to</w:t>
      </w:r>
      <w:proofErr w:type="gramEnd"/>
      <w:r w:rsidR="00C0728A" w:rsidRPr="00C0728A">
        <w:rPr>
          <w:rFonts w:cs="Arial"/>
          <w:sz w:val="22"/>
          <w:szCs w:val="22"/>
        </w:rPr>
        <w:t xml:space="preserve"> curb the migration of people from rural areas to the metropolitan areas and therefore enhance the economies of the various rural Gauteng nodes.  Even though the main role player in rural development is the National Department and that the Department’s role is mainly to coordinate stakeholders involved with projects at the various rural nodes, </w:t>
      </w:r>
      <w:proofErr w:type="gramStart"/>
      <w:r w:rsidR="00C0728A" w:rsidRPr="00C0728A">
        <w:rPr>
          <w:rFonts w:cs="Arial"/>
          <w:sz w:val="22"/>
          <w:szCs w:val="22"/>
        </w:rPr>
        <w:t>it would seem that this</w:t>
      </w:r>
      <w:proofErr w:type="gramEnd"/>
      <w:r w:rsidR="00C0728A" w:rsidRPr="00C0728A">
        <w:rPr>
          <w:rFonts w:cs="Arial"/>
          <w:sz w:val="22"/>
          <w:szCs w:val="22"/>
        </w:rPr>
        <w:t xml:space="preserve"> area is not getting the attention it deserves.   </w:t>
      </w:r>
    </w:p>
    <w:p w14:paraId="5C00F240" w14:textId="03132B12" w:rsidR="001A3DF0" w:rsidRDefault="001A3DF0" w:rsidP="00414BA9">
      <w:pPr>
        <w:tabs>
          <w:tab w:val="left" w:pos="1500"/>
        </w:tabs>
        <w:spacing w:line="276" w:lineRule="auto"/>
        <w:jc w:val="both"/>
        <w:rPr>
          <w:rFonts w:cs="Arial"/>
          <w:sz w:val="22"/>
          <w:szCs w:val="22"/>
        </w:rPr>
      </w:pPr>
    </w:p>
    <w:p w14:paraId="730DD292" w14:textId="77777777" w:rsidR="00625B74" w:rsidRDefault="00FC4D04" w:rsidP="00BA10F1">
      <w:pPr>
        <w:autoSpaceDE w:val="0"/>
        <w:autoSpaceDN w:val="0"/>
        <w:adjustRightInd w:val="0"/>
        <w:spacing w:line="360" w:lineRule="auto"/>
        <w:jc w:val="both"/>
        <w:rPr>
          <w:rFonts w:cs="Arial"/>
          <w:b/>
          <w:color w:val="1A171B"/>
          <w:sz w:val="22"/>
          <w:szCs w:val="22"/>
        </w:rPr>
      </w:pPr>
      <w:r>
        <w:rPr>
          <w:rFonts w:cs="Arial"/>
          <w:b/>
          <w:color w:val="1A171B"/>
          <w:sz w:val="22"/>
          <w:szCs w:val="22"/>
        </w:rPr>
        <w:t>6</w:t>
      </w:r>
      <w:r w:rsidR="00F94DB1" w:rsidRPr="00C97603">
        <w:rPr>
          <w:rFonts w:cs="Arial"/>
          <w:b/>
          <w:color w:val="1A171B"/>
          <w:sz w:val="22"/>
          <w:szCs w:val="22"/>
        </w:rPr>
        <w:t>.</w:t>
      </w:r>
      <w:r w:rsidR="00553F92" w:rsidRPr="00C97603">
        <w:rPr>
          <w:rFonts w:cs="Arial"/>
          <w:b/>
          <w:color w:val="1A171B"/>
          <w:sz w:val="22"/>
          <w:szCs w:val="22"/>
        </w:rPr>
        <w:t>3</w:t>
      </w:r>
      <w:r w:rsidR="00553F92" w:rsidRPr="00F81210">
        <w:rPr>
          <w:rFonts w:cs="Arial"/>
          <w:color w:val="1A171B"/>
          <w:sz w:val="22"/>
          <w:szCs w:val="22"/>
        </w:rPr>
        <w:t xml:space="preserve"> </w:t>
      </w:r>
      <w:r w:rsidR="00790034" w:rsidRPr="00F81210">
        <w:rPr>
          <w:rFonts w:cs="Arial"/>
          <w:b/>
          <w:color w:val="1A171B"/>
          <w:sz w:val="22"/>
          <w:szCs w:val="22"/>
        </w:rPr>
        <w:t>PROGRAMME 3: ENVIRONMENTAL AFFAIRS</w:t>
      </w:r>
    </w:p>
    <w:p w14:paraId="74542FF6" w14:textId="7EBA650E" w:rsidR="00770AFC" w:rsidRPr="0067330C" w:rsidRDefault="009A68F6" w:rsidP="00112285">
      <w:pPr>
        <w:tabs>
          <w:tab w:val="left" w:pos="1500"/>
        </w:tabs>
        <w:spacing w:line="276" w:lineRule="auto"/>
        <w:jc w:val="both"/>
        <w:rPr>
          <w:rFonts w:cs="Arial"/>
          <w:sz w:val="22"/>
          <w:szCs w:val="22"/>
        </w:rPr>
      </w:pPr>
      <w:r w:rsidRPr="0067330C">
        <w:rPr>
          <w:rFonts w:cs="Arial"/>
          <w:sz w:val="22"/>
          <w:szCs w:val="22"/>
        </w:rPr>
        <w:t xml:space="preserve">This programme is responsible for promoting </w:t>
      </w:r>
      <w:r w:rsidR="008612AA" w:rsidRPr="0067330C">
        <w:rPr>
          <w:rFonts w:cs="Arial"/>
          <w:sz w:val="22"/>
          <w:szCs w:val="22"/>
        </w:rPr>
        <w:t>equitable use of ecosystem goods and services; and contributing to economic development by managing biological diversity and its components</w:t>
      </w:r>
      <w:r w:rsidR="00852D37">
        <w:rPr>
          <w:rFonts w:cs="Arial"/>
          <w:sz w:val="22"/>
          <w:szCs w:val="22"/>
        </w:rPr>
        <w:t xml:space="preserve">. </w:t>
      </w:r>
      <w:r w:rsidR="002045B1" w:rsidRPr="0067330C">
        <w:rPr>
          <w:rFonts w:cs="Arial"/>
          <w:sz w:val="22"/>
          <w:szCs w:val="22"/>
        </w:rPr>
        <w:t xml:space="preserve">The programme also </w:t>
      </w:r>
      <w:r w:rsidR="002623C4" w:rsidRPr="0067330C">
        <w:rPr>
          <w:rFonts w:cs="Arial"/>
          <w:sz w:val="22"/>
          <w:szCs w:val="22"/>
        </w:rPr>
        <w:t>ensure</w:t>
      </w:r>
      <w:r w:rsidR="005B2CE9">
        <w:rPr>
          <w:rFonts w:cs="Arial"/>
          <w:sz w:val="22"/>
          <w:szCs w:val="22"/>
        </w:rPr>
        <w:t>s</w:t>
      </w:r>
      <w:r w:rsidR="002045B1" w:rsidRPr="0067330C">
        <w:rPr>
          <w:rFonts w:cs="Arial"/>
          <w:sz w:val="22"/>
          <w:szCs w:val="22"/>
        </w:rPr>
        <w:t xml:space="preserve"> that the province implements the principles of integrated waste management; promotes sustainable </w:t>
      </w:r>
      <w:r w:rsidR="0009512A" w:rsidRPr="0067330C">
        <w:rPr>
          <w:rFonts w:cs="Arial"/>
          <w:sz w:val="22"/>
          <w:szCs w:val="22"/>
        </w:rPr>
        <w:t>development and</w:t>
      </w:r>
      <w:r w:rsidR="002045B1" w:rsidRPr="0067330C">
        <w:rPr>
          <w:rFonts w:cs="Arial"/>
          <w:sz w:val="22"/>
          <w:szCs w:val="22"/>
        </w:rPr>
        <w:t xml:space="preserve"> quality of life by ensuring acceptable ambient air quality and sustainable mining practices and manage hazardous chemicals and industrial related activities. </w:t>
      </w:r>
      <w:r w:rsidR="00770AFC" w:rsidRPr="0067330C">
        <w:rPr>
          <w:rFonts w:cs="Arial"/>
          <w:sz w:val="22"/>
          <w:szCs w:val="22"/>
        </w:rPr>
        <w:t xml:space="preserve">The programme consists of four sub-programmes </w:t>
      </w:r>
      <w:r w:rsidR="00531066" w:rsidRPr="0067330C">
        <w:rPr>
          <w:rFonts w:cs="Arial"/>
          <w:sz w:val="22"/>
          <w:szCs w:val="22"/>
        </w:rPr>
        <w:t>namely,</w:t>
      </w:r>
      <w:r w:rsidR="00770AFC" w:rsidRPr="0067330C">
        <w:rPr>
          <w:rFonts w:cs="Arial"/>
          <w:sz w:val="22"/>
          <w:szCs w:val="22"/>
        </w:rPr>
        <w:t xml:space="preserve"> </w:t>
      </w:r>
      <w:r w:rsidR="00770AFC" w:rsidRPr="0067330C">
        <w:rPr>
          <w:rFonts w:cs="Arial"/>
          <w:sz w:val="22"/>
          <w:szCs w:val="22"/>
          <w:lang w:val="en-US"/>
        </w:rPr>
        <w:t>Environmental Policy, Planning and Coordination; Environmental Quality Management</w:t>
      </w:r>
      <w:r w:rsidR="006251DE">
        <w:rPr>
          <w:rFonts w:cs="Arial"/>
          <w:sz w:val="22"/>
          <w:szCs w:val="22"/>
          <w:lang w:val="en-US"/>
        </w:rPr>
        <w:t>;</w:t>
      </w:r>
      <w:r w:rsidR="00B112C8" w:rsidRPr="0067330C">
        <w:rPr>
          <w:rFonts w:cs="Arial"/>
          <w:sz w:val="22"/>
          <w:szCs w:val="22"/>
          <w:lang w:val="en-US"/>
        </w:rPr>
        <w:t xml:space="preserve"> Compliance</w:t>
      </w:r>
      <w:r w:rsidR="00770AFC" w:rsidRPr="0067330C">
        <w:rPr>
          <w:rFonts w:cs="Arial"/>
          <w:sz w:val="22"/>
          <w:szCs w:val="22"/>
          <w:lang w:val="en-US"/>
        </w:rPr>
        <w:t xml:space="preserve"> and Enforcement as well as Biodiversity Management.  </w:t>
      </w:r>
    </w:p>
    <w:p w14:paraId="5CC0D332" w14:textId="77777777" w:rsidR="002045B1" w:rsidRPr="0067330C" w:rsidRDefault="002045B1" w:rsidP="005F28A5">
      <w:pPr>
        <w:tabs>
          <w:tab w:val="left" w:pos="1500"/>
        </w:tabs>
        <w:jc w:val="both"/>
        <w:rPr>
          <w:rFonts w:cs="Arial"/>
          <w:sz w:val="22"/>
          <w:szCs w:val="22"/>
          <w:lang w:val="en-US"/>
        </w:rPr>
      </w:pPr>
    </w:p>
    <w:p w14:paraId="48461D16" w14:textId="445BE6D3" w:rsidR="00C8527C" w:rsidRDefault="007A0314" w:rsidP="009E0683">
      <w:pPr>
        <w:tabs>
          <w:tab w:val="left" w:pos="1500"/>
        </w:tabs>
        <w:spacing w:line="276" w:lineRule="auto"/>
        <w:jc w:val="both"/>
        <w:rPr>
          <w:rFonts w:cs="Arial"/>
          <w:sz w:val="22"/>
          <w:szCs w:val="22"/>
        </w:rPr>
      </w:pPr>
      <w:bookmarkStart w:id="16" w:name="_Hlk103117364"/>
      <w:r w:rsidRPr="007A0314">
        <w:rPr>
          <w:rFonts w:cs="Arial"/>
          <w:sz w:val="22"/>
          <w:szCs w:val="22"/>
        </w:rPr>
        <w:t xml:space="preserve">The programme has been allocated </w:t>
      </w:r>
      <w:r w:rsidRPr="007A0314">
        <w:rPr>
          <w:rFonts w:cs="Arial"/>
          <w:b/>
          <w:sz w:val="22"/>
          <w:szCs w:val="22"/>
        </w:rPr>
        <w:t>R292,38 million</w:t>
      </w:r>
      <w:r w:rsidRPr="007A0314">
        <w:rPr>
          <w:rFonts w:cs="Arial"/>
          <w:sz w:val="22"/>
          <w:szCs w:val="22"/>
        </w:rPr>
        <w:t xml:space="preserve"> in the current FY which denotes a decrease of </w:t>
      </w:r>
      <w:r w:rsidRPr="007A0314">
        <w:rPr>
          <w:rFonts w:cs="Arial"/>
          <w:b/>
          <w:bCs/>
          <w:sz w:val="22"/>
          <w:szCs w:val="22"/>
        </w:rPr>
        <w:t>3,9</w:t>
      </w:r>
      <w:r w:rsidRPr="007A0314">
        <w:rPr>
          <w:rFonts w:cs="Arial"/>
          <w:b/>
          <w:sz w:val="22"/>
          <w:szCs w:val="22"/>
        </w:rPr>
        <w:t>%</w:t>
      </w:r>
      <w:r w:rsidRPr="007A0314">
        <w:rPr>
          <w:rFonts w:cs="Arial"/>
          <w:sz w:val="22"/>
          <w:szCs w:val="22"/>
        </w:rPr>
        <w:t xml:space="preserve"> compared to the 2021/22 FY Departmental budget.  The budget is projected to increase by </w:t>
      </w:r>
      <w:r w:rsidRPr="007A0314">
        <w:rPr>
          <w:rFonts w:cs="Arial"/>
          <w:b/>
          <w:bCs/>
          <w:sz w:val="22"/>
          <w:szCs w:val="22"/>
        </w:rPr>
        <w:t>4,5</w:t>
      </w:r>
      <w:r w:rsidRPr="007A0314">
        <w:rPr>
          <w:rFonts w:cs="Arial"/>
          <w:b/>
          <w:sz w:val="22"/>
          <w:szCs w:val="22"/>
        </w:rPr>
        <w:t>% (R13 million)</w:t>
      </w:r>
      <w:r w:rsidRPr="007A0314">
        <w:rPr>
          <w:rFonts w:cs="Arial"/>
          <w:sz w:val="22"/>
          <w:szCs w:val="22"/>
        </w:rPr>
        <w:t xml:space="preserve"> in the 2023/24 FY to </w:t>
      </w:r>
      <w:r w:rsidRPr="007A0314">
        <w:rPr>
          <w:rFonts w:cs="Arial"/>
          <w:b/>
          <w:bCs/>
          <w:sz w:val="22"/>
          <w:szCs w:val="22"/>
        </w:rPr>
        <w:t>R305,5 million</w:t>
      </w:r>
      <w:r w:rsidRPr="007A0314">
        <w:rPr>
          <w:rFonts w:cs="Arial"/>
          <w:sz w:val="22"/>
          <w:szCs w:val="22"/>
        </w:rPr>
        <w:t>.</w:t>
      </w:r>
      <w:bookmarkEnd w:id="16"/>
      <w:r w:rsidRPr="007A0314">
        <w:rPr>
          <w:rFonts w:cs="Arial"/>
          <w:sz w:val="22"/>
          <w:szCs w:val="22"/>
        </w:rPr>
        <w:t xml:space="preserve">   </w:t>
      </w:r>
    </w:p>
    <w:p w14:paraId="14B306CB" w14:textId="77777777" w:rsidR="007A0314" w:rsidRDefault="007A0314" w:rsidP="009E0683">
      <w:pPr>
        <w:tabs>
          <w:tab w:val="left" w:pos="1500"/>
        </w:tabs>
        <w:spacing w:line="276" w:lineRule="auto"/>
        <w:jc w:val="both"/>
        <w:rPr>
          <w:rFonts w:cs="Arial"/>
          <w:sz w:val="22"/>
          <w:szCs w:val="22"/>
        </w:rPr>
      </w:pPr>
    </w:p>
    <w:p w14:paraId="7D25DA37" w14:textId="49CDB4A8" w:rsidR="00C8527C" w:rsidRDefault="00F5724F" w:rsidP="009E0683">
      <w:pPr>
        <w:tabs>
          <w:tab w:val="left" w:pos="1500"/>
        </w:tabs>
        <w:spacing w:line="276" w:lineRule="auto"/>
        <w:jc w:val="both"/>
        <w:rPr>
          <w:rFonts w:cs="Arial"/>
          <w:sz w:val="22"/>
          <w:szCs w:val="22"/>
        </w:rPr>
      </w:pPr>
      <w:r w:rsidRPr="00C8527C">
        <w:rPr>
          <w:rFonts w:cs="Arial"/>
          <w:b/>
          <w:bCs/>
          <w:sz w:val="22"/>
          <w:szCs w:val="22"/>
        </w:rPr>
        <w:t>The Environmental Policy, Planning and Coordination allocation</w:t>
      </w:r>
      <w:r w:rsidRPr="00F5724F">
        <w:rPr>
          <w:rFonts w:cs="Arial"/>
          <w:sz w:val="22"/>
          <w:szCs w:val="22"/>
        </w:rPr>
        <w:t xml:space="preserve"> </w:t>
      </w:r>
      <w:r w:rsidR="001B5D80">
        <w:rPr>
          <w:rFonts w:cs="Arial"/>
          <w:sz w:val="22"/>
          <w:szCs w:val="22"/>
        </w:rPr>
        <w:t xml:space="preserve">increased from </w:t>
      </w:r>
      <w:r w:rsidRPr="00F5724F">
        <w:rPr>
          <w:rFonts w:cs="Arial"/>
          <w:sz w:val="22"/>
          <w:szCs w:val="22"/>
        </w:rPr>
        <w:t xml:space="preserve">R27 million in 2021/22 </w:t>
      </w:r>
      <w:r w:rsidR="00880FB7">
        <w:rPr>
          <w:rFonts w:cs="Arial"/>
          <w:sz w:val="22"/>
          <w:szCs w:val="22"/>
        </w:rPr>
        <w:t>to R3</w:t>
      </w:r>
      <w:r w:rsidR="002679F9">
        <w:rPr>
          <w:rFonts w:cs="Arial"/>
          <w:sz w:val="22"/>
          <w:szCs w:val="22"/>
        </w:rPr>
        <w:t>1</w:t>
      </w:r>
      <w:r w:rsidR="00880FB7">
        <w:rPr>
          <w:rFonts w:cs="Arial"/>
          <w:sz w:val="22"/>
          <w:szCs w:val="22"/>
        </w:rPr>
        <w:t xml:space="preserve"> million </w:t>
      </w:r>
      <w:r w:rsidRPr="00F5724F">
        <w:rPr>
          <w:rFonts w:cs="Arial"/>
          <w:sz w:val="22"/>
          <w:szCs w:val="22"/>
        </w:rPr>
        <w:t>over the MTEF. The allocation is intended to manage climate change impacts and to have a positive influence on the quality of life and ecosystem services, a low carbon economy and disaster risk management.</w:t>
      </w:r>
    </w:p>
    <w:p w14:paraId="75C034C3" w14:textId="77777777" w:rsidR="00C8527C" w:rsidRDefault="00C8527C" w:rsidP="009E0683">
      <w:pPr>
        <w:tabs>
          <w:tab w:val="left" w:pos="1500"/>
        </w:tabs>
        <w:spacing w:line="276" w:lineRule="auto"/>
        <w:jc w:val="both"/>
        <w:rPr>
          <w:rFonts w:cs="Arial"/>
          <w:sz w:val="22"/>
          <w:szCs w:val="22"/>
        </w:rPr>
      </w:pPr>
    </w:p>
    <w:p w14:paraId="1791747B" w14:textId="4B690CA1" w:rsidR="00197034" w:rsidRDefault="00F5724F" w:rsidP="009E0683">
      <w:pPr>
        <w:tabs>
          <w:tab w:val="left" w:pos="1500"/>
        </w:tabs>
        <w:spacing w:line="276" w:lineRule="auto"/>
        <w:jc w:val="both"/>
        <w:rPr>
          <w:rFonts w:cs="Arial"/>
          <w:sz w:val="22"/>
          <w:szCs w:val="22"/>
        </w:rPr>
      </w:pPr>
      <w:r w:rsidRPr="00197034">
        <w:rPr>
          <w:rFonts w:cs="Arial"/>
          <w:b/>
          <w:bCs/>
          <w:sz w:val="22"/>
          <w:szCs w:val="22"/>
        </w:rPr>
        <w:t>The Compliance and Enforcement</w:t>
      </w:r>
      <w:r w:rsidRPr="00F5724F">
        <w:rPr>
          <w:rFonts w:cs="Arial"/>
          <w:sz w:val="22"/>
          <w:szCs w:val="22"/>
        </w:rPr>
        <w:t xml:space="preserve"> allocation will </w:t>
      </w:r>
      <w:r w:rsidR="007D6962">
        <w:rPr>
          <w:rFonts w:cs="Arial"/>
          <w:sz w:val="22"/>
          <w:szCs w:val="22"/>
        </w:rPr>
        <w:t>de</w:t>
      </w:r>
      <w:r w:rsidRPr="00F5724F">
        <w:rPr>
          <w:rFonts w:cs="Arial"/>
          <w:sz w:val="22"/>
          <w:szCs w:val="22"/>
        </w:rPr>
        <w:t>crease from R</w:t>
      </w:r>
      <w:r w:rsidR="002B576E">
        <w:rPr>
          <w:rFonts w:cs="Arial"/>
          <w:sz w:val="22"/>
          <w:szCs w:val="22"/>
        </w:rPr>
        <w:t>47</w:t>
      </w:r>
      <w:r w:rsidRPr="00F5724F">
        <w:rPr>
          <w:rFonts w:cs="Arial"/>
          <w:sz w:val="22"/>
          <w:szCs w:val="22"/>
        </w:rPr>
        <w:t xml:space="preserve"> million in 2021/22 to R45.9 million in the 202</w:t>
      </w:r>
      <w:r w:rsidR="002B576E">
        <w:rPr>
          <w:rFonts w:cs="Arial"/>
          <w:sz w:val="22"/>
          <w:szCs w:val="22"/>
        </w:rPr>
        <w:t>2</w:t>
      </w:r>
      <w:r w:rsidRPr="00F5724F">
        <w:rPr>
          <w:rFonts w:cs="Arial"/>
          <w:sz w:val="22"/>
          <w:szCs w:val="22"/>
        </w:rPr>
        <w:t>/2</w:t>
      </w:r>
      <w:r w:rsidR="002B576E">
        <w:rPr>
          <w:rFonts w:cs="Arial"/>
          <w:sz w:val="22"/>
          <w:szCs w:val="22"/>
        </w:rPr>
        <w:t>3</w:t>
      </w:r>
      <w:r w:rsidRPr="00F5724F">
        <w:rPr>
          <w:rFonts w:cs="Arial"/>
          <w:sz w:val="22"/>
          <w:szCs w:val="22"/>
        </w:rPr>
        <w:t xml:space="preserve"> financial year. The allocated budget will be dedicated to the monitoring of E</w:t>
      </w:r>
      <w:r w:rsidR="00852D37">
        <w:rPr>
          <w:rFonts w:cs="Arial"/>
          <w:sz w:val="22"/>
          <w:szCs w:val="22"/>
        </w:rPr>
        <w:t xml:space="preserve">nvironmental </w:t>
      </w:r>
      <w:r w:rsidR="00852D37" w:rsidRPr="00F5724F">
        <w:rPr>
          <w:rFonts w:cs="Arial"/>
          <w:sz w:val="22"/>
          <w:szCs w:val="22"/>
        </w:rPr>
        <w:t>As</w:t>
      </w:r>
      <w:r w:rsidR="00852D37">
        <w:rPr>
          <w:rFonts w:cs="Arial"/>
          <w:sz w:val="22"/>
          <w:szCs w:val="22"/>
        </w:rPr>
        <w:t>sessment</w:t>
      </w:r>
      <w:r w:rsidRPr="00F5724F">
        <w:rPr>
          <w:rFonts w:cs="Arial"/>
          <w:sz w:val="22"/>
          <w:szCs w:val="22"/>
        </w:rPr>
        <w:t xml:space="preserve"> y conducting proactive and reactive inspections and conducting criminal investigations.</w:t>
      </w:r>
      <w:r w:rsidR="00316D59" w:rsidRPr="00316D59">
        <w:rPr>
          <w:rFonts w:cs="Arial"/>
          <w:sz w:val="22"/>
          <w:szCs w:val="22"/>
          <w:lang w:val="en-US"/>
        </w:rPr>
        <w:t xml:space="preserve"> The Department is encouraged to continue improving compliance and enhance protection of the environment in the Province.</w:t>
      </w:r>
    </w:p>
    <w:p w14:paraId="069969CD" w14:textId="77777777" w:rsidR="00197034" w:rsidRDefault="00197034" w:rsidP="009E0683">
      <w:pPr>
        <w:tabs>
          <w:tab w:val="left" w:pos="1500"/>
        </w:tabs>
        <w:spacing w:line="276" w:lineRule="auto"/>
        <w:jc w:val="both"/>
        <w:rPr>
          <w:rFonts w:cs="Arial"/>
          <w:sz w:val="22"/>
          <w:szCs w:val="22"/>
        </w:rPr>
      </w:pPr>
    </w:p>
    <w:p w14:paraId="54043A8D" w14:textId="097A293C" w:rsidR="00197034" w:rsidRDefault="00F5724F" w:rsidP="009E0683">
      <w:pPr>
        <w:tabs>
          <w:tab w:val="left" w:pos="1500"/>
        </w:tabs>
        <w:spacing w:line="276" w:lineRule="auto"/>
        <w:jc w:val="both"/>
        <w:rPr>
          <w:rFonts w:cs="Arial"/>
          <w:sz w:val="22"/>
          <w:szCs w:val="22"/>
        </w:rPr>
      </w:pPr>
      <w:r w:rsidRPr="00197034">
        <w:rPr>
          <w:rFonts w:cs="Arial"/>
          <w:b/>
          <w:bCs/>
          <w:sz w:val="22"/>
          <w:szCs w:val="22"/>
        </w:rPr>
        <w:t>The Environmental Quality Management</w:t>
      </w:r>
      <w:r w:rsidRPr="00F5724F">
        <w:rPr>
          <w:rFonts w:cs="Arial"/>
          <w:sz w:val="22"/>
          <w:szCs w:val="22"/>
        </w:rPr>
        <w:t xml:space="preserve"> budget escalates from R58 million in 2021/22 to R</w:t>
      </w:r>
      <w:r w:rsidR="00FC7E14">
        <w:rPr>
          <w:rFonts w:cs="Arial"/>
          <w:sz w:val="22"/>
          <w:szCs w:val="22"/>
        </w:rPr>
        <w:t>60</w:t>
      </w:r>
      <w:r w:rsidRPr="00F5724F">
        <w:rPr>
          <w:rFonts w:cs="Arial"/>
          <w:sz w:val="22"/>
          <w:szCs w:val="22"/>
        </w:rPr>
        <w:t xml:space="preserve"> million in the 202</w:t>
      </w:r>
      <w:r w:rsidR="00FC7E14">
        <w:rPr>
          <w:rFonts w:cs="Arial"/>
          <w:sz w:val="22"/>
          <w:szCs w:val="22"/>
        </w:rPr>
        <w:t>2</w:t>
      </w:r>
      <w:r w:rsidRPr="00F5724F">
        <w:rPr>
          <w:rFonts w:cs="Arial"/>
          <w:sz w:val="22"/>
          <w:szCs w:val="22"/>
        </w:rPr>
        <w:t>/2</w:t>
      </w:r>
      <w:r w:rsidR="00FC7E14">
        <w:rPr>
          <w:rFonts w:cs="Arial"/>
          <w:sz w:val="22"/>
          <w:szCs w:val="22"/>
        </w:rPr>
        <w:t>3</w:t>
      </w:r>
      <w:r w:rsidRPr="00F5724F">
        <w:rPr>
          <w:rFonts w:cs="Arial"/>
          <w:sz w:val="22"/>
          <w:szCs w:val="22"/>
        </w:rPr>
        <w:t xml:space="preserve"> financial year. Provision is made for issuing of atmospheric emission licenses that lead to minimum emission standards of compliance as well as the development of ambient stations for effective ambient air quality monitoring.</w:t>
      </w:r>
    </w:p>
    <w:p w14:paraId="606D9238" w14:textId="77777777" w:rsidR="00197034" w:rsidRDefault="00197034" w:rsidP="009E0683">
      <w:pPr>
        <w:tabs>
          <w:tab w:val="left" w:pos="1500"/>
        </w:tabs>
        <w:spacing w:line="276" w:lineRule="auto"/>
        <w:jc w:val="both"/>
        <w:rPr>
          <w:rFonts w:cs="Arial"/>
          <w:sz w:val="22"/>
          <w:szCs w:val="22"/>
        </w:rPr>
      </w:pPr>
    </w:p>
    <w:p w14:paraId="3A9C451B" w14:textId="6CBE747D" w:rsidR="00197034" w:rsidRDefault="00F5724F" w:rsidP="009E0683">
      <w:pPr>
        <w:tabs>
          <w:tab w:val="left" w:pos="1500"/>
        </w:tabs>
        <w:spacing w:line="276" w:lineRule="auto"/>
        <w:jc w:val="both"/>
        <w:rPr>
          <w:rFonts w:cs="Arial"/>
          <w:sz w:val="22"/>
          <w:szCs w:val="22"/>
        </w:rPr>
      </w:pPr>
      <w:r w:rsidRPr="00197034">
        <w:rPr>
          <w:rFonts w:cs="Arial"/>
          <w:b/>
          <w:bCs/>
          <w:sz w:val="22"/>
          <w:szCs w:val="22"/>
        </w:rPr>
        <w:t>The Biodiversity Management</w:t>
      </w:r>
      <w:r w:rsidRPr="00F5724F">
        <w:rPr>
          <w:rFonts w:cs="Arial"/>
          <w:sz w:val="22"/>
          <w:szCs w:val="22"/>
        </w:rPr>
        <w:t xml:space="preserve"> allocation is R1</w:t>
      </w:r>
      <w:r w:rsidR="0097208E">
        <w:rPr>
          <w:rFonts w:cs="Arial"/>
          <w:sz w:val="22"/>
          <w:szCs w:val="22"/>
        </w:rPr>
        <w:t>0</w:t>
      </w:r>
      <w:r w:rsidRPr="00F5724F">
        <w:rPr>
          <w:rFonts w:cs="Arial"/>
          <w:sz w:val="22"/>
          <w:szCs w:val="22"/>
        </w:rPr>
        <w:t>0 million in 202</w:t>
      </w:r>
      <w:r w:rsidR="00EF515A">
        <w:rPr>
          <w:rFonts w:cs="Arial"/>
          <w:sz w:val="22"/>
          <w:szCs w:val="22"/>
        </w:rPr>
        <w:t>2</w:t>
      </w:r>
      <w:r w:rsidRPr="00F5724F">
        <w:rPr>
          <w:rFonts w:cs="Arial"/>
          <w:sz w:val="22"/>
          <w:szCs w:val="22"/>
        </w:rPr>
        <w:t>/2</w:t>
      </w:r>
      <w:r w:rsidR="00EF515A">
        <w:rPr>
          <w:rFonts w:cs="Arial"/>
          <w:sz w:val="22"/>
          <w:szCs w:val="22"/>
        </w:rPr>
        <w:t>3</w:t>
      </w:r>
      <w:r w:rsidRPr="00F5724F">
        <w:rPr>
          <w:rFonts w:cs="Arial"/>
          <w:sz w:val="22"/>
          <w:szCs w:val="22"/>
        </w:rPr>
        <w:t xml:space="preserve"> and R1</w:t>
      </w:r>
      <w:r w:rsidR="00DF0534">
        <w:rPr>
          <w:rFonts w:cs="Arial"/>
          <w:sz w:val="22"/>
          <w:szCs w:val="22"/>
        </w:rPr>
        <w:t>15</w:t>
      </w:r>
      <w:r w:rsidRPr="00F5724F">
        <w:rPr>
          <w:rFonts w:cs="Arial"/>
          <w:sz w:val="22"/>
          <w:szCs w:val="22"/>
        </w:rPr>
        <w:t xml:space="preserve"> million in the 2023/24 financial year. The budget is availed to continue to encourage investment in management and protection of existing protected areas. Moreover, the Department will strive to implement the Gauteng Protected Areas Expansion Strategy as a means of protected area expansion. </w:t>
      </w:r>
      <w:r w:rsidR="009C7955" w:rsidRPr="009C7955">
        <w:rPr>
          <w:rFonts w:cs="Arial"/>
          <w:b/>
          <w:sz w:val="22"/>
          <w:szCs w:val="22"/>
          <w:lang w:val="en-US"/>
        </w:rPr>
        <w:t>The Committee is still concerned with the challenges experienced by the Suikerbosrand Nature Reserve and urges the Department to collaborate with the Gauteng Department of Infrastructure Development (DID) on the turnaround strategy to improve the nature reserve.</w:t>
      </w:r>
    </w:p>
    <w:p w14:paraId="50A7F2F3" w14:textId="77777777" w:rsidR="00197034" w:rsidRDefault="00197034" w:rsidP="009E0683">
      <w:pPr>
        <w:tabs>
          <w:tab w:val="left" w:pos="1500"/>
        </w:tabs>
        <w:spacing w:line="276" w:lineRule="auto"/>
        <w:jc w:val="both"/>
        <w:rPr>
          <w:rFonts w:cs="Arial"/>
          <w:sz w:val="22"/>
          <w:szCs w:val="22"/>
        </w:rPr>
      </w:pPr>
    </w:p>
    <w:p w14:paraId="2499CA4D" w14:textId="26C2E89E" w:rsidR="0014754E" w:rsidRDefault="00F5724F" w:rsidP="009E0683">
      <w:pPr>
        <w:tabs>
          <w:tab w:val="left" w:pos="1500"/>
        </w:tabs>
        <w:spacing w:line="276" w:lineRule="auto"/>
        <w:jc w:val="both"/>
        <w:rPr>
          <w:rFonts w:cs="Arial"/>
          <w:sz w:val="22"/>
          <w:szCs w:val="22"/>
        </w:rPr>
      </w:pPr>
      <w:r w:rsidRPr="00197034">
        <w:rPr>
          <w:rFonts w:cs="Arial"/>
          <w:b/>
          <w:bCs/>
          <w:sz w:val="22"/>
          <w:szCs w:val="22"/>
        </w:rPr>
        <w:t>Environmental Empowerment Services</w:t>
      </w:r>
      <w:r w:rsidRPr="00F5724F">
        <w:rPr>
          <w:rFonts w:cs="Arial"/>
          <w:sz w:val="22"/>
          <w:szCs w:val="22"/>
        </w:rPr>
        <w:t xml:space="preserve"> have been allocated R5</w:t>
      </w:r>
      <w:r w:rsidR="00EF515A">
        <w:rPr>
          <w:rFonts w:cs="Arial"/>
          <w:sz w:val="22"/>
          <w:szCs w:val="22"/>
        </w:rPr>
        <w:t>4</w:t>
      </w:r>
      <w:r w:rsidRPr="00F5724F">
        <w:rPr>
          <w:rFonts w:cs="Arial"/>
          <w:sz w:val="22"/>
          <w:szCs w:val="22"/>
        </w:rPr>
        <w:t xml:space="preserve"> million in 202</w:t>
      </w:r>
      <w:r w:rsidR="00EF515A">
        <w:rPr>
          <w:rFonts w:cs="Arial"/>
          <w:sz w:val="22"/>
          <w:szCs w:val="22"/>
        </w:rPr>
        <w:t>2</w:t>
      </w:r>
      <w:r w:rsidRPr="00F5724F">
        <w:rPr>
          <w:rFonts w:cs="Arial"/>
          <w:sz w:val="22"/>
          <w:szCs w:val="22"/>
        </w:rPr>
        <w:t>/2</w:t>
      </w:r>
      <w:r w:rsidR="00EF515A">
        <w:rPr>
          <w:rFonts w:cs="Arial"/>
          <w:sz w:val="22"/>
          <w:szCs w:val="22"/>
        </w:rPr>
        <w:t>3</w:t>
      </w:r>
      <w:r w:rsidRPr="00F5724F">
        <w:rPr>
          <w:rFonts w:cs="Arial"/>
          <w:sz w:val="22"/>
          <w:szCs w:val="22"/>
        </w:rPr>
        <w:t xml:space="preserve">. It will </w:t>
      </w:r>
      <w:r w:rsidR="003C4731">
        <w:rPr>
          <w:rFonts w:cs="Arial"/>
          <w:sz w:val="22"/>
          <w:szCs w:val="22"/>
        </w:rPr>
        <w:t xml:space="preserve">decrease to </w:t>
      </w:r>
      <w:r w:rsidRPr="00F5724F">
        <w:rPr>
          <w:rFonts w:cs="Arial"/>
          <w:sz w:val="22"/>
          <w:szCs w:val="22"/>
        </w:rPr>
        <w:t>R5</w:t>
      </w:r>
      <w:r w:rsidR="008067A4">
        <w:rPr>
          <w:rFonts w:cs="Arial"/>
          <w:sz w:val="22"/>
          <w:szCs w:val="22"/>
        </w:rPr>
        <w:t>2</w:t>
      </w:r>
      <w:r w:rsidRPr="00F5724F">
        <w:rPr>
          <w:rFonts w:cs="Arial"/>
          <w:sz w:val="22"/>
          <w:szCs w:val="22"/>
        </w:rPr>
        <w:t xml:space="preserve"> million in 2023/24. Funds are allocated for projects such as clearing of alien vegetation and of invasive and bush encroaching plant species, integrated fire management, rehabilitation of wetlands, planting of trees and development of community nurseries, removal of solid waste from rivers and, lastly, environmental awareness programmes which includes training in the contribution to poverty reduction and unemployment. </w:t>
      </w:r>
    </w:p>
    <w:p w14:paraId="079711FF" w14:textId="121DD4AC" w:rsidR="004B4BFE" w:rsidRDefault="004B4BFE" w:rsidP="00226EB1">
      <w:pPr>
        <w:spacing w:line="276" w:lineRule="auto"/>
        <w:jc w:val="both"/>
        <w:rPr>
          <w:rFonts w:cs="Arial"/>
          <w:sz w:val="22"/>
          <w:szCs w:val="22"/>
        </w:rPr>
      </w:pPr>
    </w:p>
    <w:p w14:paraId="6B765ECD" w14:textId="77777777" w:rsidR="00625B74" w:rsidRPr="006E5D73" w:rsidRDefault="00625B74" w:rsidP="00303322">
      <w:pPr>
        <w:pStyle w:val="ListParagraph"/>
        <w:numPr>
          <w:ilvl w:val="0"/>
          <w:numId w:val="6"/>
        </w:numPr>
        <w:shd w:val="clear" w:color="auto" w:fill="A6A6A6" w:themeFill="background1" w:themeFillShade="A6"/>
        <w:spacing w:line="276" w:lineRule="auto"/>
        <w:ind w:left="284" w:hanging="284"/>
        <w:jc w:val="both"/>
        <w:rPr>
          <w:rFonts w:cs="Arial"/>
          <w:b/>
          <w:sz w:val="24"/>
          <w:szCs w:val="24"/>
        </w:rPr>
      </w:pPr>
      <w:r w:rsidRPr="006E5D73">
        <w:rPr>
          <w:rFonts w:cs="Arial"/>
          <w:b/>
          <w:sz w:val="24"/>
          <w:szCs w:val="24"/>
        </w:rPr>
        <w:lastRenderedPageBreak/>
        <w:t>COMMITTEE CONCERNS</w:t>
      </w:r>
    </w:p>
    <w:p w14:paraId="371FD5D6" w14:textId="77777777" w:rsidR="00625B74" w:rsidRPr="004424DD" w:rsidRDefault="00625B74" w:rsidP="00915DE4">
      <w:pPr>
        <w:ind w:left="360"/>
        <w:jc w:val="both"/>
        <w:rPr>
          <w:rFonts w:cs="Arial"/>
          <w:b/>
          <w:sz w:val="24"/>
          <w:szCs w:val="24"/>
        </w:rPr>
      </w:pPr>
      <w:r w:rsidRPr="004424DD">
        <w:rPr>
          <w:rFonts w:cs="Arial"/>
          <w:b/>
          <w:sz w:val="24"/>
          <w:szCs w:val="24"/>
        </w:rPr>
        <w:t xml:space="preserve"> </w:t>
      </w:r>
    </w:p>
    <w:p w14:paraId="229FDFD4" w14:textId="0FE049BF" w:rsidR="005E2145" w:rsidRDefault="00625B74" w:rsidP="002F79C7">
      <w:pPr>
        <w:spacing w:line="276" w:lineRule="auto"/>
        <w:jc w:val="both"/>
        <w:rPr>
          <w:rFonts w:eastAsiaTheme="minorEastAsia" w:cs="Arial"/>
          <w:b/>
          <w:sz w:val="24"/>
          <w:szCs w:val="24"/>
          <w:lang w:val="en-US"/>
        </w:rPr>
      </w:pPr>
      <w:r w:rsidRPr="00EE21AE">
        <w:rPr>
          <w:rFonts w:cs="Arial"/>
          <w:b/>
          <w:sz w:val="22"/>
          <w:szCs w:val="22"/>
        </w:rPr>
        <w:t>The Committee is concerned about:</w:t>
      </w:r>
      <w:r w:rsidR="00863AB1" w:rsidRPr="00863AB1">
        <w:rPr>
          <w:rFonts w:eastAsiaTheme="minorEastAsia" w:cs="Arial"/>
          <w:b/>
          <w:sz w:val="24"/>
          <w:szCs w:val="24"/>
          <w:lang w:val="en-US"/>
        </w:rPr>
        <w:t xml:space="preserve"> </w:t>
      </w:r>
    </w:p>
    <w:p w14:paraId="2A79DE75" w14:textId="77777777" w:rsidR="002F79C7" w:rsidRPr="002F79C7" w:rsidRDefault="002F79C7" w:rsidP="002F79C7">
      <w:pPr>
        <w:spacing w:line="276" w:lineRule="auto"/>
        <w:jc w:val="both"/>
        <w:rPr>
          <w:rFonts w:eastAsiaTheme="minorEastAsia" w:cs="Arial"/>
          <w:b/>
          <w:sz w:val="24"/>
          <w:szCs w:val="24"/>
          <w:lang w:val="en-US"/>
        </w:rPr>
      </w:pPr>
    </w:p>
    <w:p w14:paraId="7B07814A" w14:textId="5B01476C" w:rsidR="00F01EBA" w:rsidRPr="001E796F" w:rsidRDefault="002F7DEE" w:rsidP="00B00F8A">
      <w:pPr>
        <w:pStyle w:val="ListParagraph"/>
        <w:numPr>
          <w:ilvl w:val="1"/>
          <w:numId w:val="27"/>
        </w:numPr>
        <w:spacing w:line="360" w:lineRule="auto"/>
        <w:ind w:left="567" w:hanging="567"/>
        <w:jc w:val="both"/>
        <w:rPr>
          <w:rFonts w:cs="Arial"/>
          <w:color w:val="000000" w:themeColor="text1"/>
          <w:sz w:val="22"/>
          <w:szCs w:val="22"/>
          <w:lang w:val="en-US"/>
        </w:rPr>
      </w:pPr>
      <w:r w:rsidRPr="001E796F">
        <w:rPr>
          <w:rFonts w:cs="Arial"/>
          <w:color w:val="000000" w:themeColor="text1"/>
          <w:sz w:val="22"/>
          <w:szCs w:val="22"/>
        </w:rPr>
        <w:t>Continuous i</w:t>
      </w:r>
      <w:r w:rsidR="00BE3D9C" w:rsidRPr="001E796F">
        <w:rPr>
          <w:rFonts w:cs="Arial"/>
          <w:color w:val="000000" w:themeColor="text1"/>
          <w:sz w:val="22"/>
          <w:szCs w:val="22"/>
        </w:rPr>
        <w:t xml:space="preserve">nability </w:t>
      </w:r>
      <w:r w:rsidR="00497F8D" w:rsidRPr="001E796F">
        <w:rPr>
          <w:rFonts w:cs="Arial"/>
          <w:color w:val="000000" w:themeColor="text1"/>
          <w:sz w:val="22"/>
          <w:szCs w:val="22"/>
          <w:lang w:val="en-US"/>
        </w:rPr>
        <w:t xml:space="preserve">to eradicate the backlog </w:t>
      </w:r>
      <w:r w:rsidR="00071A18" w:rsidRPr="001E796F">
        <w:rPr>
          <w:rFonts w:cs="Arial"/>
          <w:color w:val="000000" w:themeColor="text1"/>
          <w:sz w:val="22"/>
          <w:szCs w:val="22"/>
          <w:lang w:val="en-US"/>
        </w:rPr>
        <w:t>faced with the establishment of infrastructure projects brought about by the IDMS policy</w:t>
      </w:r>
      <w:r w:rsidR="00A13B06" w:rsidRPr="001E796F">
        <w:rPr>
          <w:rFonts w:cs="Arial"/>
          <w:color w:val="000000" w:themeColor="text1"/>
          <w:sz w:val="22"/>
          <w:szCs w:val="22"/>
          <w:lang w:val="en-US"/>
        </w:rPr>
        <w:t>.</w:t>
      </w:r>
    </w:p>
    <w:p w14:paraId="704142C4" w14:textId="527BA0C9" w:rsidR="00F01EBA" w:rsidRPr="001E796F" w:rsidRDefault="006E2D7F" w:rsidP="00B00F8A">
      <w:pPr>
        <w:pStyle w:val="ListParagraph"/>
        <w:numPr>
          <w:ilvl w:val="1"/>
          <w:numId w:val="27"/>
        </w:numPr>
        <w:tabs>
          <w:tab w:val="left" w:pos="567"/>
        </w:tabs>
        <w:spacing w:line="360" w:lineRule="auto"/>
        <w:ind w:left="567" w:hanging="567"/>
        <w:jc w:val="both"/>
        <w:rPr>
          <w:rFonts w:cs="Arial"/>
          <w:color w:val="000000" w:themeColor="text1"/>
          <w:sz w:val="22"/>
          <w:szCs w:val="22"/>
          <w:lang w:val="en-US"/>
        </w:rPr>
      </w:pPr>
      <w:r w:rsidRPr="001E796F">
        <w:rPr>
          <w:sz w:val="22"/>
          <w:szCs w:val="22"/>
        </w:rPr>
        <w:t xml:space="preserve">Inadequate support given to </w:t>
      </w:r>
      <w:r w:rsidR="00F01EBA" w:rsidRPr="001E796F">
        <w:rPr>
          <w:sz w:val="22"/>
          <w:szCs w:val="22"/>
        </w:rPr>
        <w:t>small holder farmers and A</w:t>
      </w:r>
      <w:r w:rsidRPr="001E796F">
        <w:rPr>
          <w:sz w:val="22"/>
          <w:szCs w:val="22"/>
        </w:rPr>
        <w:t xml:space="preserve">gricultural </w:t>
      </w:r>
      <w:r w:rsidR="00A83A2B" w:rsidRPr="001E796F">
        <w:rPr>
          <w:sz w:val="22"/>
          <w:szCs w:val="22"/>
        </w:rPr>
        <w:t>Cooperatives.</w:t>
      </w:r>
      <w:r w:rsidRPr="001E796F">
        <w:rPr>
          <w:sz w:val="22"/>
          <w:szCs w:val="22"/>
        </w:rPr>
        <w:t xml:space="preserve"> </w:t>
      </w:r>
    </w:p>
    <w:p w14:paraId="557BC2FB" w14:textId="0734E93B" w:rsidR="00F01EBA" w:rsidRPr="001E796F" w:rsidRDefault="00F01EBA" w:rsidP="00B00F8A">
      <w:pPr>
        <w:pStyle w:val="ListParagraph"/>
        <w:numPr>
          <w:ilvl w:val="1"/>
          <w:numId w:val="27"/>
        </w:numPr>
        <w:spacing w:line="360" w:lineRule="auto"/>
        <w:ind w:left="567" w:hanging="567"/>
        <w:jc w:val="both"/>
        <w:rPr>
          <w:rFonts w:cs="Arial"/>
          <w:color w:val="000000" w:themeColor="text1"/>
          <w:sz w:val="22"/>
          <w:szCs w:val="22"/>
          <w:lang w:val="en-US"/>
        </w:rPr>
      </w:pPr>
      <w:r w:rsidRPr="001E796F">
        <w:rPr>
          <w:rFonts w:cs="Arial"/>
          <w:sz w:val="22"/>
          <w:szCs w:val="22"/>
        </w:rPr>
        <w:t xml:space="preserve">Lack of reporting </w:t>
      </w:r>
      <w:r w:rsidR="00C33EA2" w:rsidRPr="001E796F">
        <w:rPr>
          <w:rFonts w:cs="Arial"/>
          <w:sz w:val="22"/>
          <w:szCs w:val="22"/>
        </w:rPr>
        <w:t xml:space="preserve">and </w:t>
      </w:r>
      <w:r w:rsidR="00F3102F" w:rsidRPr="001E796F">
        <w:rPr>
          <w:rFonts w:cs="Arial"/>
          <w:sz w:val="22"/>
          <w:szCs w:val="22"/>
        </w:rPr>
        <w:t xml:space="preserve">plans </w:t>
      </w:r>
      <w:r w:rsidRPr="001E796F">
        <w:rPr>
          <w:rFonts w:cs="Arial"/>
          <w:sz w:val="22"/>
          <w:szCs w:val="22"/>
        </w:rPr>
        <w:t>relating to Environmental Affairs in the Province</w:t>
      </w:r>
      <w:r w:rsidR="00B901C1">
        <w:rPr>
          <w:rFonts w:cs="Arial"/>
          <w:sz w:val="22"/>
          <w:szCs w:val="22"/>
        </w:rPr>
        <w:t>, particularly on climate change</w:t>
      </w:r>
      <w:r w:rsidRPr="001E796F">
        <w:rPr>
          <w:rFonts w:cs="Arial"/>
          <w:sz w:val="22"/>
          <w:szCs w:val="22"/>
        </w:rPr>
        <w:t>.</w:t>
      </w:r>
    </w:p>
    <w:p w14:paraId="2133B76A" w14:textId="1C061ED3" w:rsidR="002D0EF6" w:rsidRPr="001E796F" w:rsidRDefault="001E0322" w:rsidP="00B00F8A">
      <w:pPr>
        <w:pStyle w:val="ListParagraph"/>
        <w:numPr>
          <w:ilvl w:val="1"/>
          <w:numId w:val="27"/>
        </w:numPr>
        <w:tabs>
          <w:tab w:val="left" w:pos="567"/>
        </w:tabs>
        <w:spacing w:line="360" w:lineRule="auto"/>
        <w:ind w:left="567" w:hanging="567"/>
        <w:jc w:val="both"/>
        <w:rPr>
          <w:rFonts w:cs="Arial"/>
          <w:color w:val="000000" w:themeColor="text1"/>
          <w:sz w:val="22"/>
          <w:szCs w:val="22"/>
          <w:lang w:val="en-US"/>
        </w:rPr>
      </w:pPr>
      <w:r w:rsidRPr="001E796F">
        <w:rPr>
          <w:rFonts w:cs="Arial"/>
          <w:color w:val="000000" w:themeColor="text1"/>
          <w:sz w:val="22"/>
          <w:szCs w:val="22"/>
        </w:rPr>
        <w:t>Lack of</w:t>
      </w:r>
      <w:r w:rsidR="000F70FA">
        <w:rPr>
          <w:rFonts w:cs="Arial"/>
          <w:color w:val="000000" w:themeColor="text1"/>
          <w:sz w:val="22"/>
          <w:szCs w:val="22"/>
        </w:rPr>
        <w:t xml:space="preserve"> initiatives to</w:t>
      </w:r>
      <w:r w:rsidRPr="001E796F">
        <w:rPr>
          <w:rFonts w:cs="Arial"/>
          <w:color w:val="000000" w:themeColor="text1"/>
          <w:sz w:val="22"/>
          <w:szCs w:val="22"/>
        </w:rPr>
        <w:t xml:space="preserve"> creat</w:t>
      </w:r>
      <w:r w:rsidR="000F70FA">
        <w:rPr>
          <w:rFonts w:cs="Arial"/>
          <w:color w:val="000000" w:themeColor="text1"/>
          <w:sz w:val="22"/>
          <w:szCs w:val="22"/>
        </w:rPr>
        <w:t>e</w:t>
      </w:r>
      <w:r w:rsidRPr="001E796F">
        <w:rPr>
          <w:rFonts w:cs="Arial"/>
          <w:color w:val="000000" w:themeColor="text1"/>
          <w:sz w:val="22"/>
          <w:szCs w:val="22"/>
        </w:rPr>
        <w:t xml:space="preserve"> </w:t>
      </w:r>
      <w:r w:rsidR="00582774" w:rsidRPr="001E796F">
        <w:rPr>
          <w:rFonts w:cs="Arial"/>
          <w:color w:val="000000" w:themeColor="text1"/>
          <w:sz w:val="22"/>
          <w:szCs w:val="22"/>
        </w:rPr>
        <w:t>empl</w:t>
      </w:r>
      <w:r w:rsidR="002D0EF6" w:rsidRPr="001E796F">
        <w:rPr>
          <w:sz w:val="22"/>
          <w:szCs w:val="22"/>
        </w:rPr>
        <w:t xml:space="preserve">oyment in the agricultural </w:t>
      </w:r>
      <w:r w:rsidR="00743C54" w:rsidRPr="001E796F">
        <w:rPr>
          <w:sz w:val="22"/>
          <w:szCs w:val="22"/>
        </w:rPr>
        <w:t>sector</w:t>
      </w:r>
    </w:p>
    <w:p w14:paraId="54D66C2E" w14:textId="1AB52CEC" w:rsidR="00B00F8A" w:rsidRPr="00B00F8A" w:rsidRDefault="001E796F" w:rsidP="00B00F8A">
      <w:pPr>
        <w:pStyle w:val="ListParagraph"/>
        <w:numPr>
          <w:ilvl w:val="1"/>
          <w:numId w:val="27"/>
        </w:numPr>
        <w:tabs>
          <w:tab w:val="left" w:pos="567"/>
        </w:tabs>
        <w:spacing w:line="360" w:lineRule="auto"/>
        <w:ind w:left="567" w:hanging="567"/>
        <w:jc w:val="both"/>
        <w:rPr>
          <w:rFonts w:cs="Arial"/>
          <w:color w:val="000000" w:themeColor="text1"/>
          <w:sz w:val="22"/>
          <w:szCs w:val="22"/>
          <w:lang w:val="en-US"/>
        </w:rPr>
      </w:pPr>
      <w:r w:rsidRPr="001E796F">
        <w:rPr>
          <w:rFonts w:cs="Arial"/>
          <w:color w:val="000000" w:themeColor="text1"/>
          <w:sz w:val="22"/>
          <w:szCs w:val="22"/>
        </w:rPr>
        <w:t>Lack of plans to address the i</w:t>
      </w:r>
      <w:r w:rsidR="0072347D" w:rsidRPr="001E796F">
        <w:rPr>
          <w:rFonts w:cs="Arial"/>
          <w:color w:val="000000" w:themeColor="text1"/>
          <w:sz w:val="22"/>
          <w:szCs w:val="22"/>
        </w:rPr>
        <w:t xml:space="preserve">mpact of </w:t>
      </w:r>
      <w:r w:rsidR="00ED6BCD" w:rsidRPr="001E796F">
        <w:rPr>
          <w:rFonts w:cs="Arial"/>
          <w:color w:val="000000" w:themeColor="text1"/>
          <w:sz w:val="22"/>
          <w:szCs w:val="22"/>
        </w:rPr>
        <w:t>climate change on food security</w:t>
      </w:r>
      <w:r w:rsidRPr="001E796F">
        <w:rPr>
          <w:rFonts w:cs="Arial"/>
          <w:color w:val="000000" w:themeColor="text1"/>
          <w:sz w:val="22"/>
          <w:szCs w:val="22"/>
        </w:rPr>
        <w:t xml:space="preserve"> in the Province</w:t>
      </w:r>
      <w:r w:rsidR="0046564C">
        <w:rPr>
          <w:rFonts w:cs="Arial"/>
          <w:color w:val="000000" w:themeColor="text1"/>
          <w:sz w:val="22"/>
          <w:szCs w:val="22"/>
        </w:rPr>
        <w:t>.</w:t>
      </w:r>
    </w:p>
    <w:p w14:paraId="28D4A61D" w14:textId="199D59B6" w:rsidR="000E03EE" w:rsidRPr="00B00F8A" w:rsidRDefault="000E03EE" w:rsidP="00B00F8A">
      <w:pPr>
        <w:pStyle w:val="ListParagraph"/>
        <w:numPr>
          <w:ilvl w:val="1"/>
          <w:numId w:val="27"/>
        </w:numPr>
        <w:tabs>
          <w:tab w:val="left" w:pos="567"/>
        </w:tabs>
        <w:spacing w:line="360" w:lineRule="auto"/>
        <w:ind w:left="567" w:hanging="567"/>
        <w:jc w:val="both"/>
        <w:rPr>
          <w:rFonts w:cs="Arial"/>
          <w:color w:val="000000" w:themeColor="text1"/>
          <w:sz w:val="22"/>
          <w:szCs w:val="22"/>
          <w:lang w:val="en-US"/>
        </w:rPr>
      </w:pPr>
      <w:r w:rsidRPr="00B00F8A">
        <w:rPr>
          <w:rFonts w:cs="Arial"/>
          <w:color w:val="000000" w:themeColor="text1"/>
          <w:sz w:val="22"/>
          <w:szCs w:val="22"/>
        </w:rPr>
        <w:t xml:space="preserve">The </w:t>
      </w:r>
      <w:r w:rsidR="000F70FA">
        <w:rPr>
          <w:rFonts w:cs="Arial"/>
          <w:color w:val="000000" w:themeColor="text1"/>
          <w:sz w:val="22"/>
          <w:szCs w:val="22"/>
        </w:rPr>
        <w:t>c</w:t>
      </w:r>
      <w:r w:rsidRPr="00B00F8A">
        <w:rPr>
          <w:rFonts w:cs="Arial"/>
          <w:color w:val="000000" w:themeColor="text1"/>
          <w:sz w:val="22"/>
          <w:szCs w:val="22"/>
        </w:rPr>
        <w:t>ontinuous f</w:t>
      </w:r>
      <w:r w:rsidRPr="00B00F8A">
        <w:rPr>
          <w:rFonts w:cs="Arial"/>
          <w:color w:val="000000" w:themeColor="text1"/>
          <w:sz w:val="22"/>
          <w:szCs w:val="22"/>
          <w:lang w:val="en-US"/>
        </w:rPr>
        <w:t>ailure to identify available land for rehabilitation and agricultural production and the implementation thereof</w:t>
      </w:r>
      <w:r w:rsidR="001C4AE0" w:rsidRPr="00B00F8A">
        <w:rPr>
          <w:rFonts w:cs="Arial"/>
          <w:color w:val="000000" w:themeColor="text1"/>
          <w:sz w:val="22"/>
          <w:szCs w:val="22"/>
          <w:lang w:val="en-US"/>
        </w:rPr>
        <w:t xml:space="preserve">; and </w:t>
      </w:r>
      <w:r w:rsidR="000F70FA">
        <w:rPr>
          <w:rFonts w:cs="Arial"/>
          <w:color w:val="000000" w:themeColor="text1"/>
          <w:sz w:val="22"/>
          <w:szCs w:val="22"/>
          <w:lang w:val="en-US"/>
        </w:rPr>
        <w:t>l</w:t>
      </w:r>
      <w:r w:rsidRPr="00B00F8A">
        <w:rPr>
          <w:rFonts w:cs="Arial"/>
          <w:color w:val="000000" w:themeColor="text1"/>
          <w:sz w:val="22"/>
          <w:szCs w:val="22"/>
          <w:lang w:val="en-US"/>
        </w:rPr>
        <w:t>ack of assist</w:t>
      </w:r>
      <w:r w:rsidR="000F70FA">
        <w:rPr>
          <w:rFonts w:cs="Arial"/>
          <w:color w:val="000000" w:themeColor="text1"/>
          <w:sz w:val="22"/>
          <w:szCs w:val="22"/>
          <w:lang w:val="en-US"/>
        </w:rPr>
        <w:t>ance to</w:t>
      </w:r>
      <w:r w:rsidRPr="00B00F8A">
        <w:rPr>
          <w:rFonts w:cs="Arial"/>
          <w:color w:val="000000" w:themeColor="text1"/>
          <w:sz w:val="22"/>
          <w:szCs w:val="22"/>
          <w:lang w:val="en-US"/>
        </w:rPr>
        <w:t xml:space="preserve"> small holder farmers to gain access to land for agriculture and agro-processing purpose</w:t>
      </w:r>
      <w:r w:rsidR="003240E2">
        <w:rPr>
          <w:rFonts w:cs="Arial"/>
          <w:color w:val="000000" w:themeColor="text1"/>
          <w:sz w:val="22"/>
          <w:szCs w:val="22"/>
          <w:lang w:val="en-US"/>
        </w:rPr>
        <w:t>.</w:t>
      </w:r>
    </w:p>
    <w:p w14:paraId="69F743A3" w14:textId="77777777" w:rsidR="002474DA" w:rsidRPr="00AB7FB6" w:rsidRDefault="002474DA" w:rsidP="002474DA">
      <w:pPr>
        <w:pStyle w:val="ListParagraph"/>
        <w:tabs>
          <w:tab w:val="left" w:pos="567"/>
        </w:tabs>
        <w:spacing w:line="276" w:lineRule="auto"/>
        <w:ind w:left="567"/>
        <w:jc w:val="both"/>
        <w:rPr>
          <w:rFonts w:cs="Arial"/>
          <w:color w:val="000000" w:themeColor="text1"/>
          <w:sz w:val="22"/>
          <w:szCs w:val="22"/>
          <w:lang w:val="en-US"/>
        </w:rPr>
      </w:pPr>
    </w:p>
    <w:p w14:paraId="452B0720" w14:textId="77777777" w:rsidR="00625B74" w:rsidRPr="00EE21AE" w:rsidRDefault="00625B74" w:rsidP="00303322">
      <w:pPr>
        <w:pStyle w:val="ListParagraph"/>
        <w:numPr>
          <w:ilvl w:val="0"/>
          <w:numId w:val="6"/>
        </w:numPr>
        <w:shd w:val="clear" w:color="auto" w:fill="A6A6A6" w:themeFill="background1" w:themeFillShade="A6"/>
        <w:spacing w:line="276" w:lineRule="auto"/>
        <w:ind w:left="284" w:hanging="284"/>
        <w:jc w:val="both"/>
        <w:rPr>
          <w:rFonts w:cs="Arial"/>
          <w:b/>
          <w:sz w:val="22"/>
          <w:szCs w:val="22"/>
        </w:rPr>
      </w:pPr>
      <w:r w:rsidRPr="00EE21AE">
        <w:rPr>
          <w:rFonts w:cs="Arial"/>
          <w:b/>
          <w:sz w:val="22"/>
          <w:szCs w:val="22"/>
        </w:rPr>
        <w:t>RECOMMENDATIONS</w:t>
      </w:r>
    </w:p>
    <w:p w14:paraId="1EBD36FC" w14:textId="77777777" w:rsidR="00625B74" w:rsidRPr="00EE21AE" w:rsidRDefault="00625B74" w:rsidP="007B444F">
      <w:pPr>
        <w:pStyle w:val="ListParagraph"/>
        <w:ind w:left="360"/>
        <w:jc w:val="both"/>
        <w:rPr>
          <w:rFonts w:cs="Arial"/>
          <w:b/>
          <w:sz w:val="22"/>
          <w:szCs w:val="22"/>
        </w:rPr>
      </w:pPr>
    </w:p>
    <w:p w14:paraId="62C06790" w14:textId="2B80797D" w:rsidR="008B2FDD" w:rsidRPr="00D6102B" w:rsidRDefault="00D6102B" w:rsidP="0025373A">
      <w:pPr>
        <w:spacing w:line="276" w:lineRule="auto"/>
        <w:jc w:val="both"/>
        <w:rPr>
          <w:rFonts w:cs="Arial"/>
          <w:b/>
          <w:sz w:val="22"/>
          <w:szCs w:val="22"/>
        </w:rPr>
      </w:pPr>
      <w:r w:rsidRPr="00D6102B">
        <w:rPr>
          <w:rFonts w:cs="Arial"/>
          <w:b/>
          <w:sz w:val="22"/>
          <w:szCs w:val="22"/>
        </w:rPr>
        <w:t xml:space="preserve">The </w:t>
      </w:r>
      <w:r>
        <w:rPr>
          <w:rFonts w:cs="Arial"/>
          <w:b/>
          <w:sz w:val="22"/>
          <w:szCs w:val="22"/>
        </w:rPr>
        <w:t xml:space="preserve">Portfolio </w:t>
      </w:r>
      <w:r w:rsidRPr="00D6102B">
        <w:rPr>
          <w:rFonts w:cs="Arial"/>
          <w:b/>
          <w:sz w:val="22"/>
          <w:szCs w:val="22"/>
        </w:rPr>
        <w:t xml:space="preserve">Committee recommends the following; </w:t>
      </w:r>
      <w:r w:rsidR="008B2FDD" w:rsidRPr="00D6102B">
        <w:rPr>
          <w:rFonts w:cs="Arial"/>
          <w:b/>
          <w:sz w:val="22"/>
          <w:szCs w:val="22"/>
        </w:rPr>
        <w:t xml:space="preserve"> </w:t>
      </w:r>
    </w:p>
    <w:p w14:paraId="2B69A24B" w14:textId="59EEA448" w:rsidR="00521B76" w:rsidRPr="009E0683" w:rsidRDefault="009E0683" w:rsidP="001920DC">
      <w:pPr>
        <w:pStyle w:val="ListParagraph"/>
        <w:spacing w:line="276" w:lineRule="auto"/>
        <w:ind w:left="0"/>
        <w:jc w:val="both"/>
        <w:rPr>
          <w:rFonts w:cs="Arial"/>
          <w:b/>
          <w:bCs/>
          <w:sz w:val="22"/>
          <w:szCs w:val="22"/>
        </w:rPr>
      </w:pPr>
      <w:r w:rsidRPr="009E0683">
        <w:rPr>
          <w:rFonts w:cs="Arial"/>
          <w:b/>
          <w:bCs/>
          <w:sz w:val="22"/>
          <w:szCs w:val="22"/>
        </w:rPr>
        <w:t xml:space="preserve">The reports should be submitted to the Committee by the </w:t>
      </w:r>
      <w:r w:rsidR="00AD4A08" w:rsidRPr="009E0683">
        <w:rPr>
          <w:rFonts w:cs="Arial"/>
          <w:b/>
          <w:bCs/>
          <w:sz w:val="22"/>
          <w:szCs w:val="22"/>
        </w:rPr>
        <w:t>30</w:t>
      </w:r>
      <w:r w:rsidR="00AD4A08" w:rsidRPr="009E0683">
        <w:rPr>
          <w:rFonts w:cs="Arial"/>
          <w:b/>
          <w:bCs/>
          <w:sz w:val="22"/>
          <w:szCs w:val="22"/>
          <w:vertAlign w:val="superscript"/>
        </w:rPr>
        <w:t xml:space="preserve">th </w:t>
      </w:r>
      <w:r w:rsidR="001E7C46">
        <w:rPr>
          <w:rFonts w:cs="Arial"/>
          <w:b/>
          <w:bCs/>
          <w:sz w:val="22"/>
          <w:szCs w:val="22"/>
        </w:rPr>
        <w:t>August</w:t>
      </w:r>
      <w:r w:rsidR="00933155">
        <w:rPr>
          <w:rFonts w:cs="Arial"/>
          <w:b/>
          <w:bCs/>
          <w:sz w:val="22"/>
          <w:szCs w:val="22"/>
        </w:rPr>
        <w:t xml:space="preserve"> </w:t>
      </w:r>
      <w:r w:rsidRPr="009E0683">
        <w:rPr>
          <w:rFonts w:cs="Arial"/>
          <w:b/>
          <w:bCs/>
          <w:sz w:val="22"/>
          <w:szCs w:val="22"/>
        </w:rPr>
        <w:t>202</w:t>
      </w:r>
      <w:r w:rsidR="001E7C46">
        <w:rPr>
          <w:rFonts w:cs="Arial"/>
          <w:b/>
          <w:bCs/>
          <w:sz w:val="22"/>
          <w:szCs w:val="22"/>
        </w:rPr>
        <w:t>2</w:t>
      </w:r>
      <w:r w:rsidRPr="009E0683">
        <w:rPr>
          <w:rFonts w:cs="Arial"/>
          <w:b/>
          <w:bCs/>
          <w:sz w:val="22"/>
          <w:szCs w:val="22"/>
        </w:rPr>
        <w:t>.</w:t>
      </w:r>
    </w:p>
    <w:p w14:paraId="0DA978E2" w14:textId="39FA82AD" w:rsidR="00091C3B" w:rsidRPr="002F7DEE" w:rsidRDefault="00091C3B" w:rsidP="002F7DEE">
      <w:pPr>
        <w:pStyle w:val="ListParagraph"/>
        <w:spacing w:line="276" w:lineRule="auto"/>
        <w:ind w:hanging="720"/>
        <w:jc w:val="both"/>
        <w:rPr>
          <w:rFonts w:cs="Arial"/>
          <w:sz w:val="22"/>
          <w:szCs w:val="22"/>
        </w:rPr>
      </w:pPr>
    </w:p>
    <w:p w14:paraId="0D950241" w14:textId="17715BBF" w:rsidR="00F54045" w:rsidRDefault="002F7DEE" w:rsidP="007F1EB3">
      <w:pPr>
        <w:pStyle w:val="ListParagraph"/>
        <w:spacing w:line="276" w:lineRule="auto"/>
        <w:ind w:hanging="720"/>
        <w:jc w:val="both"/>
        <w:rPr>
          <w:rFonts w:cs="Arial"/>
          <w:sz w:val="22"/>
          <w:szCs w:val="22"/>
        </w:rPr>
      </w:pPr>
      <w:r>
        <w:rPr>
          <w:rFonts w:cs="Arial"/>
          <w:sz w:val="22"/>
          <w:szCs w:val="22"/>
        </w:rPr>
        <w:t xml:space="preserve">9.1     </w:t>
      </w:r>
      <w:r w:rsidR="00F54045" w:rsidRPr="00F54045">
        <w:rPr>
          <w:rFonts w:cs="Arial"/>
          <w:sz w:val="22"/>
          <w:szCs w:val="22"/>
        </w:rPr>
        <w:t>Provide the Committee with a detailed and remedial plan</w:t>
      </w:r>
      <w:r w:rsidR="007E4DF7">
        <w:rPr>
          <w:rFonts w:cs="Arial"/>
          <w:sz w:val="22"/>
          <w:szCs w:val="22"/>
        </w:rPr>
        <w:t xml:space="preserve"> in terms of h</w:t>
      </w:r>
      <w:r w:rsidR="00F54045" w:rsidRPr="00F54045">
        <w:rPr>
          <w:rFonts w:cs="Arial"/>
          <w:sz w:val="22"/>
          <w:szCs w:val="22"/>
        </w:rPr>
        <w:t xml:space="preserve">ow the various </w:t>
      </w:r>
      <w:r w:rsidR="00645896" w:rsidRPr="00F54045">
        <w:rPr>
          <w:rFonts w:cs="Arial"/>
          <w:sz w:val="22"/>
          <w:szCs w:val="22"/>
        </w:rPr>
        <w:t>infrastructure</w:t>
      </w:r>
      <w:r w:rsidR="00F54045" w:rsidRPr="00F54045">
        <w:rPr>
          <w:rFonts w:cs="Arial"/>
          <w:sz w:val="22"/>
          <w:szCs w:val="22"/>
        </w:rPr>
        <w:t xml:space="preserve"> projects will be supported in the current financial year</w:t>
      </w:r>
      <w:r w:rsidR="00A13B06">
        <w:rPr>
          <w:rFonts w:cs="Arial"/>
          <w:sz w:val="22"/>
          <w:szCs w:val="22"/>
        </w:rPr>
        <w:t xml:space="preserve"> through the IDMS policy</w:t>
      </w:r>
      <w:r w:rsidR="00164FC9">
        <w:rPr>
          <w:rFonts w:cs="Arial"/>
          <w:sz w:val="22"/>
          <w:szCs w:val="22"/>
        </w:rPr>
        <w:t xml:space="preserve">. </w:t>
      </w:r>
      <w:r w:rsidR="00CD1DD1">
        <w:rPr>
          <w:rFonts w:cs="Arial"/>
          <w:sz w:val="22"/>
          <w:szCs w:val="22"/>
        </w:rPr>
        <w:t xml:space="preserve"> Further</w:t>
      </w:r>
      <w:r w:rsidR="000F70FA">
        <w:rPr>
          <w:rFonts w:cs="Arial"/>
          <w:sz w:val="22"/>
          <w:szCs w:val="22"/>
        </w:rPr>
        <w:t>more,</w:t>
      </w:r>
      <w:r w:rsidR="00CD1DD1">
        <w:rPr>
          <w:rFonts w:cs="Arial"/>
          <w:sz w:val="22"/>
          <w:szCs w:val="22"/>
        </w:rPr>
        <w:t xml:space="preserve"> </w:t>
      </w:r>
      <w:r w:rsidR="008E1A6F">
        <w:rPr>
          <w:rFonts w:cs="Arial"/>
          <w:sz w:val="22"/>
          <w:szCs w:val="22"/>
        </w:rPr>
        <w:t xml:space="preserve">provide </w:t>
      </w:r>
      <w:r w:rsidR="008D72D9">
        <w:rPr>
          <w:rFonts w:cs="Arial"/>
          <w:sz w:val="22"/>
          <w:szCs w:val="22"/>
        </w:rPr>
        <w:t>progress report</w:t>
      </w:r>
      <w:r w:rsidR="00164FC9">
        <w:rPr>
          <w:rFonts w:cs="Arial"/>
          <w:sz w:val="22"/>
          <w:szCs w:val="22"/>
        </w:rPr>
        <w:t xml:space="preserve"> on the implementation of the projects by DBSA</w:t>
      </w:r>
      <w:r w:rsidR="00F54045" w:rsidRPr="00F54045">
        <w:rPr>
          <w:rFonts w:cs="Arial"/>
          <w:sz w:val="22"/>
          <w:szCs w:val="22"/>
        </w:rPr>
        <w:t>.</w:t>
      </w:r>
    </w:p>
    <w:p w14:paraId="625BDA2D" w14:textId="77777777" w:rsidR="00091C3B" w:rsidRDefault="00091C3B" w:rsidP="007F1EB3">
      <w:pPr>
        <w:pStyle w:val="ListParagraph"/>
        <w:spacing w:line="276" w:lineRule="auto"/>
        <w:ind w:hanging="720"/>
        <w:jc w:val="both"/>
        <w:rPr>
          <w:rFonts w:cs="Arial"/>
          <w:sz w:val="22"/>
          <w:szCs w:val="22"/>
        </w:rPr>
      </w:pPr>
    </w:p>
    <w:p w14:paraId="70AAC381" w14:textId="29449583" w:rsidR="0039539B" w:rsidRDefault="0039539B" w:rsidP="007F1EB3">
      <w:pPr>
        <w:spacing w:after="200" w:line="276" w:lineRule="auto"/>
        <w:ind w:left="720" w:hanging="720"/>
        <w:contextualSpacing/>
        <w:jc w:val="both"/>
        <w:rPr>
          <w:rFonts w:eastAsia="Calibri" w:cs="Arial"/>
          <w:sz w:val="22"/>
          <w:szCs w:val="22"/>
          <w:lang w:val="en-US"/>
        </w:rPr>
      </w:pPr>
      <w:r>
        <w:rPr>
          <w:rFonts w:eastAsia="Calibri" w:cs="Arial"/>
          <w:sz w:val="22"/>
          <w:szCs w:val="22"/>
          <w:lang w:val="en-US"/>
        </w:rPr>
        <w:t>9.</w:t>
      </w:r>
      <w:r w:rsidR="00ED34E9">
        <w:rPr>
          <w:rFonts w:eastAsia="Calibri" w:cs="Arial"/>
          <w:sz w:val="22"/>
          <w:szCs w:val="22"/>
          <w:lang w:val="en-US"/>
        </w:rPr>
        <w:t>2</w:t>
      </w:r>
      <w:r>
        <w:rPr>
          <w:rFonts w:eastAsia="Calibri" w:cs="Arial"/>
          <w:sz w:val="22"/>
          <w:szCs w:val="22"/>
          <w:lang w:val="en-US"/>
        </w:rPr>
        <w:tab/>
      </w:r>
      <w:r w:rsidRPr="0039539B">
        <w:rPr>
          <w:rFonts w:eastAsia="Calibri" w:cs="Arial"/>
          <w:sz w:val="22"/>
          <w:szCs w:val="22"/>
          <w:lang w:val="en-US"/>
        </w:rPr>
        <w:t xml:space="preserve">Provide the Committee with a detailed plan on enhancing functionality of subsistence, small holder, Women and Youth farmers. The plan must include how the Department plans to provide small holder farmers with sufficient </w:t>
      </w:r>
      <w:r w:rsidR="00401D9A">
        <w:rPr>
          <w:rFonts w:eastAsia="Calibri" w:cs="Arial"/>
          <w:sz w:val="22"/>
          <w:szCs w:val="22"/>
          <w:lang w:val="en-US"/>
        </w:rPr>
        <w:t xml:space="preserve">support to enhance </w:t>
      </w:r>
      <w:r w:rsidRPr="0039539B">
        <w:rPr>
          <w:rFonts w:eastAsia="Calibri" w:cs="Arial"/>
          <w:sz w:val="22"/>
          <w:szCs w:val="22"/>
          <w:lang w:val="en-US"/>
        </w:rPr>
        <w:t xml:space="preserve">marketing </w:t>
      </w:r>
      <w:r w:rsidR="00401D9A">
        <w:rPr>
          <w:rFonts w:eastAsia="Calibri" w:cs="Arial"/>
          <w:sz w:val="22"/>
          <w:szCs w:val="22"/>
          <w:lang w:val="en-US"/>
        </w:rPr>
        <w:t>of their produce</w:t>
      </w:r>
      <w:r w:rsidRPr="0039539B">
        <w:rPr>
          <w:rFonts w:eastAsia="Calibri" w:cs="Arial"/>
          <w:sz w:val="22"/>
          <w:szCs w:val="22"/>
          <w:lang w:val="en-US"/>
        </w:rPr>
        <w:t>.</w:t>
      </w:r>
    </w:p>
    <w:p w14:paraId="1CEA9A7B" w14:textId="77777777" w:rsidR="00091C3B" w:rsidRPr="0039539B" w:rsidRDefault="00091C3B" w:rsidP="007F1EB3">
      <w:pPr>
        <w:spacing w:after="200" w:line="276" w:lineRule="auto"/>
        <w:ind w:left="720" w:hanging="720"/>
        <w:contextualSpacing/>
        <w:jc w:val="both"/>
        <w:rPr>
          <w:rFonts w:eastAsia="Calibri" w:cs="Arial"/>
          <w:bCs/>
          <w:sz w:val="22"/>
          <w:szCs w:val="22"/>
          <w:lang w:val="en-US"/>
        </w:rPr>
      </w:pPr>
    </w:p>
    <w:p w14:paraId="08E8C895" w14:textId="61C82F77" w:rsidR="00F01EBA" w:rsidRPr="00F01EBA" w:rsidRDefault="0039539B" w:rsidP="007F1EB3">
      <w:pPr>
        <w:spacing w:after="200" w:line="276" w:lineRule="auto"/>
        <w:ind w:left="720" w:hanging="720"/>
        <w:contextualSpacing/>
        <w:jc w:val="both"/>
        <w:rPr>
          <w:rFonts w:eastAsia="Calibri" w:cs="Arial"/>
          <w:bCs/>
          <w:sz w:val="22"/>
          <w:szCs w:val="22"/>
          <w:lang w:val="en-US"/>
        </w:rPr>
      </w:pPr>
      <w:r>
        <w:rPr>
          <w:rFonts w:eastAsia="Calibri" w:cs="Arial"/>
          <w:sz w:val="22"/>
          <w:szCs w:val="22"/>
          <w:lang w:val="en-US"/>
        </w:rPr>
        <w:t>9.</w:t>
      </w:r>
      <w:r w:rsidR="005B62C1">
        <w:rPr>
          <w:rFonts w:eastAsia="Calibri" w:cs="Arial"/>
          <w:sz w:val="22"/>
          <w:szCs w:val="22"/>
          <w:lang w:val="en-US"/>
        </w:rPr>
        <w:t>3</w:t>
      </w:r>
      <w:r>
        <w:rPr>
          <w:rFonts w:eastAsia="Calibri" w:cs="Arial"/>
          <w:sz w:val="22"/>
          <w:szCs w:val="22"/>
          <w:lang w:val="en-US"/>
        </w:rPr>
        <w:tab/>
      </w:r>
      <w:r w:rsidR="00F01EBA" w:rsidRPr="00F01EBA">
        <w:rPr>
          <w:rFonts w:eastAsia="Calibri" w:cs="Arial"/>
          <w:sz w:val="22"/>
          <w:szCs w:val="22"/>
          <w:lang w:val="en-US"/>
        </w:rPr>
        <w:t xml:space="preserve">The Department should form a strong collaborative relationship with municipalities that are affected, and further ensure that waste management and greening efforts are maintained and adhered to by communities. Provide the Committee with a detailed plan on how they will </w:t>
      </w:r>
      <w:r w:rsidR="008F78B4" w:rsidRPr="00F01EBA">
        <w:rPr>
          <w:rFonts w:eastAsia="Calibri" w:cs="Arial"/>
          <w:sz w:val="22"/>
          <w:szCs w:val="22"/>
          <w:lang w:val="en-US"/>
        </w:rPr>
        <w:t>assist,</w:t>
      </w:r>
      <w:r w:rsidR="00F01EBA" w:rsidRPr="00F01EBA">
        <w:rPr>
          <w:rFonts w:eastAsia="Calibri" w:cs="Arial"/>
          <w:sz w:val="22"/>
          <w:szCs w:val="22"/>
          <w:lang w:val="en-US"/>
        </w:rPr>
        <w:t xml:space="preserve"> and support affected Municipalities to ensure that there</w:t>
      </w:r>
      <w:r w:rsidR="00401D9A">
        <w:rPr>
          <w:rFonts w:eastAsia="Calibri" w:cs="Arial"/>
          <w:sz w:val="22"/>
          <w:szCs w:val="22"/>
          <w:lang w:val="en-US"/>
        </w:rPr>
        <w:t xml:space="preserve"> </w:t>
      </w:r>
      <w:r w:rsidR="002D5A07">
        <w:rPr>
          <w:rFonts w:eastAsia="Calibri" w:cs="Arial"/>
          <w:sz w:val="22"/>
          <w:szCs w:val="22"/>
          <w:lang w:val="en-US"/>
        </w:rPr>
        <w:t xml:space="preserve">is </w:t>
      </w:r>
      <w:r w:rsidR="002D5A07" w:rsidRPr="00F01EBA">
        <w:rPr>
          <w:rFonts w:eastAsia="Calibri" w:cs="Arial"/>
          <w:sz w:val="22"/>
          <w:szCs w:val="22"/>
          <w:lang w:val="en-US"/>
        </w:rPr>
        <w:t>environmental</w:t>
      </w:r>
      <w:r w:rsidR="00F01EBA" w:rsidRPr="00F01EBA">
        <w:rPr>
          <w:rFonts w:eastAsia="Calibri" w:cs="Arial"/>
          <w:sz w:val="22"/>
          <w:szCs w:val="22"/>
          <w:lang w:val="en-US"/>
        </w:rPr>
        <w:t xml:space="preserve"> compliance in their areas. </w:t>
      </w:r>
    </w:p>
    <w:p w14:paraId="4DEC921E" w14:textId="77777777" w:rsidR="00DA666B" w:rsidRDefault="00DA666B" w:rsidP="00DA666B">
      <w:pPr>
        <w:spacing w:line="276" w:lineRule="auto"/>
        <w:jc w:val="both"/>
        <w:rPr>
          <w:rFonts w:cs="Arial"/>
          <w:bCs/>
          <w:sz w:val="22"/>
          <w:szCs w:val="22"/>
          <w:lang w:val="en-US"/>
        </w:rPr>
      </w:pPr>
    </w:p>
    <w:p w14:paraId="0BA3C774" w14:textId="0870F4E0" w:rsidR="00A42118" w:rsidRPr="00A42118" w:rsidRDefault="007A1E86" w:rsidP="00A42118">
      <w:pPr>
        <w:pStyle w:val="ListParagraph"/>
        <w:numPr>
          <w:ilvl w:val="1"/>
          <w:numId w:val="40"/>
        </w:numPr>
        <w:spacing w:line="276" w:lineRule="auto"/>
        <w:ind w:left="709" w:hanging="709"/>
        <w:jc w:val="both"/>
        <w:rPr>
          <w:rFonts w:cs="Arial"/>
          <w:bCs/>
          <w:sz w:val="22"/>
          <w:szCs w:val="22"/>
          <w:lang w:val="en-US"/>
        </w:rPr>
      </w:pPr>
      <w:r w:rsidRPr="007A1E86">
        <w:rPr>
          <w:rFonts w:cs="Arial"/>
          <w:bCs/>
          <w:sz w:val="22"/>
          <w:szCs w:val="22"/>
          <w:lang w:val="en-US"/>
        </w:rPr>
        <w:t xml:space="preserve">Provide the Committee with a detailed plan </w:t>
      </w:r>
      <w:r w:rsidR="00A42118">
        <w:rPr>
          <w:rFonts w:cs="Arial"/>
          <w:bCs/>
          <w:sz w:val="22"/>
          <w:szCs w:val="22"/>
          <w:lang w:val="en-US"/>
        </w:rPr>
        <w:t xml:space="preserve">on how the Department will contribute to </w:t>
      </w:r>
      <w:r w:rsidR="00A42118" w:rsidRPr="00A42118">
        <w:rPr>
          <w:rFonts w:cs="Arial"/>
          <w:bCs/>
          <w:sz w:val="22"/>
          <w:szCs w:val="22"/>
        </w:rPr>
        <w:t>creating employment in the agricultural sector</w:t>
      </w:r>
    </w:p>
    <w:p w14:paraId="0A767D41" w14:textId="77777777" w:rsidR="007A1E86" w:rsidRPr="007A1E86" w:rsidRDefault="007A1E86" w:rsidP="007A1E86">
      <w:pPr>
        <w:pStyle w:val="ListParagraph"/>
        <w:spacing w:line="276" w:lineRule="auto"/>
        <w:ind w:left="709"/>
        <w:jc w:val="both"/>
        <w:rPr>
          <w:rFonts w:cs="Arial"/>
          <w:bCs/>
          <w:sz w:val="22"/>
          <w:szCs w:val="22"/>
        </w:rPr>
      </w:pPr>
    </w:p>
    <w:p w14:paraId="65EA688F" w14:textId="4901AD24" w:rsidR="007A1E86" w:rsidRDefault="007A1E86" w:rsidP="00DA666B">
      <w:pPr>
        <w:pStyle w:val="ListParagraph"/>
        <w:numPr>
          <w:ilvl w:val="1"/>
          <w:numId w:val="40"/>
        </w:numPr>
        <w:spacing w:line="276" w:lineRule="auto"/>
        <w:ind w:left="709" w:hanging="709"/>
        <w:jc w:val="both"/>
        <w:rPr>
          <w:rFonts w:cs="Arial"/>
          <w:bCs/>
          <w:sz w:val="22"/>
          <w:szCs w:val="22"/>
        </w:rPr>
      </w:pPr>
      <w:r w:rsidRPr="007A1E86">
        <w:rPr>
          <w:rFonts w:cs="Arial"/>
          <w:bCs/>
          <w:sz w:val="22"/>
          <w:szCs w:val="22"/>
          <w:lang w:val="en-US"/>
        </w:rPr>
        <w:t>Provide the Committee with a detailed plan on</w:t>
      </w:r>
      <w:r w:rsidR="00ED2410" w:rsidRPr="00ED2410">
        <w:rPr>
          <w:rFonts w:cs="Arial"/>
          <w:color w:val="000000" w:themeColor="text1"/>
          <w:sz w:val="22"/>
          <w:szCs w:val="22"/>
        </w:rPr>
        <w:t xml:space="preserve"> </w:t>
      </w:r>
      <w:r w:rsidR="00676B5E">
        <w:rPr>
          <w:rFonts w:cs="Arial"/>
          <w:color w:val="000000" w:themeColor="text1"/>
          <w:sz w:val="22"/>
          <w:szCs w:val="22"/>
        </w:rPr>
        <w:t xml:space="preserve">how </w:t>
      </w:r>
      <w:r w:rsidR="006D0E09">
        <w:rPr>
          <w:rFonts w:cs="Arial"/>
          <w:color w:val="000000" w:themeColor="text1"/>
          <w:sz w:val="22"/>
          <w:szCs w:val="22"/>
        </w:rPr>
        <w:t xml:space="preserve">the impact of </w:t>
      </w:r>
      <w:r w:rsidR="00ED2410" w:rsidRPr="00ED2410">
        <w:rPr>
          <w:rFonts w:cs="Arial"/>
          <w:bCs/>
          <w:sz w:val="22"/>
          <w:szCs w:val="22"/>
        </w:rPr>
        <w:t xml:space="preserve">climate change </w:t>
      </w:r>
      <w:r w:rsidR="00676B5E">
        <w:rPr>
          <w:rFonts w:cs="Arial"/>
          <w:bCs/>
          <w:sz w:val="22"/>
          <w:szCs w:val="22"/>
        </w:rPr>
        <w:t xml:space="preserve">will </w:t>
      </w:r>
      <w:r w:rsidR="006D0E09">
        <w:rPr>
          <w:rFonts w:cs="Arial"/>
          <w:bCs/>
          <w:sz w:val="22"/>
          <w:szCs w:val="22"/>
        </w:rPr>
        <w:t xml:space="preserve">be handled on </w:t>
      </w:r>
      <w:r w:rsidR="00ED2410" w:rsidRPr="00ED2410">
        <w:rPr>
          <w:rFonts w:cs="Arial"/>
          <w:bCs/>
          <w:sz w:val="22"/>
          <w:szCs w:val="22"/>
        </w:rPr>
        <w:t>food security in the Province</w:t>
      </w:r>
      <w:r w:rsidR="00AD4A08">
        <w:rPr>
          <w:rFonts w:cs="Arial"/>
          <w:bCs/>
          <w:sz w:val="22"/>
          <w:szCs w:val="22"/>
        </w:rPr>
        <w:t>.</w:t>
      </w:r>
    </w:p>
    <w:p w14:paraId="380716F9" w14:textId="77777777" w:rsidR="00C80138" w:rsidRDefault="00C80138" w:rsidP="00C80138">
      <w:pPr>
        <w:pStyle w:val="ListParagraph"/>
        <w:spacing w:line="276" w:lineRule="auto"/>
        <w:ind w:left="709"/>
        <w:jc w:val="both"/>
        <w:rPr>
          <w:rFonts w:cs="Arial"/>
          <w:bCs/>
          <w:sz w:val="22"/>
          <w:szCs w:val="22"/>
        </w:rPr>
      </w:pPr>
    </w:p>
    <w:p w14:paraId="1E4C3AC9" w14:textId="2E74AB57" w:rsidR="00C80138" w:rsidRDefault="00C80138" w:rsidP="00DA666B">
      <w:pPr>
        <w:pStyle w:val="ListParagraph"/>
        <w:numPr>
          <w:ilvl w:val="1"/>
          <w:numId w:val="40"/>
        </w:numPr>
        <w:spacing w:line="276" w:lineRule="auto"/>
        <w:ind w:left="709" w:hanging="709"/>
        <w:jc w:val="both"/>
        <w:rPr>
          <w:rFonts w:cs="Arial"/>
          <w:bCs/>
          <w:sz w:val="22"/>
          <w:szCs w:val="22"/>
        </w:rPr>
      </w:pPr>
      <w:r w:rsidRPr="00C80138">
        <w:rPr>
          <w:rFonts w:cs="Arial"/>
          <w:bCs/>
          <w:sz w:val="22"/>
          <w:szCs w:val="22"/>
        </w:rPr>
        <w:t xml:space="preserve">Provide the Committee with a comprehensive report that includes a list of identified </w:t>
      </w:r>
      <w:r w:rsidR="00944F59">
        <w:rPr>
          <w:rFonts w:cs="Arial"/>
          <w:bCs/>
          <w:sz w:val="22"/>
          <w:szCs w:val="22"/>
        </w:rPr>
        <w:t>l</w:t>
      </w:r>
      <w:r w:rsidRPr="00C80138">
        <w:rPr>
          <w:rFonts w:cs="Arial"/>
          <w:bCs/>
          <w:sz w:val="22"/>
          <w:szCs w:val="22"/>
        </w:rPr>
        <w:t>and for agricultural production, land to be rehabilitated, criteria to be used to assist small holder farmers to gain access to Land.</w:t>
      </w:r>
    </w:p>
    <w:p w14:paraId="733271A8" w14:textId="77777777" w:rsidR="00C9327A" w:rsidRPr="00C9327A" w:rsidRDefault="00C9327A" w:rsidP="00C9327A">
      <w:pPr>
        <w:pStyle w:val="ListParagraph"/>
        <w:rPr>
          <w:rFonts w:cs="Arial"/>
          <w:bCs/>
          <w:sz w:val="22"/>
          <w:szCs w:val="22"/>
        </w:rPr>
      </w:pPr>
    </w:p>
    <w:p w14:paraId="7FBC3B0E" w14:textId="7575B4BF" w:rsidR="00C9327A" w:rsidRPr="009103BF" w:rsidRDefault="00C9327A" w:rsidP="00C9327A">
      <w:pPr>
        <w:spacing w:line="276" w:lineRule="auto"/>
        <w:jc w:val="both"/>
        <w:rPr>
          <w:rFonts w:cs="Arial"/>
          <w:b/>
          <w:sz w:val="22"/>
          <w:szCs w:val="22"/>
        </w:rPr>
      </w:pPr>
      <w:r w:rsidRPr="009103BF">
        <w:rPr>
          <w:rFonts w:cs="Arial"/>
          <w:b/>
          <w:sz w:val="22"/>
          <w:szCs w:val="22"/>
        </w:rPr>
        <w:t>Overall Recommendation</w:t>
      </w:r>
      <w:r w:rsidR="006F2491" w:rsidRPr="009103BF">
        <w:rPr>
          <w:rFonts w:cs="Arial"/>
          <w:b/>
          <w:sz w:val="22"/>
          <w:szCs w:val="22"/>
        </w:rPr>
        <w:t>s</w:t>
      </w:r>
      <w:r w:rsidRPr="009103BF">
        <w:rPr>
          <w:rFonts w:cs="Arial"/>
          <w:b/>
          <w:sz w:val="22"/>
          <w:szCs w:val="22"/>
        </w:rPr>
        <w:t>:</w:t>
      </w:r>
    </w:p>
    <w:p w14:paraId="2770FAF2" w14:textId="6F0769A0" w:rsidR="009103BF" w:rsidRPr="009103BF" w:rsidRDefault="00C9327A" w:rsidP="00B56F19">
      <w:pPr>
        <w:pStyle w:val="ListParagraph"/>
        <w:numPr>
          <w:ilvl w:val="1"/>
          <w:numId w:val="40"/>
        </w:numPr>
        <w:spacing w:line="276" w:lineRule="auto"/>
        <w:ind w:left="709" w:hanging="709"/>
        <w:jc w:val="both"/>
        <w:rPr>
          <w:rFonts w:cs="Arial"/>
          <w:bCs/>
          <w:sz w:val="22"/>
          <w:szCs w:val="22"/>
        </w:rPr>
      </w:pPr>
      <w:r w:rsidRPr="009103BF">
        <w:rPr>
          <w:sz w:val="22"/>
          <w:szCs w:val="22"/>
        </w:rPr>
        <w:t xml:space="preserve">Given the onerous regulatory environment of the cannabis industry, </w:t>
      </w:r>
      <w:r w:rsidR="009103BF">
        <w:rPr>
          <w:sz w:val="22"/>
          <w:szCs w:val="22"/>
        </w:rPr>
        <w:t xml:space="preserve">the Department should </w:t>
      </w:r>
      <w:r w:rsidRPr="009103BF">
        <w:rPr>
          <w:sz w:val="22"/>
          <w:szCs w:val="22"/>
        </w:rPr>
        <w:t xml:space="preserve">provide the Committee with a </w:t>
      </w:r>
      <w:r w:rsidR="009103BF">
        <w:rPr>
          <w:sz w:val="22"/>
          <w:szCs w:val="22"/>
        </w:rPr>
        <w:t xml:space="preserve">detailed </w:t>
      </w:r>
      <w:r w:rsidRPr="009103BF">
        <w:rPr>
          <w:sz w:val="22"/>
          <w:szCs w:val="22"/>
        </w:rPr>
        <w:t>report on the role that the</w:t>
      </w:r>
      <w:r w:rsidR="009103BF">
        <w:rPr>
          <w:sz w:val="22"/>
          <w:szCs w:val="22"/>
        </w:rPr>
        <w:t>y</w:t>
      </w:r>
      <w:r w:rsidRPr="009103BF">
        <w:rPr>
          <w:sz w:val="22"/>
          <w:szCs w:val="22"/>
        </w:rPr>
        <w:t xml:space="preserve"> will play to ensure </w:t>
      </w:r>
      <w:r w:rsidRPr="009103BF">
        <w:rPr>
          <w:sz w:val="22"/>
          <w:szCs w:val="22"/>
        </w:rPr>
        <w:lastRenderedPageBreak/>
        <w:t>that small holders and emerging farmers are enabled to acquire growing and processing regulatory compliance</w:t>
      </w:r>
      <w:r w:rsidR="009103BF">
        <w:rPr>
          <w:sz w:val="22"/>
          <w:szCs w:val="22"/>
        </w:rPr>
        <w:t>.</w:t>
      </w:r>
    </w:p>
    <w:p w14:paraId="6826B394" w14:textId="77777777" w:rsidR="009103BF" w:rsidRDefault="009103BF" w:rsidP="009103BF">
      <w:pPr>
        <w:pStyle w:val="ListParagraph"/>
        <w:spacing w:line="276" w:lineRule="auto"/>
        <w:ind w:left="709"/>
        <w:jc w:val="both"/>
        <w:rPr>
          <w:rFonts w:cs="Arial"/>
          <w:bCs/>
          <w:sz w:val="22"/>
          <w:szCs w:val="22"/>
        </w:rPr>
      </w:pPr>
    </w:p>
    <w:p w14:paraId="5BAD02F0" w14:textId="56521EB5" w:rsidR="006F2491" w:rsidRPr="009103BF" w:rsidRDefault="00C9327A" w:rsidP="00B56F19">
      <w:pPr>
        <w:pStyle w:val="ListParagraph"/>
        <w:numPr>
          <w:ilvl w:val="1"/>
          <w:numId w:val="40"/>
        </w:numPr>
        <w:spacing w:line="276" w:lineRule="auto"/>
        <w:ind w:left="709" w:hanging="709"/>
        <w:jc w:val="both"/>
        <w:rPr>
          <w:rFonts w:cs="Arial"/>
          <w:bCs/>
          <w:sz w:val="22"/>
          <w:szCs w:val="22"/>
        </w:rPr>
      </w:pPr>
      <w:r w:rsidRPr="009103BF">
        <w:rPr>
          <w:sz w:val="22"/>
          <w:szCs w:val="22"/>
        </w:rPr>
        <w:t>Provide</w:t>
      </w:r>
      <w:r w:rsidR="006F2491" w:rsidRPr="009103BF">
        <w:rPr>
          <w:sz w:val="22"/>
          <w:szCs w:val="22"/>
        </w:rPr>
        <w:t xml:space="preserve"> monthly progress reports on the releasing of land for economic development purposes</w:t>
      </w:r>
      <w:r w:rsidR="009103BF" w:rsidRPr="009103BF">
        <w:rPr>
          <w:sz w:val="22"/>
          <w:szCs w:val="22"/>
        </w:rPr>
        <w:t xml:space="preserve"> in the Province. </w:t>
      </w:r>
    </w:p>
    <w:p w14:paraId="35FB37A2" w14:textId="7E0D34BC" w:rsidR="003E3F62" w:rsidRPr="006F2491" w:rsidRDefault="006F2491" w:rsidP="006F2491">
      <w:pPr>
        <w:pStyle w:val="ListParagraph"/>
        <w:spacing w:line="276" w:lineRule="auto"/>
        <w:ind w:left="709"/>
        <w:jc w:val="both"/>
        <w:rPr>
          <w:rFonts w:cs="Arial"/>
          <w:bCs/>
          <w:sz w:val="22"/>
          <w:szCs w:val="22"/>
        </w:rPr>
      </w:pPr>
      <w:r>
        <w:t xml:space="preserve"> </w:t>
      </w:r>
    </w:p>
    <w:p w14:paraId="22552425" w14:textId="77777777" w:rsidR="00625B74" w:rsidRPr="0018447A" w:rsidRDefault="00625B74" w:rsidP="00303322">
      <w:pPr>
        <w:pStyle w:val="Default"/>
        <w:numPr>
          <w:ilvl w:val="0"/>
          <w:numId w:val="6"/>
        </w:numPr>
        <w:shd w:val="clear" w:color="auto" w:fill="A6A6A6" w:themeFill="background1" w:themeFillShade="A6"/>
        <w:spacing w:line="276" w:lineRule="auto"/>
        <w:ind w:left="284" w:hanging="284"/>
        <w:jc w:val="both"/>
        <w:rPr>
          <w:rFonts w:asciiTheme="minorHAnsi" w:hAnsiTheme="minorHAnsi" w:cs="Arial"/>
          <w:b/>
          <w:snapToGrid w:val="0"/>
          <w:color w:val="auto"/>
          <w:spacing w:val="-3"/>
        </w:rPr>
      </w:pPr>
      <w:r w:rsidRPr="0018447A">
        <w:rPr>
          <w:rFonts w:asciiTheme="minorHAnsi" w:hAnsiTheme="minorHAnsi" w:cs="Arial"/>
          <w:b/>
          <w:snapToGrid w:val="0"/>
          <w:color w:val="auto"/>
          <w:spacing w:val="-3"/>
        </w:rPr>
        <w:t xml:space="preserve">ACKNOWLEDGEMENTS </w:t>
      </w:r>
    </w:p>
    <w:p w14:paraId="37586041" w14:textId="77777777" w:rsidR="00625B74" w:rsidRPr="0018447A" w:rsidRDefault="00625B74" w:rsidP="001866D4">
      <w:pPr>
        <w:pStyle w:val="ListParagraph"/>
        <w:jc w:val="both"/>
        <w:rPr>
          <w:rFonts w:asciiTheme="minorHAnsi" w:hAnsiTheme="minorHAnsi" w:cs="Arial"/>
          <w:b/>
          <w:snapToGrid w:val="0"/>
          <w:spacing w:val="-3"/>
          <w:sz w:val="24"/>
          <w:szCs w:val="24"/>
        </w:rPr>
      </w:pPr>
    </w:p>
    <w:p w14:paraId="79896D18" w14:textId="4CDDF375" w:rsidR="00E3066A" w:rsidRPr="00E3066A" w:rsidRDefault="00E3066A" w:rsidP="00E3066A">
      <w:pPr>
        <w:suppressAutoHyphens/>
        <w:spacing w:line="276" w:lineRule="auto"/>
        <w:jc w:val="both"/>
        <w:rPr>
          <w:rFonts w:cs="Arial"/>
          <w:sz w:val="22"/>
          <w:szCs w:val="22"/>
          <w:lang w:val="en-GB"/>
        </w:rPr>
      </w:pPr>
      <w:bookmarkStart w:id="17" w:name="_Hlk42504745"/>
      <w:r w:rsidRPr="00E3066A">
        <w:rPr>
          <w:rFonts w:cs="Arial"/>
          <w:sz w:val="22"/>
          <w:szCs w:val="22"/>
          <w:lang w:val="en-GB"/>
        </w:rPr>
        <w:t xml:space="preserve">The Portfolio Committee on Economic Development, Environment, Agriculture and Rural Development wishes to thank the MEC for Economic Development and Agriculture and Rural Development, Mr Parks Tau, the Head of Department, Ms M Gasela and her team of officials. The Chairperson, Ms F Hassan further wishes to acknowledge and express his gratitude to the Honourable Members of the Portfolio Committee on Economic Development, Environment, Agriculture and Rural Development Members Mr L Makhubela, </w:t>
      </w:r>
      <w:r w:rsidR="00AD5EC5">
        <w:rPr>
          <w:rFonts w:cs="Arial"/>
          <w:sz w:val="22"/>
          <w:szCs w:val="22"/>
          <w:lang w:val="en-GB"/>
        </w:rPr>
        <w:t xml:space="preserve">Ms S Nkosi-Malobane, </w:t>
      </w:r>
      <w:r w:rsidRPr="00E3066A">
        <w:rPr>
          <w:rFonts w:cs="Arial"/>
          <w:sz w:val="22"/>
          <w:szCs w:val="22"/>
          <w:lang w:val="en-GB"/>
        </w:rPr>
        <w:t xml:space="preserve">Ms B Mncube, Mr M Gana, Ms A Cilliers, Mr A Tshitangano, Mr J Hoffman, Mr D Adams. Further appreciation goes to the alternate Members of the Committee namely Members:  Mr A Alberts, Ms Du </w:t>
      </w:r>
      <w:proofErr w:type="gramStart"/>
      <w:r w:rsidRPr="00E3066A">
        <w:rPr>
          <w:rFonts w:cs="Arial"/>
          <w:sz w:val="22"/>
          <w:szCs w:val="22"/>
          <w:lang w:val="en-GB"/>
        </w:rPr>
        <w:t>Plessis</w:t>
      </w:r>
      <w:proofErr w:type="gramEnd"/>
      <w:r w:rsidRPr="00E3066A">
        <w:rPr>
          <w:rFonts w:cs="Arial"/>
          <w:sz w:val="22"/>
          <w:szCs w:val="22"/>
          <w:lang w:val="en-GB"/>
        </w:rPr>
        <w:t xml:space="preserve"> and Ms B Badenhorst. It is an honour to lead such a hard-working team. Furthermore, the Portfolio Committee would like to express appreciation for the contribution of the following support staff members: Group Committee Coordinator Mr T </w:t>
      </w:r>
      <w:r w:rsidR="00AD5EC5">
        <w:rPr>
          <w:rFonts w:cs="Arial"/>
          <w:sz w:val="22"/>
          <w:szCs w:val="22"/>
          <w:lang w:val="en-GB"/>
        </w:rPr>
        <w:t>Bodibe</w:t>
      </w:r>
      <w:r w:rsidRPr="00E3066A">
        <w:rPr>
          <w:rFonts w:cs="Arial"/>
          <w:sz w:val="22"/>
          <w:szCs w:val="22"/>
          <w:lang w:val="en-GB"/>
        </w:rPr>
        <w:t xml:space="preserve">; the Committee Researchers Mr B Mabuza, Ms M Makhubele and Dr A Malapane, Senior Committee Coordinator Mr T Skosana, Committee Coordinator  Ms L Mampe, Administrative Assistants; Ms N. Mngadi and Ms V Mokubetsi, Hansard Recorder Mr S Baloyi, Senior Information officer, Ms Azwinndini Netshivhuyu, Communications Officer; Mr Takalani Ndou, Service Officer Ms Busisiwe Nhlapo, and Public Participation Officer: Mr B Dhlomo for their dedication and commitment. </w:t>
      </w:r>
      <w:bookmarkEnd w:id="17"/>
    </w:p>
    <w:p w14:paraId="4F824D3C" w14:textId="77777777" w:rsidR="00D204B1" w:rsidRPr="0018447A" w:rsidRDefault="00D204B1" w:rsidP="0018447A">
      <w:pPr>
        <w:suppressAutoHyphens/>
        <w:spacing w:line="276" w:lineRule="auto"/>
        <w:jc w:val="both"/>
        <w:rPr>
          <w:rFonts w:asciiTheme="minorHAnsi" w:hAnsiTheme="minorHAnsi" w:cs="Arial"/>
          <w:sz w:val="24"/>
          <w:szCs w:val="24"/>
        </w:rPr>
      </w:pPr>
    </w:p>
    <w:p w14:paraId="54D9D1E9" w14:textId="77777777" w:rsidR="00625B74" w:rsidRPr="00B42734" w:rsidRDefault="00625B74" w:rsidP="00303322">
      <w:pPr>
        <w:pStyle w:val="ListParagraph"/>
        <w:numPr>
          <w:ilvl w:val="0"/>
          <w:numId w:val="6"/>
        </w:numPr>
        <w:shd w:val="clear" w:color="auto" w:fill="A6A6A6" w:themeFill="background1" w:themeFillShade="A6"/>
        <w:tabs>
          <w:tab w:val="left" w:pos="284"/>
        </w:tabs>
        <w:spacing w:line="276" w:lineRule="auto"/>
        <w:ind w:left="426" w:hanging="426"/>
        <w:jc w:val="both"/>
        <w:rPr>
          <w:rFonts w:cs="Arial"/>
          <w:b/>
          <w:snapToGrid w:val="0"/>
          <w:spacing w:val="-3"/>
          <w:sz w:val="24"/>
          <w:szCs w:val="24"/>
        </w:rPr>
      </w:pPr>
      <w:r w:rsidRPr="00B42734">
        <w:rPr>
          <w:rFonts w:cs="Arial"/>
          <w:b/>
          <w:snapToGrid w:val="0"/>
          <w:spacing w:val="-3"/>
          <w:sz w:val="24"/>
          <w:szCs w:val="24"/>
        </w:rPr>
        <w:t xml:space="preserve">ADOPTION OF THE REPORT </w:t>
      </w:r>
    </w:p>
    <w:p w14:paraId="4356ACB0" w14:textId="77777777" w:rsidR="00625B74" w:rsidRPr="0018447A" w:rsidRDefault="00625B74" w:rsidP="0018447A">
      <w:pPr>
        <w:tabs>
          <w:tab w:val="num" w:pos="740"/>
        </w:tabs>
        <w:ind w:left="680"/>
        <w:jc w:val="both"/>
        <w:rPr>
          <w:rFonts w:cs="Arial"/>
          <w:b/>
          <w:snapToGrid w:val="0"/>
          <w:spacing w:val="-3"/>
          <w:sz w:val="24"/>
          <w:szCs w:val="24"/>
        </w:rPr>
      </w:pPr>
    </w:p>
    <w:p w14:paraId="27A7861F" w14:textId="22312ED1" w:rsidR="002B2436" w:rsidRPr="0009512A" w:rsidRDefault="002B2436" w:rsidP="002B2436">
      <w:pPr>
        <w:spacing w:line="276" w:lineRule="auto"/>
        <w:jc w:val="both"/>
        <w:rPr>
          <w:rFonts w:cs="Arial"/>
          <w:sz w:val="22"/>
          <w:szCs w:val="22"/>
        </w:rPr>
      </w:pPr>
      <w:r w:rsidRPr="0009512A">
        <w:rPr>
          <w:rFonts w:cs="Arial"/>
          <w:sz w:val="22"/>
          <w:szCs w:val="22"/>
        </w:rPr>
        <w:t xml:space="preserve">After due consideration the Economic Development Portfolio Committee unanimously adopted the Gauteng Department of </w:t>
      </w:r>
      <w:r>
        <w:rPr>
          <w:rFonts w:cs="Arial"/>
          <w:sz w:val="22"/>
          <w:szCs w:val="22"/>
        </w:rPr>
        <w:t xml:space="preserve">Agriculture and Rural Development </w:t>
      </w:r>
      <w:r w:rsidRPr="0009512A">
        <w:rPr>
          <w:rFonts w:cs="Arial"/>
          <w:sz w:val="22"/>
          <w:szCs w:val="22"/>
        </w:rPr>
        <w:t xml:space="preserve">Budget Vote </w:t>
      </w:r>
      <w:r>
        <w:rPr>
          <w:rFonts w:cs="Arial"/>
          <w:sz w:val="22"/>
          <w:szCs w:val="22"/>
        </w:rPr>
        <w:t>11</w:t>
      </w:r>
      <w:r w:rsidR="00B803FD">
        <w:rPr>
          <w:rFonts w:cs="Arial"/>
          <w:sz w:val="22"/>
          <w:szCs w:val="22"/>
        </w:rPr>
        <w:t xml:space="preserve"> Report for the 20</w:t>
      </w:r>
      <w:r w:rsidR="00262DA6">
        <w:rPr>
          <w:rFonts w:cs="Arial"/>
          <w:sz w:val="22"/>
          <w:szCs w:val="22"/>
        </w:rPr>
        <w:t>2</w:t>
      </w:r>
      <w:r w:rsidR="00C523D3">
        <w:rPr>
          <w:rFonts w:cs="Arial"/>
          <w:sz w:val="22"/>
          <w:szCs w:val="22"/>
        </w:rPr>
        <w:t>2</w:t>
      </w:r>
      <w:r w:rsidRPr="0009512A">
        <w:rPr>
          <w:rFonts w:cs="Arial"/>
          <w:sz w:val="22"/>
          <w:szCs w:val="22"/>
        </w:rPr>
        <w:t>/2</w:t>
      </w:r>
      <w:r w:rsidR="00C523D3">
        <w:rPr>
          <w:rFonts w:cs="Arial"/>
          <w:sz w:val="22"/>
          <w:szCs w:val="22"/>
        </w:rPr>
        <w:t>3</w:t>
      </w:r>
      <w:r w:rsidRPr="0009512A">
        <w:rPr>
          <w:rFonts w:cs="Arial"/>
          <w:sz w:val="22"/>
          <w:szCs w:val="22"/>
        </w:rPr>
        <w:t>FY.</w:t>
      </w:r>
      <w:r w:rsidR="000B4F48">
        <w:rPr>
          <w:rFonts w:cs="Arial"/>
          <w:sz w:val="22"/>
          <w:szCs w:val="22"/>
        </w:rPr>
        <w:t xml:space="preserve"> </w:t>
      </w:r>
      <w:r w:rsidRPr="002B2436">
        <w:rPr>
          <w:rFonts w:cs="Arial"/>
          <w:sz w:val="22"/>
          <w:szCs w:val="22"/>
        </w:rPr>
        <w:t>In terms of Rule 117(2)(c) read together with Rule 164 the Committee presents to this House and recommends the adoption of the Committee’s Oversight Report on the Gauteng Department of Agriculture and Rural Development</w:t>
      </w:r>
      <w:r w:rsidRPr="0009512A">
        <w:rPr>
          <w:rFonts w:cs="Arial"/>
          <w:sz w:val="22"/>
          <w:szCs w:val="22"/>
        </w:rPr>
        <w:t xml:space="preserve"> Budget Vote </w:t>
      </w:r>
      <w:r>
        <w:rPr>
          <w:rFonts w:cs="Arial"/>
          <w:sz w:val="22"/>
          <w:szCs w:val="22"/>
        </w:rPr>
        <w:t>11</w:t>
      </w:r>
      <w:r w:rsidR="00B803FD">
        <w:rPr>
          <w:rFonts w:cs="Arial"/>
          <w:sz w:val="22"/>
          <w:szCs w:val="22"/>
        </w:rPr>
        <w:t xml:space="preserve"> Report for the 20</w:t>
      </w:r>
      <w:r w:rsidR="00262DA6">
        <w:rPr>
          <w:rFonts w:cs="Arial"/>
          <w:sz w:val="22"/>
          <w:szCs w:val="22"/>
        </w:rPr>
        <w:t>2</w:t>
      </w:r>
      <w:r w:rsidR="00C523D3">
        <w:rPr>
          <w:rFonts w:cs="Arial"/>
          <w:sz w:val="22"/>
          <w:szCs w:val="22"/>
        </w:rPr>
        <w:t>2</w:t>
      </w:r>
      <w:r w:rsidR="00B803FD">
        <w:rPr>
          <w:rFonts w:cs="Arial"/>
          <w:sz w:val="22"/>
          <w:szCs w:val="22"/>
        </w:rPr>
        <w:t>/</w:t>
      </w:r>
      <w:r w:rsidR="00C16EAA">
        <w:rPr>
          <w:rFonts w:cs="Arial"/>
          <w:sz w:val="22"/>
          <w:szCs w:val="22"/>
        </w:rPr>
        <w:t>2</w:t>
      </w:r>
      <w:r w:rsidR="00C523D3">
        <w:rPr>
          <w:rFonts w:cs="Arial"/>
          <w:sz w:val="22"/>
          <w:szCs w:val="22"/>
        </w:rPr>
        <w:t>3</w:t>
      </w:r>
      <w:r w:rsidRPr="0009512A">
        <w:rPr>
          <w:rFonts w:cs="Arial"/>
          <w:sz w:val="22"/>
          <w:szCs w:val="22"/>
        </w:rPr>
        <w:t xml:space="preserve"> FY.</w:t>
      </w:r>
    </w:p>
    <w:p w14:paraId="60D12143" w14:textId="77777777" w:rsidR="002B2436" w:rsidRPr="0009512A" w:rsidRDefault="002B2436" w:rsidP="002B2436">
      <w:pPr>
        <w:spacing w:line="276" w:lineRule="auto"/>
        <w:jc w:val="both"/>
        <w:rPr>
          <w:rFonts w:cs="Arial"/>
          <w:sz w:val="22"/>
          <w:szCs w:val="22"/>
        </w:rPr>
      </w:pPr>
    </w:p>
    <w:p w14:paraId="51F5E48D" w14:textId="77777777" w:rsidR="002B2436" w:rsidRPr="0009512A" w:rsidRDefault="002B2436" w:rsidP="002B2436">
      <w:pPr>
        <w:spacing w:line="276" w:lineRule="auto"/>
        <w:jc w:val="both"/>
        <w:rPr>
          <w:rFonts w:cs="Arial"/>
          <w:sz w:val="22"/>
          <w:szCs w:val="22"/>
        </w:rPr>
      </w:pPr>
    </w:p>
    <w:p w14:paraId="614DCD90" w14:textId="77777777" w:rsidR="002B2436" w:rsidRPr="0009512A" w:rsidRDefault="002B2436" w:rsidP="002B2436">
      <w:pPr>
        <w:pStyle w:val="FootnoteText"/>
        <w:spacing w:line="276" w:lineRule="auto"/>
        <w:jc w:val="both"/>
        <w:rPr>
          <w:rFonts w:cs="Arial"/>
          <w:b/>
          <w:sz w:val="22"/>
          <w:szCs w:val="22"/>
        </w:rPr>
      </w:pPr>
      <w:r w:rsidRPr="0009512A">
        <w:rPr>
          <w:rFonts w:cs="Arial"/>
          <w:b/>
          <w:sz w:val="22"/>
          <w:szCs w:val="22"/>
        </w:rPr>
        <w:t>____________________________________</w:t>
      </w:r>
    </w:p>
    <w:p w14:paraId="00D3ED13" w14:textId="3B12AB3A" w:rsidR="002B2436" w:rsidRPr="0009512A" w:rsidRDefault="002B2436" w:rsidP="002B2436">
      <w:pPr>
        <w:pStyle w:val="FootnoteText"/>
        <w:spacing w:line="276" w:lineRule="auto"/>
        <w:jc w:val="both"/>
        <w:rPr>
          <w:rFonts w:cs="Arial"/>
          <w:b/>
          <w:sz w:val="22"/>
          <w:szCs w:val="22"/>
        </w:rPr>
      </w:pPr>
      <w:r w:rsidRPr="0009512A">
        <w:rPr>
          <w:rFonts w:cs="Arial"/>
          <w:b/>
          <w:sz w:val="22"/>
          <w:szCs w:val="22"/>
        </w:rPr>
        <w:t xml:space="preserve">Hon. </w:t>
      </w:r>
      <w:r w:rsidR="00C523D3">
        <w:rPr>
          <w:rFonts w:cs="Arial"/>
          <w:b/>
          <w:sz w:val="22"/>
          <w:szCs w:val="22"/>
        </w:rPr>
        <w:t>Fasiha Hassan</w:t>
      </w:r>
    </w:p>
    <w:p w14:paraId="5D3AAA9F" w14:textId="6013917F" w:rsidR="002B2436" w:rsidRPr="0009512A" w:rsidRDefault="002B2436" w:rsidP="002B2436">
      <w:pPr>
        <w:pStyle w:val="FootnoteText"/>
        <w:spacing w:line="276" w:lineRule="auto"/>
        <w:jc w:val="both"/>
        <w:rPr>
          <w:rFonts w:cs="Arial"/>
          <w:b/>
          <w:sz w:val="22"/>
          <w:szCs w:val="22"/>
        </w:rPr>
      </w:pPr>
      <w:r w:rsidRPr="0009512A">
        <w:rPr>
          <w:rFonts w:cs="Arial"/>
          <w:b/>
          <w:sz w:val="22"/>
          <w:szCs w:val="22"/>
        </w:rPr>
        <w:t>Chairperson: Economic, Environment, Agriculture and Rural Development Portfolio Committee</w:t>
      </w:r>
    </w:p>
    <w:p w14:paraId="449902D8" w14:textId="14026A61" w:rsidR="00625B74" w:rsidRPr="000B4F48" w:rsidRDefault="002B2436" w:rsidP="000B4F48">
      <w:pPr>
        <w:pStyle w:val="FootnoteText"/>
        <w:spacing w:line="276" w:lineRule="auto"/>
        <w:rPr>
          <w:rFonts w:cs="Arial"/>
          <w:b/>
          <w:sz w:val="22"/>
          <w:szCs w:val="22"/>
        </w:rPr>
      </w:pPr>
      <w:r w:rsidRPr="0009512A">
        <w:rPr>
          <w:rFonts w:cs="Arial"/>
          <w:b/>
          <w:sz w:val="22"/>
          <w:szCs w:val="22"/>
        </w:rPr>
        <w:t xml:space="preserve">Gauteng Provincial Legislature </w:t>
      </w:r>
    </w:p>
    <w:sectPr w:rsidR="00625B74" w:rsidRPr="000B4F48" w:rsidSect="003D5B95">
      <w:footerReference w:type="default" r:id="rId16"/>
      <w:pgSz w:w="11906" w:h="16838"/>
      <w:pgMar w:top="709" w:right="1133" w:bottom="851" w:left="1440" w:header="708" w:footer="1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9E1C" w14:textId="77777777" w:rsidR="00FA0FF8" w:rsidRDefault="00FA0FF8" w:rsidP="00977162">
      <w:r>
        <w:separator/>
      </w:r>
    </w:p>
  </w:endnote>
  <w:endnote w:type="continuationSeparator" w:id="0">
    <w:p w14:paraId="1D582D28" w14:textId="77777777" w:rsidR="00FA0FF8" w:rsidRDefault="00FA0FF8" w:rsidP="0097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Futura Condensed">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780761"/>
      <w:docPartObj>
        <w:docPartGallery w:val="Page Numbers (Bottom of Page)"/>
        <w:docPartUnique/>
      </w:docPartObj>
    </w:sdtPr>
    <w:sdtEndPr>
      <w:rPr>
        <w:noProof/>
      </w:rPr>
    </w:sdtEndPr>
    <w:sdtContent>
      <w:p w14:paraId="5A87B8CF" w14:textId="798EE568" w:rsidR="00ED208F" w:rsidRPr="009F2470" w:rsidRDefault="00ED208F" w:rsidP="00214A7B">
        <w:pPr>
          <w:pStyle w:val="Footer"/>
          <w:pBdr>
            <w:bottom w:val="single" w:sz="6" w:space="1" w:color="auto"/>
          </w:pBdr>
          <w:jc w:val="both"/>
          <w:rPr>
            <w:sz w:val="16"/>
            <w:szCs w:val="16"/>
          </w:rPr>
        </w:pPr>
        <w:r w:rsidRPr="009F2470">
          <w:rPr>
            <w:b/>
            <w:sz w:val="16"/>
            <w:szCs w:val="16"/>
          </w:rPr>
          <w:t>Committee Oversight Report on Budget Vote 11 for the 20</w:t>
        </w:r>
        <w:r>
          <w:rPr>
            <w:b/>
            <w:sz w:val="16"/>
            <w:szCs w:val="16"/>
          </w:rPr>
          <w:t>2</w:t>
        </w:r>
        <w:r w:rsidR="0004205B">
          <w:rPr>
            <w:b/>
            <w:sz w:val="16"/>
            <w:szCs w:val="16"/>
          </w:rPr>
          <w:t>2</w:t>
        </w:r>
        <w:r w:rsidRPr="009F2470">
          <w:rPr>
            <w:b/>
            <w:sz w:val="16"/>
            <w:szCs w:val="16"/>
          </w:rPr>
          <w:t>/</w:t>
        </w:r>
        <w:r>
          <w:rPr>
            <w:b/>
            <w:sz w:val="16"/>
            <w:szCs w:val="16"/>
          </w:rPr>
          <w:t>2</w:t>
        </w:r>
        <w:r w:rsidR="0004205B">
          <w:rPr>
            <w:b/>
            <w:sz w:val="16"/>
            <w:szCs w:val="16"/>
          </w:rPr>
          <w:t>3</w:t>
        </w:r>
        <w:r w:rsidRPr="009F2470">
          <w:rPr>
            <w:b/>
            <w:sz w:val="16"/>
            <w:szCs w:val="16"/>
          </w:rPr>
          <w:t xml:space="preserve"> financial year over the Gauteng Department of Agriculture and Rural Development of the Appropriation Bill</w:t>
        </w:r>
      </w:p>
      <w:p w14:paraId="23C9C427" w14:textId="1B74D7BB" w:rsidR="00ED208F" w:rsidRDefault="00ED208F">
        <w:pPr>
          <w:pStyle w:val="Footer"/>
          <w:jc w:val="right"/>
        </w:pPr>
        <w:r>
          <w:fldChar w:fldCharType="begin"/>
        </w:r>
        <w:r>
          <w:instrText xml:space="preserve"> PAGE   \* MERGEFORMAT </w:instrText>
        </w:r>
        <w:r>
          <w:fldChar w:fldCharType="separate"/>
        </w:r>
        <w:r w:rsidR="006F5A24">
          <w:rPr>
            <w:noProof/>
          </w:rPr>
          <w:t>16</w:t>
        </w:r>
        <w:r>
          <w:rPr>
            <w:noProof/>
          </w:rPr>
          <w:fldChar w:fldCharType="end"/>
        </w:r>
        <w:r>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8192B" w14:textId="77777777" w:rsidR="00FA0FF8" w:rsidRDefault="00FA0FF8" w:rsidP="00977162">
      <w:r>
        <w:separator/>
      </w:r>
    </w:p>
  </w:footnote>
  <w:footnote w:type="continuationSeparator" w:id="0">
    <w:p w14:paraId="0F16406A" w14:textId="77777777" w:rsidR="00FA0FF8" w:rsidRDefault="00FA0FF8" w:rsidP="00977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8FA"/>
    <w:multiLevelType w:val="multilevel"/>
    <w:tmpl w:val="B652FA82"/>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1B955B3"/>
    <w:multiLevelType w:val="hybridMultilevel"/>
    <w:tmpl w:val="4F664F24"/>
    <w:lvl w:ilvl="0" w:tplc="89C006DA">
      <w:start w:val="1"/>
      <w:numFmt w:val="decimal"/>
      <w:lvlText w:val="%1."/>
      <w:lvlJc w:val="left"/>
      <w:pPr>
        <w:ind w:left="720" w:hanging="360"/>
      </w:pPr>
      <w:rPr>
        <w:rFonts w:cs="Times New Roman"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7C3F95"/>
    <w:multiLevelType w:val="hybridMultilevel"/>
    <w:tmpl w:val="8E34D67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A5252A"/>
    <w:multiLevelType w:val="hybridMultilevel"/>
    <w:tmpl w:val="EF8C54F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457968"/>
    <w:multiLevelType w:val="hybridMultilevel"/>
    <w:tmpl w:val="982EC94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1C472E"/>
    <w:multiLevelType w:val="hybridMultilevel"/>
    <w:tmpl w:val="E3F83F86"/>
    <w:lvl w:ilvl="0" w:tplc="82E63E78">
      <w:start w:val="1"/>
      <w:numFmt w:val="bullet"/>
      <w:lvlText w:val="•"/>
      <w:lvlJc w:val="left"/>
      <w:pPr>
        <w:tabs>
          <w:tab w:val="num" w:pos="720"/>
        </w:tabs>
        <w:ind w:left="720" w:hanging="360"/>
      </w:pPr>
      <w:rPr>
        <w:rFonts w:ascii="Arial" w:hAnsi="Arial" w:hint="default"/>
      </w:rPr>
    </w:lvl>
    <w:lvl w:ilvl="1" w:tplc="D98456C6" w:tentative="1">
      <w:start w:val="1"/>
      <w:numFmt w:val="bullet"/>
      <w:lvlText w:val="•"/>
      <w:lvlJc w:val="left"/>
      <w:pPr>
        <w:tabs>
          <w:tab w:val="num" w:pos="1440"/>
        </w:tabs>
        <w:ind w:left="1440" w:hanging="360"/>
      </w:pPr>
      <w:rPr>
        <w:rFonts w:ascii="Arial" w:hAnsi="Arial" w:hint="default"/>
      </w:rPr>
    </w:lvl>
    <w:lvl w:ilvl="2" w:tplc="71CE8AD2" w:tentative="1">
      <w:start w:val="1"/>
      <w:numFmt w:val="bullet"/>
      <w:lvlText w:val="•"/>
      <w:lvlJc w:val="left"/>
      <w:pPr>
        <w:tabs>
          <w:tab w:val="num" w:pos="2160"/>
        </w:tabs>
        <w:ind w:left="2160" w:hanging="360"/>
      </w:pPr>
      <w:rPr>
        <w:rFonts w:ascii="Arial" w:hAnsi="Arial" w:hint="default"/>
      </w:rPr>
    </w:lvl>
    <w:lvl w:ilvl="3" w:tplc="31167B3E" w:tentative="1">
      <w:start w:val="1"/>
      <w:numFmt w:val="bullet"/>
      <w:lvlText w:val="•"/>
      <w:lvlJc w:val="left"/>
      <w:pPr>
        <w:tabs>
          <w:tab w:val="num" w:pos="2880"/>
        </w:tabs>
        <w:ind w:left="2880" w:hanging="360"/>
      </w:pPr>
      <w:rPr>
        <w:rFonts w:ascii="Arial" w:hAnsi="Arial" w:hint="default"/>
      </w:rPr>
    </w:lvl>
    <w:lvl w:ilvl="4" w:tplc="674A0F24" w:tentative="1">
      <w:start w:val="1"/>
      <w:numFmt w:val="bullet"/>
      <w:lvlText w:val="•"/>
      <w:lvlJc w:val="left"/>
      <w:pPr>
        <w:tabs>
          <w:tab w:val="num" w:pos="3600"/>
        </w:tabs>
        <w:ind w:left="3600" w:hanging="360"/>
      </w:pPr>
      <w:rPr>
        <w:rFonts w:ascii="Arial" w:hAnsi="Arial" w:hint="default"/>
      </w:rPr>
    </w:lvl>
    <w:lvl w:ilvl="5" w:tplc="2F984C58" w:tentative="1">
      <w:start w:val="1"/>
      <w:numFmt w:val="bullet"/>
      <w:lvlText w:val="•"/>
      <w:lvlJc w:val="left"/>
      <w:pPr>
        <w:tabs>
          <w:tab w:val="num" w:pos="4320"/>
        </w:tabs>
        <w:ind w:left="4320" w:hanging="360"/>
      </w:pPr>
      <w:rPr>
        <w:rFonts w:ascii="Arial" w:hAnsi="Arial" w:hint="default"/>
      </w:rPr>
    </w:lvl>
    <w:lvl w:ilvl="6" w:tplc="231A1956" w:tentative="1">
      <w:start w:val="1"/>
      <w:numFmt w:val="bullet"/>
      <w:lvlText w:val="•"/>
      <w:lvlJc w:val="left"/>
      <w:pPr>
        <w:tabs>
          <w:tab w:val="num" w:pos="5040"/>
        </w:tabs>
        <w:ind w:left="5040" w:hanging="360"/>
      </w:pPr>
      <w:rPr>
        <w:rFonts w:ascii="Arial" w:hAnsi="Arial" w:hint="default"/>
      </w:rPr>
    </w:lvl>
    <w:lvl w:ilvl="7" w:tplc="55A2B322" w:tentative="1">
      <w:start w:val="1"/>
      <w:numFmt w:val="bullet"/>
      <w:lvlText w:val="•"/>
      <w:lvlJc w:val="left"/>
      <w:pPr>
        <w:tabs>
          <w:tab w:val="num" w:pos="5760"/>
        </w:tabs>
        <w:ind w:left="5760" w:hanging="360"/>
      </w:pPr>
      <w:rPr>
        <w:rFonts w:ascii="Arial" w:hAnsi="Arial" w:hint="default"/>
      </w:rPr>
    </w:lvl>
    <w:lvl w:ilvl="8" w:tplc="C21896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A54CD5"/>
    <w:multiLevelType w:val="hybridMultilevel"/>
    <w:tmpl w:val="ADD67D7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D1517D0"/>
    <w:multiLevelType w:val="multilevel"/>
    <w:tmpl w:val="60341B26"/>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21608C0"/>
    <w:multiLevelType w:val="hybridMultilevel"/>
    <w:tmpl w:val="270C5D8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4D61AF1"/>
    <w:multiLevelType w:val="multilevel"/>
    <w:tmpl w:val="CA6E9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0" w15:restartNumberingAfterBreak="0">
    <w:nsid w:val="151924BE"/>
    <w:multiLevelType w:val="hybridMultilevel"/>
    <w:tmpl w:val="8B6652C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5E47780"/>
    <w:multiLevelType w:val="hybridMultilevel"/>
    <w:tmpl w:val="9ACC183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9657F39"/>
    <w:multiLevelType w:val="multilevel"/>
    <w:tmpl w:val="EAAC829E"/>
    <w:lvl w:ilvl="0">
      <w:start w:val="1"/>
      <w:numFmt w:val="decimal"/>
      <w:lvlText w:val="%1."/>
      <w:lvlJc w:val="left"/>
      <w:pPr>
        <w:ind w:left="1080" w:hanging="72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540707"/>
    <w:multiLevelType w:val="hybridMultilevel"/>
    <w:tmpl w:val="9FBC717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9155270"/>
    <w:multiLevelType w:val="multilevel"/>
    <w:tmpl w:val="B1520E48"/>
    <w:lvl w:ilvl="0">
      <w:start w:val="9"/>
      <w:numFmt w:val="decimal"/>
      <w:lvlText w:val="%1"/>
      <w:lvlJc w:val="left"/>
      <w:pPr>
        <w:ind w:left="360" w:hanging="360"/>
      </w:pPr>
      <w:rPr>
        <w:rFonts w:cs="Arial" w:hint="default"/>
        <w:b/>
        <w:sz w:val="22"/>
      </w:rPr>
    </w:lvl>
    <w:lvl w:ilvl="1">
      <w:start w:val="2"/>
      <w:numFmt w:val="decimal"/>
      <w:lvlText w:val="%1.%2"/>
      <w:lvlJc w:val="left"/>
      <w:pPr>
        <w:ind w:left="360" w:hanging="360"/>
      </w:pPr>
      <w:rPr>
        <w:rFonts w:cs="Arial" w:hint="default"/>
        <w:b/>
        <w:sz w:val="22"/>
      </w:rPr>
    </w:lvl>
    <w:lvl w:ilvl="2">
      <w:start w:val="1"/>
      <w:numFmt w:val="decimal"/>
      <w:lvlText w:val="%1.%2.%3"/>
      <w:lvlJc w:val="left"/>
      <w:pPr>
        <w:ind w:left="720" w:hanging="720"/>
      </w:pPr>
      <w:rPr>
        <w:rFonts w:cs="Arial" w:hint="default"/>
        <w:b/>
        <w:sz w:val="22"/>
      </w:rPr>
    </w:lvl>
    <w:lvl w:ilvl="3">
      <w:start w:val="1"/>
      <w:numFmt w:val="decimal"/>
      <w:lvlText w:val="%1.%2.%3.%4"/>
      <w:lvlJc w:val="left"/>
      <w:pPr>
        <w:ind w:left="720" w:hanging="720"/>
      </w:pPr>
      <w:rPr>
        <w:rFonts w:cs="Arial" w:hint="default"/>
        <w:b/>
        <w:sz w:val="22"/>
      </w:rPr>
    </w:lvl>
    <w:lvl w:ilvl="4">
      <w:start w:val="1"/>
      <w:numFmt w:val="decimal"/>
      <w:lvlText w:val="%1.%2.%3.%4.%5"/>
      <w:lvlJc w:val="left"/>
      <w:pPr>
        <w:ind w:left="1080" w:hanging="1080"/>
      </w:pPr>
      <w:rPr>
        <w:rFonts w:cs="Arial" w:hint="default"/>
        <w:b/>
        <w:sz w:val="22"/>
      </w:rPr>
    </w:lvl>
    <w:lvl w:ilvl="5">
      <w:start w:val="1"/>
      <w:numFmt w:val="decimal"/>
      <w:lvlText w:val="%1.%2.%3.%4.%5.%6"/>
      <w:lvlJc w:val="left"/>
      <w:pPr>
        <w:ind w:left="1080" w:hanging="1080"/>
      </w:pPr>
      <w:rPr>
        <w:rFonts w:cs="Arial" w:hint="default"/>
        <w:b/>
        <w:sz w:val="22"/>
      </w:rPr>
    </w:lvl>
    <w:lvl w:ilvl="6">
      <w:start w:val="1"/>
      <w:numFmt w:val="decimal"/>
      <w:lvlText w:val="%1.%2.%3.%4.%5.%6.%7"/>
      <w:lvlJc w:val="left"/>
      <w:pPr>
        <w:ind w:left="1440" w:hanging="1440"/>
      </w:pPr>
      <w:rPr>
        <w:rFonts w:cs="Arial" w:hint="default"/>
        <w:b/>
        <w:sz w:val="22"/>
      </w:rPr>
    </w:lvl>
    <w:lvl w:ilvl="7">
      <w:start w:val="1"/>
      <w:numFmt w:val="decimal"/>
      <w:lvlText w:val="%1.%2.%3.%4.%5.%6.%7.%8"/>
      <w:lvlJc w:val="left"/>
      <w:pPr>
        <w:ind w:left="1440" w:hanging="1440"/>
      </w:pPr>
      <w:rPr>
        <w:rFonts w:cs="Arial" w:hint="default"/>
        <w:b/>
        <w:sz w:val="22"/>
      </w:rPr>
    </w:lvl>
    <w:lvl w:ilvl="8">
      <w:start w:val="1"/>
      <w:numFmt w:val="decimal"/>
      <w:lvlText w:val="%1.%2.%3.%4.%5.%6.%7.%8.%9"/>
      <w:lvlJc w:val="left"/>
      <w:pPr>
        <w:ind w:left="1800" w:hanging="1800"/>
      </w:pPr>
      <w:rPr>
        <w:rFonts w:cs="Arial" w:hint="default"/>
        <w:b/>
        <w:sz w:val="22"/>
      </w:rPr>
    </w:lvl>
  </w:abstractNum>
  <w:abstractNum w:abstractNumId="15" w15:restartNumberingAfterBreak="0">
    <w:nsid w:val="2D2B790D"/>
    <w:multiLevelType w:val="hybridMultilevel"/>
    <w:tmpl w:val="F34AEE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5CC0ADC8">
      <w:start w:val="1"/>
      <w:numFmt w:val="decimal"/>
      <w:lvlText w:val="%4."/>
      <w:lvlJc w:val="left"/>
      <w:pPr>
        <w:tabs>
          <w:tab w:val="num" w:pos="2880"/>
        </w:tabs>
        <w:ind w:left="2880" w:hanging="360"/>
      </w:pPr>
      <w:rPr>
        <w:rFonts w:ascii="Arial" w:eastAsia="Calibri" w:hAnsi="Arial" w:cs="Arial"/>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EC878F8"/>
    <w:multiLevelType w:val="multilevel"/>
    <w:tmpl w:val="37B0ABDA"/>
    <w:lvl w:ilvl="0">
      <w:start w:val="9"/>
      <w:numFmt w:val="decimal"/>
      <w:lvlText w:val="%1"/>
      <w:lvlJc w:val="left"/>
      <w:pPr>
        <w:ind w:left="360" w:hanging="360"/>
      </w:pPr>
      <w:rPr>
        <w:rFonts w:hint="default"/>
        <w:b w:val="0"/>
      </w:rPr>
    </w:lvl>
    <w:lvl w:ilvl="1">
      <w:start w:val="2"/>
      <w:numFmt w:val="decimal"/>
      <w:lvlText w:val="%1.%2"/>
      <w:lvlJc w:val="left"/>
      <w:pPr>
        <w:ind w:left="990" w:hanging="360"/>
      </w:pPr>
      <w:rPr>
        <w:rFonts w:hint="default"/>
        <w:b w:val="0"/>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230" w:hanging="1080"/>
      </w:pPr>
      <w:rPr>
        <w:rFonts w:hint="default"/>
        <w:b w:val="0"/>
      </w:rPr>
    </w:lvl>
    <w:lvl w:ilvl="6">
      <w:start w:val="1"/>
      <w:numFmt w:val="decimal"/>
      <w:lvlText w:val="%1.%2.%3.%4.%5.%6.%7"/>
      <w:lvlJc w:val="left"/>
      <w:pPr>
        <w:ind w:left="5220" w:hanging="1440"/>
      </w:pPr>
      <w:rPr>
        <w:rFonts w:hint="default"/>
        <w:b w:val="0"/>
      </w:rPr>
    </w:lvl>
    <w:lvl w:ilvl="7">
      <w:start w:val="1"/>
      <w:numFmt w:val="decimal"/>
      <w:lvlText w:val="%1.%2.%3.%4.%5.%6.%7.%8"/>
      <w:lvlJc w:val="left"/>
      <w:pPr>
        <w:ind w:left="5850" w:hanging="1440"/>
      </w:pPr>
      <w:rPr>
        <w:rFonts w:hint="default"/>
        <w:b w:val="0"/>
      </w:rPr>
    </w:lvl>
    <w:lvl w:ilvl="8">
      <w:start w:val="1"/>
      <w:numFmt w:val="decimal"/>
      <w:lvlText w:val="%1.%2.%3.%4.%5.%6.%7.%8.%9"/>
      <w:lvlJc w:val="left"/>
      <w:pPr>
        <w:ind w:left="6840" w:hanging="1800"/>
      </w:pPr>
      <w:rPr>
        <w:rFonts w:hint="default"/>
        <w:b w:val="0"/>
      </w:rPr>
    </w:lvl>
  </w:abstractNum>
  <w:abstractNum w:abstractNumId="17" w15:restartNumberingAfterBreak="0">
    <w:nsid w:val="31874CCC"/>
    <w:multiLevelType w:val="multilevel"/>
    <w:tmpl w:val="CFFC96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DD6020"/>
    <w:multiLevelType w:val="hybridMultilevel"/>
    <w:tmpl w:val="DDA81E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43C1837"/>
    <w:multiLevelType w:val="hybridMultilevel"/>
    <w:tmpl w:val="32C65E3E"/>
    <w:lvl w:ilvl="0" w:tplc="E7809CAC">
      <w:start w:val="6"/>
      <w:numFmt w:val="decimal"/>
      <w:lvlText w:val="%1."/>
      <w:lvlJc w:val="left"/>
      <w:pPr>
        <w:ind w:left="720" w:hanging="360"/>
      </w:pPr>
      <w:rPr>
        <w:rFonts w:hint="default"/>
        <w:b/>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449073F"/>
    <w:multiLevelType w:val="hybridMultilevel"/>
    <w:tmpl w:val="53B0E3B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BA559B1"/>
    <w:multiLevelType w:val="hybridMultilevel"/>
    <w:tmpl w:val="65144FE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BAE43D5"/>
    <w:multiLevelType w:val="hybridMultilevel"/>
    <w:tmpl w:val="F38616E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E5D2C88"/>
    <w:multiLevelType w:val="hybridMultilevel"/>
    <w:tmpl w:val="52C22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F613C16"/>
    <w:multiLevelType w:val="multilevel"/>
    <w:tmpl w:val="00AC3636"/>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0925C59"/>
    <w:multiLevelType w:val="hybridMultilevel"/>
    <w:tmpl w:val="FAD2125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CCC7A04"/>
    <w:multiLevelType w:val="hybridMultilevel"/>
    <w:tmpl w:val="59DA785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ED21C08"/>
    <w:multiLevelType w:val="hybridMultilevel"/>
    <w:tmpl w:val="B3F2E82A"/>
    <w:lvl w:ilvl="0" w:tplc="1C09000B">
      <w:start w:val="1"/>
      <w:numFmt w:val="bullet"/>
      <w:lvlText w:val=""/>
      <w:lvlJc w:val="left"/>
      <w:pPr>
        <w:ind w:left="720" w:hanging="360"/>
      </w:pPr>
      <w:rPr>
        <w:rFonts w:ascii="Wingdings" w:hAnsi="Wingdings" w:hint="default"/>
      </w:rPr>
    </w:lvl>
    <w:lvl w:ilvl="1" w:tplc="1994A582">
      <w:numFmt w:val="bullet"/>
      <w:lvlText w:val=""/>
      <w:lvlJc w:val="left"/>
      <w:pPr>
        <w:ind w:left="1440" w:hanging="360"/>
      </w:pPr>
      <w:rPr>
        <w:rFonts w:ascii="SymbolMT" w:eastAsia="SymbolMT" w:hAnsi="Calibri" w:cs="SymbolMT" w:hint="eastAsia"/>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EDE6781"/>
    <w:multiLevelType w:val="multilevel"/>
    <w:tmpl w:val="1D7201E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2A03D9"/>
    <w:multiLevelType w:val="hybridMultilevel"/>
    <w:tmpl w:val="4776E23E"/>
    <w:lvl w:ilvl="0" w:tplc="20F4BA1C">
      <w:start w:val="1"/>
      <w:numFmt w:val="decimal"/>
      <w:lvlText w:val="%1."/>
      <w:lvlJc w:val="left"/>
      <w:pPr>
        <w:ind w:left="720" w:hanging="360"/>
      </w:pPr>
      <w:rPr>
        <w:rFonts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1BF5048"/>
    <w:multiLevelType w:val="hybridMultilevel"/>
    <w:tmpl w:val="58C4AA1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1372A5"/>
    <w:multiLevelType w:val="hybridMultilevel"/>
    <w:tmpl w:val="00DE84F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15:restartNumberingAfterBreak="0">
    <w:nsid w:val="69425847"/>
    <w:multiLevelType w:val="hybridMultilevel"/>
    <w:tmpl w:val="F7AE9B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D482894"/>
    <w:multiLevelType w:val="hybridMultilevel"/>
    <w:tmpl w:val="C42E98D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DA8072B"/>
    <w:multiLevelType w:val="hybridMultilevel"/>
    <w:tmpl w:val="5E985AA4"/>
    <w:lvl w:ilvl="0" w:tplc="1C09000B">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5" w15:restartNumberingAfterBreak="0">
    <w:nsid w:val="6EF03A12"/>
    <w:multiLevelType w:val="multilevel"/>
    <w:tmpl w:val="0630A8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A31D99"/>
    <w:multiLevelType w:val="hybridMultilevel"/>
    <w:tmpl w:val="40B267EE"/>
    <w:lvl w:ilvl="0" w:tplc="08090017">
      <w:start w:val="1"/>
      <w:numFmt w:val="lowerLetter"/>
      <w:lvlText w:val="%1)"/>
      <w:lvlJc w:val="left"/>
      <w:pPr>
        <w:ind w:left="720" w:hanging="360"/>
      </w:pPr>
      <w:rPr>
        <w:rFonts w:hint="default"/>
        <w:b w:val="0"/>
      </w:rPr>
    </w:lvl>
    <w:lvl w:ilvl="1" w:tplc="9AC271C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D75FEE"/>
    <w:multiLevelType w:val="multilevel"/>
    <w:tmpl w:val="0DB8B092"/>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C337E40"/>
    <w:multiLevelType w:val="multilevel"/>
    <w:tmpl w:val="5B60FC5A"/>
    <w:lvl w:ilvl="0">
      <w:start w:val="8"/>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DE91F76"/>
    <w:multiLevelType w:val="hybridMultilevel"/>
    <w:tmpl w:val="583C7950"/>
    <w:lvl w:ilvl="0" w:tplc="1C09000B">
      <w:start w:val="1"/>
      <w:numFmt w:val="bullet"/>
      <w:lvlText w:val=""/>
      <w:lvlJc w:val="left"/>
      <w:pPr>
        <w:ind w:left="1170" w:hanging="360"/>
      </w:pPr>
      <w:rPr>
        <w:rFonts w:ascii="Wingdings" w:hAnsi="Wingdings" w:hint="default"/>
      </w:rPr>
    </w:lvl>
    <w:lvl w:ilvl="1" w:tplc="1C090003" w:tentative="1">
      <w:start w:val="1"/>
      <w:numFmt w:val="bullet"/>
      <w:lvlText w:val="o"/>
      <w:lvlJc w:val="left"/>
      <w:pPr>
        <w:ind w:left="1890" w:hanging="360"/>
      </w:pPr>
      <w:rPr>
        <w:rFonts w:ascii="Courier New" w:hAnsi="Courier New" w:cs="Courier New" w:hint="default"/>
      </w:rPr>
    </w:lvl>
    <w:lvl w:ilvl="2" w:tplc="1C090005" w:tentative="1">
      <w:start w:val="1"/>
      <w:numFmt w:val="bullet"/>
      <w:lvlText w:val=""/>
      <w:lvlJc w:val="left"/>
      <w:pPr>
        <w:ind w:left="2610" w:hanging="360"/>
      </w:pPr>
      <w:rPr>
        <w:rFonts w:ascii="Wingdings" w:hAnsi="Wingdings" w:hint="default"/>
      </w:rPr>
    </w:lvl>
    <w:lvl w:ilvl="3" w:tplc="1C090001" w:tentative="1">
      <w:start w:val="1"/>
      <w:numFmt w:val="bullet"/>
      <w:lvlText w:val=""/>
      <w:lvlJc w:val="left"/>
      <w:pPr>
        <w:ind w:left="3330" w:hanging="360"/>
      </w:pPr>
      <w:rPr>
        <w:rFonts w:ascii="Symbol" w:hAnsi="Symbol" w:hint="default"/>
      </w:rPr>
    </w:lvl>
    <w:lvl w:ilvl="4" w:tplc="1C090003" w:tentative="1">
      <w:start w:val="1"/>
      <w:numFmt w:val="bullet"/>
      <w:lvlText w:val="o"/>
      <w:lvlJc w:val="left"/>
      <w:pPr>
        <w:ind w:left="4050" w:hanging="360"/>
      </w:pPr>
      <w:rPr>
        <w:rFonts w:ascii="Courier New" w:hAnsi="Courier New" w:cs="Courier New" w:hint="default"/>
      </w:rPr>
    </w:lvl>
    <w:lvl w:ilvl="5" w:tplc="1C090005" w:tentative="1">
      <w:start w:val="1"/>
      <w:numFmt w:val="bullet"/>
      <w:lvlText w:val=""/>
      <w:lvlJc w:val="left"/>
      <w:pPr>
        <w:ind w:left="4770" w:hanging="360"/>
      </w:pPr>
      <w:rPr>
        <w:rFonts w:ascii="Wingdings" w:hAnsi="Wingdings" w:hint="default"/>
      </w:rPr>
    </w:lvl>
    <w:lvl w:ilvl="6" w:tplc="1C090001" w:tentative="1">
      <w:start w:val="1"/>
      <w:numFmt w:val="bullet"/>
      <w:lvlText w:val=""/>
      <w:lvlJc w:val="left"/>
      <w:pPr>
        <w:ind w:left="5490" w:hanging="360"/>
      </w:pPr>
      <w:rPr>
        <w:rFonts w:ascii="Symbol" w:hAnsi="Symbol" w:hint="default"/>
      </w:rPr>
    </w:lvl>
    <w:lvl w:ilvl="7" w:tplc="1C090003" w:tentative="1">
      <w:start w:val="1"/>
      <w:numFmt w:val="bullet"/>
      <w:lvlText w:val="o"/>
      <w:lvlJc w:val="left"/>
      <w:pPr>
        <w:ind w:left="6210" w:hanging="360"/>
      </w:pPr>
      <w:rPr>
        <w:rFonts w:ascii="Courier New" w:hAnsi="Courier New" w:cs="Courier New" w:hint="default"/>
      </w:rPr>
    </w:lvl>
    <w:lvl w:ilvl="8" w:tplc="1C090005" w:tentative="1">
      <w:start w:val="1"/>
      <w:numFmt w:val="bullet"/>
      <w:lvlText w:val=""/>
      <w:lvlJc w:val="left"/>
      <w:pPr>
        <w:ind w:left="6930" w:hanging="360"/>
      </w:pPr>
      <w:rPr>
        <w:rFonts w:ascii="Wingdings" w:hAnsi="Wingdings" w:hint="default"/>
      </w:rPr>
    </w:lvl>
  </w:abstractNum>
  <w:abstractNum w:abstractNumId="40" w15:restartNumberingAfterBreak="0">
    <w:nsid w:val="7E2D541A"/>
    <w:multiLevelType w:val="multilevel"/>
    <w:tmpl w:val="4CD883A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2"/>
  </w:num>
  <w:num w:numId="3">
    <w:abstractNumId w:val="34"/>
  </w:num>
  <w:num w:numId="4">
    <w:abstractNumId w:val="9"/>
  </w:num>
  <w:num w:numId="5">
    <w:abstractNumId w:val="4"/>
  </w:num>
  <w:num w:numId="6">
    <w:abstractNumId w:val="19"/>
  </w:num>
  <w:num w:numId="7">
    <w:abstractNumId w:val="5"/>
  </w:num>
  <w:num w:numId="8">
    <w:abstractNumId w:val="31"/>
  </w:num>
  <w:num w:numId="9">
    <w:abstractNumId w:val="7"/>
  </w:num>
  <w:num w:numId="10">
    <w:abstractNumId w:val="16"/>
  </w:num>
  <w:num w:numId="11">
    <w:abstractNumId w:val="23"/>
  </w:num>
  <w:num w:numId="12">
    <w:abstractNumId w:val="6"/>
  </w:num>
  <w:num w:numId="13">
    <w:abstractNumId w:val="3"/>
  </w:num>
  <w:num w:numId="14">
    <w:abstractNumId w:val="27"/>
  </w:num>
  <w:num w:numId="15">
    <w:abstractNumId w:val="13"/>
  </w:num>
  <w:num w:numId="16">
    <w:abstractNumId w:val="39"/>
  </w:num>
  <w:num w:numId="17">
    <w:abstractNumId w:val="20"/>
  </w:num>
  <w:num w:numId="18">
    <w:abstractNumId w:val="33"/>
  </w:num>
  <w:num w:numId="19">
    <w:abstractNumId w:val="21"/>
  </w:num>
  <w:num w:numId="20">
    <w:abstractNumId w:val="2"/>
  </w:num>
  <w:num w:numId="21">
    <w:abstractNumId w:val="29"/>
  </w:num>
  <w:num w:numId="22">
    <w:abstractNumId w:val="14"/>
  </w:num>
  <w:num w:numId="23">
    <w:abstractNumId w:val="18"/>
  </w:num>
  <w:num w:numId="24">
    <w:abstractNumId w:val="15"/>
  </w:num>
  <w:num w:numId="25">
    <w:abstractNumId w:val="37"/>
  </w:num>
  <w:num w:numId="26">
    <w:abstractNumId w:val="38"/>
  </w:num>
  <w:num w:numId="27">
    <w:abstractNumId w:val="0"/>
  </w:num>
  <w:num w:numId="28">
    <w:abstractNumId w:val="11"/>
  </w:num>
  <w:num w:numId="29">
    <w:abstractNumId w:val="30"/>
  </w:num>
  <w:num w:numId="30">
    <w:abstractNumId w:val="35"/>
  </w:num>
  <w:num w:numId="31">
    <w:abstractNumId w:val="36"/>
  </w:num>
  <w:num w:numId="32">
    <w:abstractNumId w:val="12"/>
  </w:num>
  <w:num w:numId="33">
    <w:abstractNumId w:val="26"/>
  </w:num>
  <w:num w:numId="34">
    <w:abstractNumId w:val="10"/>
  </w:num>
  <w:num w:numId="35">
    <w:abstractNumId w:val="22"/>
  </w:num>
  <w:num w:numId="36">
    <w:abstractNumId w:val="2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0"/>
  </w:num>
  <w:num w:numId="40">
    <w:abstractNumId w:val="28"/>
  </w:num>
  <w:num w:numId="41">
    <w:abstractNumId w:val="24"/>
  </w:num>
  <w:num w:numId="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106"/>
    <w:rsid w:val="00000ECF"/>
    <w:rsid w:val="000011F0"/>
    <w:rsid w:val="00003C37"/>
    <w:rsid w:val="00010198"/>
    <w:rsid w:val="0001143E"/>
    <w:rsid w:val="0001277D"/>
    <w:rsid w:val="00013FE1"/>
    <w:rsid w:val="00014C16"/>
    <w:rsid w:val="0001502A"/>
    <w:rsid w:val="00015718"/>
    <w:rsid w:val="000158CD"/>
    <w:rsid w:val="000179AB"/>
    <w:rsid w:val="00020C50"/>
    <w:rsid w:val="00023D7E"/>
    <w:rsid w:val="00027FAC"/>
    <w:rsid w:val="00030485"/>
    <w:rsid w:val="000308B2"/>
    <w:rsid w:val="00030C49"/>
    <w:rsid w:val="00032053"/>
    <w:rsid w:val="00033021"/>
    <w:rsid w:val="000336EA"/>
    <w:rsid w:val="00034110"/>
    <w:rsid w:val="00036746"/>
    <w:rsid w:val="00037DA1"/>
    <w:rsid w:val="00040A97"/>
    <w:rsid w:val="00041375"/>
    <w:rsid w:val="0004205B"/>
    <w:rsid w:val="000423D2"/>
    <w:rsid w:val="00042457"/>
    <w:rsid w:val="00047089"/>
    <w:rsid w:val="000479B3"/>
    <w:rsid w:val="0005265E"/>
    <w:rsid w:val="00055CB2"/>
    <w:rsid w:val="000637FD"/>
    <w:rsid w:val="00064E64"/>
    <w:rsid w:val="00064EFF"/>
    <w:rsid w:val="00070A81"/>
    <w:rsid w:val="00070C65"/>
    <w:rsid w:val="00071A18"/>
    <w:rsid w:val="00077647"/>
    <w:rsid w:val="000825DD"/>
    <w:rsid w:val="00083944"/>
    <w:rsid w:val="00084B2E"/>
    <w:rsid w:val="00084D07"/>
    <w:rsid w:val="00087906"/>
    <w:rsid w:val="00091C3B"/>
    <w:rsid w:val="000924FA"/>
    <w:rsid w:val="0009512A"/>
    <w:rsid w:val="00095D0B"/>
    <w:rsid w:val="0009616C"/>
    <w:rsid w:val="000975A6"/>
    <w:rsid w:val="000A0870"/>
    <w:rsid w:val="000A2BD9"/>
    <w:rsid w:val="000B017B"/>
    <w:rsid w:val="000B4F48"/>
    <w:rsid w:val="000B689D"/>
    <w:rsid w:val="000C0A65"/>
    <w:rsid w:val="000C2F47"/>
    <w:rsid w:val="000C4924"/>
    <w:rsid w:val="000D0418"/>
    <w:rsid w:val="000D4BA5"/>
    <w:rsid w:val="000D7EA3"/>
    <w:rsid w:val="000E03EE"/>
    <w:rsid w:val="000E429D"/>
    <w:rsid w:val="000F240B"/>
    <w:rsid w:val="000F2FEF"/>
    <w:rsid w:val="000F6F0E"/>
    <w:rsid w:val="000F70FA"/>
    <w:rsid w:val="000F72CB"/>
    <w:rsid w:val="001009F3"/>
    <w:rsid w:val="00100F9A"/>
    <w:rsid w:val="00102D32"/>
    <w:rsid w:val="00103F07"/>
    <w:rsid w:val="00105386"/>
    <w:rsid w:val="001115F3"/>
    <w:rsid w:val="00111A82"/>
    <w:rsid w:val="00112285"/>
    <w:rsid w:val="00113A04"/>
    <w:rsid w:val="001144E3"/>
    <w:rsid w:val="00117493"/>
    <w:rsid w:val="00121C03"/>
    <w:rsid w:val="001270AF"/>
    <w:rsid w:val="00131739"/>
    <w:rsid w:val="00132974"/>
    <w:rsid w:val="00133037"/>
    <w:rsid w:val="001349EE"/>
    <w:rsid w:val="00142C16"/>
    <w:rsid w:val="00145D8F"/>
    <w:rsid w:val="001460B6"/>
    <w:rsid w:val="0014754E"/>
    <w:rsid w:val="0014798E"/>
    <w:rsid w:val="00147E66"/>
    <w:rsid w:val="00162B6C"/>
    <w:rsid w:val="00164830"/>
    <w:rsid w:val="00164FC9"/>
    <w:rsid w:val="00170082"/>
    <w:rsid w:val="001703F2"/>
    <w:rsid w:val="00170A2E"/>
    <w:rsid w:val="00171231"/>
    <w:rsid w:val="00171C61"/>
    <w:rsid w:val="001732BD"/>
    <w:rsid w:val="0017368D"/>
    <w:rsid w:val="001740C4"/>
    <w:rsid w:val="00175A88"/>
    <w:rsid w:val="00182EC9"/>
    <w:rsid w:val="00183327"/>
    <w:rsid w:val="00184185"/>
    <w:rsid w:val="0018447A"/>
    <w:rsid w:val="001866D4"/>
    <w:rsid w:val="00191CDE"/>
    <w:rsid w:val="00191E74"/>
    <w:rsid w:val="001920DC"/>
    <w:rsid w:val="00194C37"/>
    <w:rsid w:val="00195630"/>
    <w:rsid w:val="00197034"/>
    <w:rsid w:val="001A1BCB"/>
    <w:rsid w:val="001A2FF7"/>
    <w:rsid w:val="001A3DF0"/>
    <w:rsid w:val="001A5738"/>
    <w:rsid w:val="001A60AD"/>
    <w:rsid w:val="001A7ACE"/>
    <w:rsid w:val="001A7C45"/>
    <w:rsid w:val="001B031E"/>
    <w:rsid w:val="001B2E1F"/>
    <w:rsid w:val="001B5D80"/>
    <w:rsid w:val="001C3D89"/>
    <w:rsid w:val="001C4671"/>
    <w:rsid w:val="001C48F4"/>
    <w:rsid w:val="001C4AE0"/>
    <w:rsid w:val="001C629A"/>
    <w:rsid w:val="001D01D6"/>
    <w:rsid w:val="001D2D3D"/>
    <w:rsid w:val="001E0322"/>
    <w:rsid w:val="001E1179"/>
    <w:rsid w:val="001E1448"/>
    <w:rsid w:val="001E2FE8"/>
    <w:rsid w:val="001E78FE"/>
    <w:rsid w:val="001E796F"/>
    <w:rsid w:val="001E7C46"/>
    <w:rsid w:val="001F0121"/>
    <w:rsid w:val="001F31B4"/>
    <w:rsid w:val="001F331C"/>
    <w:rsid w:val="001F4B6C"/>
    <w:rsid w:val="001F63DC"/>
    <w:rsid w:val="001F6AD1"/>
    <w:rsid w:val="00201B70"/>
    <w:rsid w:val="00202D4E"/>
    <w:rsid w:val="00203E13"/>
    <w:rsid w:val="002045B1"/>
    <w:rsid w:val="002052DC"/>
    <w:rsid w:val="0020556A"/>
    <w:rsid w:val="00205A0A"/>
    <w:rsid w:val="00207B66"/>
    <w:rsid w:val="0021217D"/>
    <w:rsid w:val="00214A7B"/>
    <w:rsid w:val="00214AB7"/>
    <w:rsid w:val="00214E3D"/>
    <w:rsid w:val="002158CC"/>
    <w:rsid w:val="002167FF"/>
    <w:rsid w:val="0022084E"/>
    <w:rsid w:val="002227E3"/>
    <w:rsid w:val="0022411E"/>
    <w:rsid w:val="00226EB1"/>
    <w:rsid w:val="00227A02"/>
    <w:rsid w:val="00230512"/>
    <w:rsid w:val="00231675"/>
    <w:rsid w:val="00235349"/>
    <w:rsid w:val="002360E4"/>
    <w:rsid w:val="002362A5"/>
    <w:rsid w:val="002378AE"/>
    <w:rsid w:val="002413C8"/>
    <w:rsid w:val="00241655"/>
    <w:rsid w:val="0024474E"/>
    <w:rsid w:val="00245372"/>
    <w:rsid w:val="002459F6"/>
    <w:rsid w:val="002474DA"/>
    <w:rsid w:val="00247CE5"/>
    <w:rsid w:val="00250987"/>
    <w:rsid w:val="0025154A"/>
    <w:rsid w:val="00252977"/>
    <w:rsid w:val="00252A9A"/>
    <w:rsid w:val="0025373A"/>
    <w:rsid w:val="0025408E"/>
    <w:rsid w:val="00255F15"/>
    <w:rsid w:val="00260050"/>
    <w:rsid w:val="002623C4"/>
    <w:rsid w:val="00262DA6"/>
    <w:rsid w:val="00263607"/>
    <w:rsid w:val="00264004"/>
    <w:rsid w:val="002661B2"/>
    <w:rsid w:val="002679F9"/>
    <w:rsid w:val="002717D9"/>
    <w:rsid w:val="0027357F"/>
    <w:rsid w:val="00276AC1"/>
    <w:rsid w:val="00281EC1"/>
    <w:rsid w:val="002823E3"/>
    <w:rsid w:val="00282928"/>
    <w:rsid w:val="0028392D"/>
    <w:rsid w:val="00285105"/>
    <w:rsid w:val="00285CF8"/>
    <w:rsid w:val="0029347B"/>
    <w:rsid w:val="00294752"/>
    <w:rsid w:val="00296652"/>
    <w:rsid w:val="002A01C4"/>
    <w:rsid w:val="002A0583"/>
    <w:rsid w:val="002A0F8B"/>
    <w:rsid w:val="002A29C3"/>
    <w:rsid w:val="002A2AC6"/>
    <w:rsid w:val="002A2E1A"/>
    <w:rsid w:val="002A4EDC"/>
    <w:rsid w:val="002A527C"/>
    <w:rsid w:val="002A60BA"/>
    <w:rsid w:val="002A73C8"/>
    <w:rsid w:val="002B0122"/>
    <w:rsid w:val="002B03EC"/>
    <w:rsid w:val="002B0A48"/>
    <w:rsid w:val="002B1F4A"/>
    <w:rsid w:val="002B2436"/>
    <w:rsid w:val="002B24BF"/>
    <w:rsid w:val="002B5765"/>
    <w:rsid w:val="002B576E"/>
    <w:rsid w:val="002B6388"/>
    <w:rsid w:val="002B674D"/>
    <w:rsid w:val="002C1E84"/>
    <w:rsid w:val="002C6D36"/>
    <w:rsid w:val="002D0EF6"/>
    <w:rsid w:val="002D173D"/>
    <w:rsid w:val="002D2A1B"/>
    <w:rsid w:val="002D2ADB"/>
    <w:rsid w:val="002D43FC"/>
    <w:rsid w:val="002D5A07"/>
    <w:rsid w:val="002E0C40"/>
    <w:rsid w:val="002E2769"/>
    <w:rsid w:val="002F22AD"/>
    <w:rsid w:val="002F362B"/>
    <w:rsid w:val="002F366A"/>
    <w:rsid w:val="002F5135"/>
    <w:rsid w:val="002F5FF4"/>
    <w:rsid w:val="002F60E7"/>
    <w:rsid w:val="002F79C7"/>
    <w:rsid w:val="002F7DEE"/>
    <w:rsid w:val="00300609"/>
    <w:rsid w:val="00302297"/>
    <w:rsid w:val="00303322"/>
    <w:rsid w:val="003065AF"/>
    <w:rsid w:val="003126BA"/>
    <w:rsid w:val="00314E85"/>
    <w:rsid w:val="00314F9E"/>
    <w:rsid w:val="00315730"/>
    <w:rsid w:val="00316001"/>
    <w:rsid w:val="00316D59"/>
    <w:rsid w:val="00317D9C"/>
    <w:rsid w:val="003240E2"/>
    <w:rsid w:val="00330EA8"/>
    <w:rsid w:val="003334D2"/>
    <w:rsid w:val="00334102"/>
    <w:rsid w:val="00335712"/>
    <w:rsid w:val="00337175"/>
    <w:rsid w:val="0034181A"/>
    <w:rsid w:val="00341CA5"/>
    <w:rsid w:val="00347FB0"/>
    <w:rsid w:val="003520BB"/>
    <w:rsid w:val="0035254D"/>
    <w:rsid w:val="00354366"/>
    <w:rsid w:val="00361455"/>
    <w:rsid w:val="0036273F"/>
    <w:rsid w:val="00363C18"/>
    <w:rsid w:val="003647D2"/>
    <w:rsid w:val="0036786B"/>
    <w:rsid w:val="00370731"/>
    <w:rsid w:val="003707C9"/>
    <w:rsid w:val="00370EF6"/>
    <w:rsid w:val="00371BFD"/>
    <w:rsid w:val="00371C9F"/>
    <w:rsid w:val="00375978"/>
    <w:rsid w:val="0037634B"/>
    <w:rsid w:val="00380A38"/>
    <w:rsid w:val="00383BD4"/>
    <w:rsid w:val="003871E7"/>
    <w:rsid w:val="00387650"/>
    <w:rsid w:val="00387EC9"/>
    <w:rsid w:val="00394874"/>
    <w:rsid w:val="00394D3A"/>
    <w:rsid w:val="003951CC"/>
    <w:rsid w:val="0039539B"/>
    <w:rsid w:val="00395E08"/>
    <w:rsid w:val="003A03F1"/>
    <w:rsid w:val="003A04DC"/>
    <w:rsid w:val="003A1B16"/>
    <w:rsid w:val="003A31FB"/>
    <w:rsid w:val="003A328F"/>
    <w:rsid w:val="003A5A8F"/>
    <w:rsid w:val="003A74FF"/>
    <w:rsid w:val="003C193B"/>
    <w:rsid w:val="003C4078"/>
    <w:rsid w:val="003C4372"/>
    <w:rsid w:val="003C4731"/>
    <w:rsid w:val="003C4C52"/>
    <w:rsid w:val="003C5E78"/>
    <w:rsid w:val="003C62E3"/>
    <w:rsid w:val="003D12B2"/>
    <w:rsid w:val="003D192F"/>
    <w:rsid w:val="003D21B1"/>
    <w:rsid w:val="003D363F"/>
    <w:rsid w:val="003D3B50"/>
    <w:rsid w:val="003D5522"/>
    <w:rsid w:val="003D563E"/>
    <w:rsid w:val="003D5B95"/>
    <w:rsid w:val="003D5EFC"/>
    <w:rsid w:val="003E10E0"/>
    <w:rsid w:val="003E12CF"/>
    <w:rsid w:val="003E3F62"/>
    <w:rsid w:val="003E6720"/>
    <w:rsid w:val="003E6F66"/>
    <w:rsid w:val="003F0B52"/>
    <w:rsid w:val="003F13D9"/>
    <w:rsid w:val="003F5AA6"/>
    <w:rsid w:val="003F67BE"/>
    <w:rsid w:val="00401D9A"/>
    <w:rsid w:val="00401E7D"/>
    <w:rsid w:val="00402332"/>
    <w:rsid w:val="00403F9A"/>
    <w:rsid w:val="004049BD"/>
    <w:rsid w:val="004074DA"/>
    <w:rsid w:val="00411EEC"/>
    <w:rsid w:val="00412433"/>
    <w:rsid w:val="00412F45"/>
    <w:rsid w:val="00414146"/>
    <w:rsid w:val="00414BA9"/>
    <w:rsid w:val="00415C92"/>
    <w:rsid w:val="0041614B"/>
    <w:rsid w:val="00420755"/>
    <w:rsid w:val="00420804"/>
    <w:rsid w:val="00420F0A"/>
    <w:rsid w:val="004229D9"/>
    <w:rsid w:val="00422E88"/>
    <w:rsid w:val="00424BEE"/>
    <w:rsid w:val="004251A6"/>
    <w:rsid w:val="004260D1"/>
    <w:rsid w:val="004263E8"/>
    <w:rsid w:val="00431138"/>
    <w:rsid w:val="00431B12"/>
    <w:rsid w:val="004325D0"/>
    <w:rsid w:val="00436BB5"/>
    <w:rsid w:val="004370D4"/>
    <w:rsid w:val="00437297"/>
    <w:rsid w:val="00440033"/>
    <w:rsid w:val="004424DD"/>
    <w:rsid w:val="0044250F"/>
    <w:rsid w:val="00442898"/>
    <w:rsid w:val="00442FAD"/>
    <w:rsid w:val="00445AA4"/>
    <w:rsid w:val="00446471"/>
    <w:rsid w:val="00451457"/>
    <w:rsid w:val="00451832"/>
    <w:rsid w:val="00453CC4"/>
    <w:rsid w:val="00454B7E"/>
    <w:rsid w:val="00456619"/>
    <w:rsid w:val="0046129F"/>
    <w:rsid w:val="0046564C"/>
    <w:rsid w:val="00465DD0"/>
    <w:rsid w:val="0047078B"/>
    <w:rsid w:val="00470B57"/>
    <w:rsid w:val="0047752F"/>
    <w:rsid w:val="004777CA"/>
    <w:rsid w:val="00481209"/>
    <w:rsid w:val="0048189B"/>
    <w:rsid w:val="00483600"/>
    <w:rsid w:val="004855E0"/>
    <w:rsid w:val="00485D5F"/>
    <w:rsid w:val="004874F1"/>
    <w:rsid w:val="004879A2"/>
    <w:rsid w:val="00492881"/>
    <w:rsid w:val="00492E75"/>
    <w:rsid w:val="00493EB9"/>
    <w:rsid w:val="0049503C"/>
    <w:rsid w:val="00497F8D"/>
    <w:rsid w:val="004A00A9"/>
    <w:rsid w:val="004A5690"/>
    <w:rsid w:val="004A7C3B"/>
    <w:rsid w:val="004B060D"/>
    <w:rsid w:val="004B0B62"/>
    <w:rsid w:val="004B24D3"/>
    <w:rsid w:val="004B4B37"/>
    <w:rsid w:val="004B4BFE"/>
    <w:rsid w:val="004B5639"/>
    <w:rsid w:val="004B6887"/>
    <w:rsid w:val="004B726B"/>
    <w:rsid w:val="004C0964"/>
    <w:rsid w:val="004C5537"/>
    <w:rsid w:val="004C7564"/>
    <w:rsid w:val="004D0057"/>
    <w:rsid w:val="004D063B"/>
    <w:rsid w:val="004D3583"/>
    <w:rsid w:val="004D404D"/>
    <w:rsid w:val="004D6C21"/>
    <w:rsid w:val="004F0689"/>
    <w:rsid w:val="004F57BE"/>
    <w:rsid w:val="004F59D4"/>
    <w:rsid w:val="004F6392"/>
    <w:rsid w:val="004F781B"/>
    <w:rsid w:val="00501378"/>
    <w:rsid w:val="00501988"/>
    <w:rsid w:val="00501CCC"/>
    <w:rsid w:val="00502FB5"/>
    <w:rsid w:val="00503AB9"/>
    <w:rsid w:val="005062A2"/>
    <w:rsid w:val="0051086F"/>
    <w:rsid w:val="00510CE9"/>
    <w:rsid w:val="00511511"/>
    <w:rsid w:val="005128CC"/>
    <w:rsid w:val="00513605"/>
    <w:rsid w:val="00514BE5"/>
    <w:rsid w:val="00515D0B"/>
    <w:rsid w:val="00521891"/>
    <w:rsid w:val="00521B76"/>
    <w:rsid w:val="00521C40"/>
    <w:rsid w:val="00523C78"/>
    <w:rsid w:val="00523C8A"/>
    <w:rsid w:val="00524348"/>
    <w:rsid w:val="005279F1"/>
    <w:rsid w:val="0053048E"/>
    <w:rsid w:val="00531066"/>
    <w:rsid w:val="00534C6C"/>
    <w:rsid w:val="00534E85"/>
    <w:rsid w:val="0053535D"/>
    <w:rsid w:val="00540BD4"/>
    <w:rsid w:val="00542123"/>
    <w:rsid w:val="005428E9"/>
    <w:rsid w:val="00542B41"/>
    <w:rsid w:val="00542E37"/>
    <w:rsid w:val="00542E71"/>
    <w:rsid w:val="005457DD"/>
    <w:rsid w:val="00545BB9"/>
    <w:rsid w:val="00546FC1"/>
    <w:rsid w:val="0055153A"/>
    <w:rsid w:val="00551836"/>
    <w:rsid w:val="00553F92"/>
    <w:rsid w:val="005568F1"/>
    <w:rsid w:val="005601C3"/>
    <w:rsid w:val="005642DC"/>
    <w:rsid w:val="00564775"/>
    <w:rsid w:val="005718EF"/>
    <w:rsid w:val="005735E9"/>
    <w:rsid w:val="00576F5B"/>
    <w:rsid w:val="00577497"/>
    <w:rsid w:val="00580C99"/>
    <w:rsid w:val="00582774"/>
    <w:rsid w:val="00583749"/>
    <w:rsid w:val="005907EC"/>
    <w:rsid w:val="00592147"/>
    <w:rsid w:val="00592206"/>
    <w:rsid w:val="005929FA"/>
    <w:rsid w:val="00593AC2"/>
    <w:rsid w:val="00594106"/>
    <w:rsid w:val="00596B08"/>
    <w:rsid w:val="005A2578"/>
    <w:rsid w:val="005A265C"/>
    <w:rsid w:val="005A6E0E"/>
    <w:rsid w:val="005B0BD9"/>
    <w:rsid w:val="005B19D1"/>
    <w:rsid w:val="005B1D86"/>
    <w:rsid w:val="005B2553"/>
    <w:rsid w:val="005B2CE9"/>
    <w:rsid w:val="005B3A55"/>
    <w:rsid w:val="005B565F"/>
    <w:rsid w:val="005B6026"/>
    <w:rsid w:val="005B62C1"/>
    <w:rsid w:val="005C025F"/>
    <w:rsid w:val="005C2C08"/>
    <w:rsid w:val="005C4A8E"/>
    <w:rsid w:val="005C6C88"/>
    <w:rsid w:val="005D0BB9"/>
    <w:rsid w:val="005D2344"/>
    <w:rsid w:val="005D44AB"/>
    <w:rsid w:val="005D47A5"/>
    <w:rsid w:val="005D4FD2"/>
    <w:rsid w:val="005D5135"/>
    <w:rsid w:val="005D56EA"/>
    <w:rsid w:val="005D5EC8"/>
    <w:rsid w:val="005E1C92"/>
    <w:rsid w:val="005E2145"/>
    <w:rsid w:val="005E4182"/>
    <w:rsid w:val="005E4716"/>
    <w:rsid w:val="005E7D64"/>
    <w:rsid w:val="005F2732"/>
    <w:rsid w:val="005F28A5"/>
    <w:rsid w:val="005F4F6B"/>
    <w:rsid w:val="005F5CAD"/>
    <w:rsid w:val="006016A7"/>
    <w:rsid w:val="0060318D"/>
    <w:rsid w:val="00605086"/>
    <w:rsid w:val="0061392C"/>
    <w:rsid w:val="00614FD8"/>
    <w:rsid w:val="00615172"/>
    <w:rsid w:val="00621CEE"/>
    <w:rsid w:val="00621E6A"/>
    <w:rsid w:val="00624EB0"/>
    <w:rsid w:val="006251AF"/>
    <w:rsid w:val="006251DE"/>
    <w:rsid w:val="00625B5D"/>
    <w:rsid w:val="00625B74"/>
    <w:rsid w:val="00626324"/>
    <w:rsid w:val="00626C4E"/>
    <w:rsid w:val="00627E26"/>
    <w:rsid w:val="00633F78"/>
    <w:rsid w:val="00635E30"/>
    <w:rsid w:val="00643D44"/>
    <w:rsid w:val="00643F3B"/>
    <w:rsid w:val="00645358"/>
    <w:rsid w:val="00645896"/>
    <w:rsid w:val="006458C0"/>
    <w:rsid w:val="0064649D"/>
    <w:rsid w:val="006470E3"/>
    <w:rsid w:val="00647449"/>
    <w:rsid w:val="006500F4"/>
    <w:rsid w:val="006505C9"/>
    <w:rsid w:val="006549DA"/>
    <w:rsid w:val="00654D49"/>
    <w:rsid w:val="006637C9"/>
    <w:rsid w:val="00664489"/>
    <w:rsid w:val="00667C78"/>
    <w:rsid w:val="00667E92"/>
    <w:rsid w:val="00670021"/>
    <w:rsid w:val="006700EC"/>
    <w:rsid w:val="0067061F"/>
    <w:rsid w:val="00671528"/>
    <w:rsid w:val="0067330C"/>
    <w:rsid w:val="00673784"/>
    <w:rsid w:val="006744F0"/>
    <w:rsid w:val="0067450D"/>
    <w:rsid w:val="00676B5E"/>
    <w:rsid w:val="0067704A"/>
    <w:rsid w:val="00680EE6"/>
    <w:rsid w:val="00681244"/>
    <w:rsid w:val="006847DF"/>
    <w:rsid w:val="00684E90"/>
    <w:rsid w:val="00686BC7"/>
    <w:rsid w:val="00686D2C"/>
    <w:rsid w:val="006873BC"/>
    <w:rsid w:val="00687ACC"/>
    <w:rsid w:val="006907B2"/>
    <w:rsid w:val="00692758"/>
    <w:rsid w:val="00692FEA"/>
    <w:rsid w:val="00694942"/>
    <w:rsid w:val="00694D92"/>
    <w:rsid w:val="006951B8"/>
    <w:rsid w:val="00696857"/>
    <w:rsid w:val="00696957"/>
    <w:rsid w:val="00696B5A"/>
    <w:rsid w:val="0069709C"/>
    <w:rsid w:val="006A01F1"/>
    <w:rsid w:val="006A0956"/>
    <w:rsid w:val="006A1D61"/>
    <w:rsid w:val="006A43CA"/>
    <w:rsid w:val="006A7C36"/>
    <w:rsid w:val="006B6F31"/>
    <w:rsid w:val="006C0391"/>
    <w:rsid w:val="006C1020"/>
    <w:rsid w:val="006C47A0"/>
    <w:rsid w:val="006C4B06"/>
    <w:rsid w:val="006C5245"/>
    <w:rsid w:val="006C5F28"/>
    <w:rsid w:val="006C5F7D"/>
    <w:rsid w:val="006D00E3"/>
    <w:rsid w:val="006D0E09"/>
    <w:rsid w:val="006D29ED"/>
    <w:rsid w:val="006D29F0"/>
    <w:rsid w:val="006D50EF"/>
    <w:rsid w:val="006E2D7F"/>
    <w:rsid w:val="006E5357"/>
    <w:rsid w:val="006E5BAA"/>
    <w:rsid w:val="006E5D73"/>
    <w:rsid w:val="006E6E6E"/>
    <w:rsid w:val="006E7545"/>
    <w:rsid w:val="006E7679"/>
    <w:rsid w:val="006F0528"/>
    <w:rsid w:val="006F0FDE"/>
    <w:rsid w:val="006F15BA"/>
    <w:rsid w:val="006F1826"/>
    <w:rsid w:val="006F2491"/>
    <w:rsid w:val="006F3005"/>
    <w:rsid w:val="006F359A"/>
    <w:rsid w:val="006F52AF"/>
    <w:rsid w:val="006F5372"/>
    <w:rsid w:val="006F5A24"/>
    <w:rsid w:val="006F5BAE"/>
    <w:rsid w:val="0070132E"/>
    <w:rsid w:val="00705A41"/>
    <w:rsid w:val="00710082"/>
    <w:rsid w:val="007119D5"/>
    <w:rsid w:val="00711F87"/>
    <w:rsid w:val="00715B18"/>
    <w:rsid w:val="00715BA9"/>
    <w:rsid w:val="007163C7"/>
    <w:rsid w:val="007178B0"/>
    <w:rsid w:val="00721BB3"/>
    <w:rsid w:val="0072347D"/>
    <w:rsid w:val="00724AE3"/>
    <w:rsid w:val="007273CA"/>
    <w:rsid w:val="00731FF5"/>
    <w:rsid w:val="007345F6"/>
    <w:rsid w:val="00734865"/>
    <w:rsid w:val="00735EEA"/>
    <w:rsid w:val="00737B0F"/>
    <w:rsid w:val="00740398"/>
    <w:rsid w:val="007412A6"/>
    <w:rsid w:val="007425EE"/>
    <w:rsid w:val="00743243"/>
    <w:rsid w:val="00743C54"/>
    <w:rsid w:val="00743F56"/>
    <w:rsid w:val="00745B44"/>
    <w:rsid w:val="007468D1"/>
    <w:rsid w:val="00746A53"/>
    <w:rsid w:val="0075016D"/>
    <w:rsid w:val="00750616"/>
    <w:rsid w:val="0075234D"/>
    <w:rsid w:val="00753556"/>
    <w:rsid w:val="00753993"/>
    <w:rsid w:val="00757DEB"/>
    <w:rsid w:val="00763088"/>
    <w:rsid w:val="00764BD4"/>
    <w:rsid w:val="00765985"/>
    <w:rsid w:val="00765A55"/>
    <w:rsid w:val="00766D7F"/>
    <w:rsid w:val="00770AFC"/>
    <w:rsid w:val="0077335A"/>
    <w:rsid w:val="00773C62"/>
    <w:rsid w:val="00774C9D"/>
    <w:rsid w:val="0077557B"/>
    <w:rsid w:val="00775654"/>
    <w:rsid w:val="00775757"/>
    <w:rsid w:val="007771D7"/>
    <w:rsid w:val="007777FD"/>
    <w:rsid w:val="00777AC2"/>
    <w:rsid w:val="00781177"/>
    <w:rsid w:val="00781859"/>
    <w:rsid w:val="00782CBA"/>
    <w:rsid w:val="007864ED"/>
    <w:rsid w:val="00790034"/>
    <w:rsid w:val="0079318E"/>
    <w:rsid w:val="007936FB"/>
    <w:rsid w:val="00793E97"/>
    <w:rsid w:val="00795A7F"/>
    <w:rsid w:val="00796F69"/>
    <w:rsid w:val="007A0314"/>
    <w:rsid w:val="007A1E86"/>
    <w:rsid w:val="007A4E64"/>
    <w:rsid w:val="007B2062"/>
    <w:rsid w:val="007B444F"/>
    <w:rsid w:val="007B5E2B"/>
    <w:rsid w:val="007B6C8A"/>
    <w:rsid w:val="007C08CF"/>
    <w:rsid w:val="007C1263"/>
    <w:rsid w:val="007C1B81"/>
    <w:rsid w:val="007C2D79"/>
    <w:rsid w:val="007C4054"/>
    <w:rsid w:val="007C49AC"/>
    <w:rsid w:val="007C5EF1"/>
    <w:rsid w:val="007D05AD"/>
    <w:rsid w:val="007D0D34"/>
    <w:rsid w:val="007D1C1D"/>
    <w:rsid w:val="007D1DD7"/>
    <w:rsid w:val="007D2FD0"/>
    <w:rsid w:val="007D33E2"/>
    <w:rsid w:val="007D497E"/>
    <w:rsid w:val="007D657D"/>
    <w:rsid w:val="007D66AE"/>
    <w:rsid w:val="007D6962"/>
    <w:rsid w:val="007E0023"/>
    <w:rsid w:val="007E04A1"/>
    <w:rsid w:val="007E3662"/>
    <w:rsid w:val="007E4DF7"/>
    <w:rsid w:val="007E618A"/>
    <w:rsid w:val="007F168E"/>
    <w:rsid w:val="007F1EB3"/>
    <w:rsid w:val="007F224A"/>
    <w:rsid w:val="00803E5B"/>
    <w:rsid w:val="00804840"/>
    <w:rsid w:val="00804B24"/>
    <w:rsid w:val="008067A4"/>
    <w:rsid w:val="00806D2D"/>
    <w:rsid w:val="008133F3"/>
    <w:rsid w:val="00814649"/>
    <w:rsid w:val="00816787"/>
    <w:rsid w:val="0082579E"/>
    <w:rsid w:val="00825D8A"/>
    <w:rsid w:val="008273C3"/>
    <w:rsid w:val="00831366"/>
    <w:rsid w:val="008314B3"/>
    <w:rsid w:val="008319C0"/>
    <w:rsid w:val="00832C62"/>
    <w:rsid w:val="00833634"/>
    <w:rsid w:val="008365B0"/>
    <w:rsid w:val="00836909"/>
    <w:rsid w:val="00837FCF"/>
    <w:rsid w:val="00840BA6"/>
    <w:rsid w:val="00841804"/>
    <w:rsid w:val="00842F99"/>
    <w:rsid w:val="0084505D"/>
    <w:rsid w:val="00845A22"/>
    <w:rsid w:val="00845F3B"/>
    <w:rsid w:val="0084687F"/>
    <w:rsid w:val="00846A48"/>
    <w:rsid w:val="00847362"/>
    <w:rsid w:val="00847619"/>
    <w:rsid w:val="00847DB5"/>
    <w:rsid w:val="008523B2"/>
    <w:rsid w:val="00852D37"/>
    <w:rsid w:val="00853630"/>
    <w:rsid w:val="00855A4B"/>
    <w:rsid w:val="00855DE5"/>
    <w:rsid w:val="00855E00"/>
    <w:rsid w:val="00861169"/>
    <w:rsid w:val="008612AA"/>
    <w:rsid w:val="00861D55"/>
    <w:rsid w:val="00862685"/>
    <w:rsid w:val="00862BDB"/>
    <w:rsid w:val="0086319D"/>
    <w:rsid w:val="008632D9"/>
    <w:rsid w:val="00863AB1"/>
    <w:rsid w:val="0086505D"/>
    <w:rsid w:val="00872243"/>
    <w:rsid w:val="00873AD6"/>
    <w:rsid w:val="0087561F"/>
    <w:rsid w:val="0087570A"/>
    <w:rsid w:val="00877A3F"/>
    <w:rsid w:val="00880FB7"/>
    <w:rsid w:val="0088635D"/>
    <w:rsid w:val="00890947"/>
    <w:rsid w:val="008909A9"/>
    <w:rsid w:val="008956C8"/>
    <w:rsid w:val="008A0006"/>
    <w:rsid w:val="008A0EE5"/>
    <w:rsid w:val="008A14F5"/>
    <w:rsid w:val="008A3E97"/>
    <w:rsid w:val="008A52D3"/>
    <w:rsid w:val="008A68EF"/>
    <w:rsid w:val="008A7857"/>
    <w:rsid w:val="008B1349"/>
    <w:rsid w:val="008B1E4E"/>
    <w:rsid w:val="008B2B23"/>
    <w:rsid w:val="008B2FDD"/>
    <w:rsid w:val="008B3F71"/>
    <w:rsid w:val="008B6090"/>
    <w:rsid w:val="008B667A"/>
    <w:rsid w:val="008C2914"/>
    <w:rsid w:val="008C2CCD"/>
    <w:rsid w:val="008C46CA"/>
    <w:rsid w:val="008C4B9B"/>
    <w:rsid w:val="008C674E"/>
    <w:rsid w:val="008C7B00"/>
    <w:rsid w:val="008D1B09"/>
    <w:rsid w:val="008D2B8E"/>
    <w:rsid w:val="008D4CE3"/>
    <w:rsid w:val="008D51AB"/>
    <w:rsid w:val="008D6BEC"/>
    <w:rsid w:val="008D72D9"/>
    <w:rsid w:val="008D7422"/>
    <w:rsid w:val="008E1A6F"/>
    <w:rsid w:val="008E3574"/>
    <w:rsid w:val="008E6B90"/>
    <w:rsid w:val="008E718C"/>
    <w:rsid w:val="008E7525"/>
    <w:rsid w:val="008F2E3A"/>
    <w:rsid w:val="008F3724"/>
    <w:rsid w:val="008F6B4B"/>
    <w:rsid w:val="008F78B4"/>
    <w:rsid w:val="00900F2C"/>
    <w:rsid w:val="00903F5C"/>
    <w:rsid w:val="009042E1"/>
    <w:rsid w:val="00904AD4"/>
    <w:rsid w:val="00906D70"/>
    <w:rsid w:val="0090750E"/>
    <w:rsid w:val="00907613"/>
    <w:rsid w:val="009078C2"/>
    <w:rsid w:val="009103BF"/>
    <w:rsid w:val="00915D5F"/>
    <w:rsid w:val="00915DE4"/>
    <w:rsid w:val="0092073D"/>
    <w:rsid w:val="00921BAD"/>
    <w:rsid w:val="00923D6D"/>
    <w:rsid w:val="00924814"/>
    <w:rsid w:val="00924C74"/>
    <w:rsid w:val="00926351"/>
    <w:rsid w:val="0092669C"/>
    <w:rsid w:val="009267E8"/>
    <w:rsid w:val="00926F66"/>
    <w:rsid w:val="009310EA"/>
    <w:rsid w:val="0093312B"/>
    <w:rsid w:val="00933155"/>
    <w:rsid w:val="009345EC"/>
    <w:rsid w:val="00935713"/>
    <w:rsid w:val="00935F12"/>
    <w:rsid w:val="009360EE"/>
    <w:rsid w:val="00936C36"/>
    <w:rsid w:val="0094118F"/>
    <w:rsid w:val="009413A1"/>
    <w:rsid w:val="00942F48"/>
    <w:rsid w:val="00944F59"/>
    <w:rsid w:val="00945E72"/>
    <w:rsid w:val="00952B86"/>
    <w:rsid w:val="00952EB3"/>
    <w:rsid w:val="00953658"/>
    <w:rsid w:val="009553BB"/>
    <w:rsid w:val="00955DF2"/>
    <w:rsid w:val="0096032F"/>
    <w:rsid w:val="00961CA3"/>
    <w:rsid w:val="009631BB"/>
    <w:rsid w:val="0096475C"/>
    <w:rsid w:val="0096786A"/>
    <w:rsid w:val="0097208E"/>
    <w:rsid w:val="00972ECC"/>
    <w:rsid w:val="009732FD"/>
    <w:rsid w:val="00977162"/>
    <w:rsid w:val="0098018B"/>
    <w:rsid w:val="00981268"/>
    <w:rsid w:val="00984D3F"/>
    <w:rsid w:val="00984FDF"/>
    <w:rsid w:val="00985CD7"/>
    <w:rsid w:val="00987386"/>
    <w:rsid w:val="009877D5"/>
    <w:rsid w:val="00997F7F"/>
    <w:rsid w:val="009A5DB3"/>
    <w:rsid w:val="009A68F6"/>
    <w:rsid w:val="009A7F56"/>
    <w:rsid w:val="009B1714"/>
    <w:rsid w:val="009B19D1"/>
    <w:rsid w:val="009B2333"/>
    <w:rsid w:val="009B3102"/>
    <w:rsid w:val="009B3116"/>
    <w:rsid w:val="009B363B"/>
    <w:rsid w:val="009B3E3A"/>
    <w:rsid w:val="009B507A"/>
    <w:rsid w:val="009B697B"/>
    <w:rsid w:val="009B6987"/>
    <w:rsid w:val="009C56A6"/>
    <w:rsid w:val="009C7955"/>
    <w:rsid w:val="009D3C34"/>
    <w:rsid w:val="009D6A3B"/>
    <w:rsid w:val="009E0683"/>
    <w:rsid w:val="009E1E40"/>
    <w:rsid w:val="009E41B0"/>
    <w:rsid w:val="009E41B1"/>
    <w:rsid w:val="009E4FB4"/>
    <w:rsid w:val="009E5F08"/>
    <w:rsid w:val="009E6380"/>
    <w:rsid w:val="009E724D"/>
    <w:rsid w:val="009E748E"/>
    <w:rsid w:val="009F058F"/>
    <w:rsid w:val="009F0875"/>
    <w:rsid w:val="009F230E"/>
    <w:rsid w:val="009F2363"/>
    <w:rsid w:val="009F2470"/>
    <w:rsid w:val="009F283F"/>
    <w:rsid w:val="009F2BE9"/>
    <w:rsid w:val="009F3728"/>
    <w:rsid w:val="009F5702"/>
    <w:rsid w:val="009F5D96"/>
    <w:rsid w:val="00A00667"/>
    <w:rsid w:val="00A00CD2"/>
    <w:rsid w:val="00A02940"/>
    <w:rsid w:val="00A07AF5"/>
    <w:rsid w:val="00A13338"/>
    <w:rsid w:val="00A1363B"/>
    <w:rsid w:val="00A1390A"/>
    <w:rsid w:val="00A13B06"/>
    <w:rsid w:val="00A212E6"/>
    <w:rsid w:val="00A216B8"/>
    <w:rsid w:val="00A218FF"/>
    <w:rsid w:val="00A220EE"/>
    <w:rsid w:val="00A2697E"/>
    <w:rsid w:val="00A30FB8"/>
    <w:rsid w:val="00A346DC"/>
    <w:rsid w:val="00A3633B"/>
    <w:rsid w:val="00A414A1"/>
    <w:rsid w:val="00A41E09"/>
    <w:rsid w:val="00A42118"/>
    <w:rsid w:val="00A436F4"/>
    <w:rsid w:val="00A461EA"/>
    <w:rsid w:val="00A46C75"/>
    <w:rsid w:val="00A46DA0"/>
    <w:rsid w:val="00A503D9"/>
    <w:rsid w:val="00A56747"/>
    <w:rsid w:val="00A56AEF"/>
    <w:rsid w:val="00A601E0"/>
    <w:rsid w:val="00A61221"/>
    <w:rsid w:val="00A613A4"/>
    <w:rsid w:val="00A61EAB"/>
    <w:rsid w:val="00A65A05"/>
    <w:rsid w:val="00A815CB"/>
    <w:rsid w:val="00A81A7E"/>
    <w:rsid w:val="00A81CBA"/>
    <w:rsid w:val="00A82823"/>
    <w:rsid w:val="00A83A2B"/>
    <w:rsid w:val="00A83DF2"/>
    <w:rsid w:val="00A869B2"/>
    <w:rsid w:val="00A92493"/>
    <w:rsid w:val="00A92CFE"/>
    <w:rsid w:val="00A94139"/>
    <w:rsid w:val="00AA0C4E"/>
    <w:rsid w:val="00AA4F0E"/>
    <w:rsid w:val="00AB1523"/>
    <w:rsid w:val="00AB1C15"/>
    <w:rsid w:val="00AB2695"/>
    <w:rsid w:val="00AB3CE4"/>
    <w:rsid w:val="00AB4A42"/>
    <w:rsid w:val="00AB4CF6"/>
    <w:rsid w:val="00AB62C4"/>
    <w:rsid w:val="00AB66EA"/>
    <w:rsid w:val="00AB693E"/>
    <w:rsid w:val="00AB788B"/>
    <w:rsid w:val="00AB7FB6"/>
    <w:rsid w:val="00AC120A"/>
    <w:rsid w:val="00AC169F"/>
    <w:rsid w:val="00AC4606"/>
    <w:rsid w:val="00AC4BF9"/>
    <w:rsid w:val="00AC59A4"/>
    <w:rsid w:val="00AD11EA"/>
    <w:rsid w:val="00AD21F2"/>
    <w:rsid w:val="00AD33B4"/>
    <w:rsid w:val="00AD4A08"/>
    <w:rsid w:val="00AD5EC5"/>
    <w:rsid w:val="00AD5FF8"/>
    <w:rsid w:val="00AD66D6"/>
    <w:rsid w:val="00AE10E2"/>
    <w:rsid w:val="00AE2A03"/>
    <w:rsid w:val="00AE4149"/>
    <w:rsid w:val="00AE430F"/>
    <w:rsid w:val="00AE6F0E"/>
    <w:rsid w:val="00AF24E4"/>
    <w:rsid w:val="00AF2762"/>
    <w:rsid w:val="00AF4687"/>
    <w:rsid w:val="00AF7900"/>
    <w:rsid w:val="00B003D6"/>
    <w:rsid w:val="00B00F8A"/>
    <w:rsid w:val="00B06533"/>
    <w:rsid w:val="00B06C19"/>
    <w:rsid w:val="00B10AEB"/>
    <w:rsid w:val="00B112C8"/>
    <w:rsid w:val="00B142DE"/>
    <w:rsid w:val="00B15551"/>
    <w:rsid w:val="00B15943"/>
    <w:rsid w:val="00B15974"/>
    <w:rsid w:val="00B17A10"/>
    <w:rsid w:val="00B2488C"/>
    <w:rsid w:val="00B25539"/>
    <w:rsid w:val="00B276F2"/>
    <w:rsid w:val="00B314F0"/>
    <w:rsid w:val="00B334CE"/>
    <w:rsid w:val="00B345F2"/>
    <w:rsid w:val="00B355A6"/>
    <w:rsid w:val="00B35B4E"/>
    <w:rsid w:val="00B400CF"/>
    <w:rsid w:val="00B41210"/>
    <w:rsid w:val="00B42734"/>
    <w:rsid w:val="00B42CB0"/>
    <w:rsid w:val="00B46B0F"/>
    <w:rsid w:val="00B501FF"/>
    <w:rsid w:val="00B55741"/>
    <w:rsid w:val="00B60551"/>
    <w:rsid w:val="00B64E02"/>
    <w:rsid w:val="00B678ED"/>
    <w:rsid w:val="00B72117"/>
    <w:rsid w:val="00B7218A"/>
    <w:rsid w:val="00B72D48"/>
    <w:rsid w:val="00B73FED"/>
    <w:rsid w:val="00B75455"/>
    <w:rsid w:val="00B803FD"/>
    <w:rsid w:val="00B807FC"/>
    <w:rsid w:val="00B82192"/>
    <w:rsid w:val="00B82366"/>
    <w:rsid w:val="00B85E69"/>
    <w:rsid w:val="00B86EDF"/>
    <w:rsid w:val="00B901C1"/>
    <w:rsid w:val="00B9224D"/>
    <w:rsid w:val="00B926ED"/>
    <w:rsid w:val="00B94E46"/>
    <w:rsid w:val="00B96873"/>
    <w:rsid w:val="00B9699E"/>
    <w:rsid w:val="00B9742B"/>
    <w:rsid w:val="00BA10F1"/>
    <w:rsid w:val="00BA1814"/>
    <w:rsid w:val="00BA230A"/>
    <w:rsid w:val="00BA30C1"/>
    <w:rsid w:val="00BA32DD"/>
    <w:rsid w:val="00BA6500"/>
    <w:rsid w:val="00BA73E3"/>
    <w:rsid w:val="00BA763C"/>
    <w:rsid w:val="00BB215E"/>
    <w:rsid w:val="00BB2BAE"/>
    <w:rsid w:val="00BB78DF"/>
    <w:rsid w:val="00BC0145"/>
    <w:rsid w:val="00BC2C80"/>
    <w:rsid w:val="00BC7C9A"/>
    <w:rsid w:val="00BD01DC"/>
    <w:rsid w:val="00BD3362"/>
    <w:rsid w:val="00BD49C7"/>
    <w:rsid w:val="00BD76CA"/>
    <w:rsid w:val="00BD7F1B"/>
    <w:rsid w:val="00BE111C"/>
    <w:rsid w:val="00BE18EA"/>
    <w:rsid w:val="00BE37F5"/>
    <w:rsid w:val="00BE3D9C"/>
    <w:rsid w:val="00BE53DD"/>
    <w:rsid w:val="00BE6A46"/>
    <w:rsid w:val="00BE6B06"/>
    <w:rsid w:val="00BE7564"/>
    <w:rsid w:val="00BE79CA"/>
    <w:rsid w:val="00BF1375"/>
    <w:rsid w:val="00BF1448"/>
    <w:rsid w:val="00BF2751"/>
    <w:rsid w:val="00BF2D24"/>
    <w:rsid w:val="00BF2DE4"/>
    <w:rsid w:val="00BF4A38"/>
    <w:rsid w:val="00BF4A64"/>
    <w:rsid w:val="00BF791A"/>
    <w:rsid w:val="00C01AB2"/>
    <w:rsid w:val="00C020A6"/>
    <w:rsid w:val="00C026E3"/>
    <w:rsid w:val="00C042FC"/>
    <w:rsid w:val="00C04DF3"/>
    <w:rsid w:val="00C0728A"/>
    <w:rsid w:val="00C07CB4"/>
    <w:rsid w:val="00C108A5"/>
    <w:rsid w:val="00C1116E"/>
    <w:rsid w:val="00C1214E"/>
    <w:rsid w:val="00C16676"/>
    <w:rsid w:val="00C16CE1"/>
    <w:rsid w:val="00C16EAA"/>
    <w:rsid w:val="00C1730D"/>
    <w:rsid w:val="00C174AC"/>
    <w:rsid w:val="00C20E60"/>
    <w:rsid w:val="00C2227B"/>
    <w:rsid w:val="00C22B42"/>
    <w:rsid w:val="00C26B95"/>
    <w:rsid w:val="00C31234"/>
    <w:rsid w:val="00C33EA2"/>
    <w:rsid w:val="00C33ECC"/>
    <w:rsid w:val="00C34384"/>
    <w:rsid w:val="00C35AB0"/>
    <w:rsid w:val="00C3634D"/>
    <w:rsid w:val="00C36DB8"/>
    <w:rsid w:val="00C42CE1"/>
    <w:rsid w:val="00C46363"/>
    <w:rsid w:val="00C47D29"/>
    <w:rsid w:val="00C506C5"/>
    <w:rsid w:val="00C51502"/>
    <w:rsid w:val="00C523D3"/>
    <w:rsid w:val="00C561EF"/>
    <w:rsid w:val="00C600E2"/>
    <w:rsid w:val="00C61A8E"/>
    <w:rsid w:val="00C63123"/>
    <w:rsid w:val="00C6567D"/>
    <w:rsid w:val="00C66EBD"/>
    <w:rsid w:val="00C71D19"/>
    <w:rsid w:val="00C723F8"/>
    <w:rsid w:val="00C7484C"/>
    <w:rsid w:val="00C75AB1"/>
    <w:rsid w:val="00C80138"/>
    <w:rsid w:val="00C81747"/>
    <w:rsid w:val="00C817EF"/>
    <w:rsid w:val="00C81CF0"/>
    <w:rsid w:val="00C824B6"/>
    <w:rsid w:val="00C83392"/>
    <w:rsid w:val="00C8527C"/>
    <w:rsid w:val="00C860AC"/>
    <w:rsid w:val="00C87155"/>
    <w:rsid w:val="00C871C6"/>
    <w:rsid w:val="00C90248"/>
    <w:rsid w:val="00C9327A"/>
    <w:rsid w:val="00C934D0"/>
    <w:rsid w:val="00C93F25"/>
    <w:rsid w:val="00C9720B"/>
    <w:rsid w:val="00C973E7"/>
    <w:rsid w:val="00C97556"/>
    <w:rsid w:val="00C97603"/>
    <w:rsid w:val="00CA0316"/>
    <w:rsid w:val="00CA0E47"/>
    <w:rsid w:val="00CA0F9B"/>
    <w:rsid w:val="00CA1858"/>
    <w:rsid w:val="00CA583D"/>
    <w:rsid w:val="00CA5DA7"/>
    <w:rsid w:val="00CB0719"/>
    <w:rsid w:val="00CB09C6"/>
    <w:rsid w:val="00CB1B22"/>
    <w:rsid w:val="00CB2D88"/>
    <w:rsid w:val="00CB3F19"/>
    <w:rsid w:val="00CB5CBF"/>
    <w:rsid w:val="00CB780E"/>
    <w:rsid w:val="00CC07B0"/>
    <w:rsid w:val="00CC1941"/>
    <w:rsid w:val="00CC31C9"/>
    <w:rsid w:val="00CC46ED"/>
    <w:rsid w:val="00CC4F4E"/>
    <w:rsid w:val="00CC5A48"/>
    <w:rsid w:val="00CC6FB9"/>
    <w:rsid w:val="00CC7608"/>
    <w:rsid w:val="00CD1DD1"/>
    <w:rsid w:val="00CD2323"/>
    <w:rsid w:val="00CD4F58"/>
    <w:rsid w:val="00CD5C75"/>
    <w:rsid w:val="00CD6317"/>
    <w:rsid w:val="00CD6B31"/>
    <w:rsid w:val="00CE1141"/>
    <w:rsid w:val="00CE2CCA"/>
    <w:rsid w:val="00CE33E7"/>
    <w:rsid w:val="00CE5BFE"/>
    <w:rsid w:val="00CE7058"/>
    <w:rsid w:val="00CE75EB"/>
    <w:rsid w:val="00CE7E35"/>
    <w:rsid w:val="00CF1FDE"/>
    <w:rsid w:val="00CF3BF0"/>
    <w:rsid w:val="00D00C7B"/>
    <w:rsid w:val="00D01521"/>
    <w:rsid w:val="00D04419"/>
    <w:rsid w:val="00D13AF5"/>
    <w:rsid w:val="00D13E52"/>
    <w:rsid w:val="00D16F59"/>
    <w:rsid w:val="00D204B1"/>
    <w:rsid w:val="00D238DC"/>
    <w:rsid w:val="00D250EE"/>
    <w:rsid w:val="00D263F3"/>
    <w:rsid w:val="00D30E2A"/>
    <w:rsid w:val="00D352F3"/>
    <w:rsid w:val="00D40444"/>
    <w:rsid w:val="00D40520"/>
    <w:rsid w:val="00D40AB6"/>
    <w:rsid w:val="00D426E1"/>
    <w:rsid w:val="00D433A8"/>
    <w:rsid w:val="00D4406C"/>
    <w:rsid w:val="00D51DFB"/>
    <w:rsid w:val="00D52015"/>
    <w:rsid w:val="00D53F54"/>
    <w:rsid w:val="00D54A87"/>
    <w:rsid w:val="00D54C01"/>
    <w:rsid w:val="00D6102B"/>
    <w:rsid w:val="00D62103"/>
    <w:rsid w:val="00D62B3F"/>
    <w:rsid w:val="00D6558B"/>
    <w:rsid w:val="00D6582E"/>
    <w:rsid w:val="00D70052"/>
    <w:rsid w:val="00D72782"/>
    <w:rsid w:val="00D76D6B"/>
    <w:rsid w:val="00D800CB"/>
    <w:rsid w:val="00D84879"/>
    <w:rsid w:val="00D84E0D"/>
    <w:rsid w:val="00D8656B"/>
    <w:rsid w:val="00D87009"/>
    <w:rsid w:val="00D91A51"/>
    <w:rsid w:val="00D91C58"/>
    <w:rsid w:val="00D92407"/>
    <w:rsid w:val="00D92C15"/>
    <w:rsid w:val="00D92CC0"/>
    <w:rsid w:val="00D939E4"/>
    <w:rsid w:val="00D977C3"/>
    <w:rsid w:val="00DA1A1E"/>
    <w:rsid w:val="00DA21B8"/>
    <w:rsid w:val="00DA33D4"/>
    <w:rsid w:val="00DA5410"/>
    <w:rsid w:val="00DA666B"/>
    <w:rsid w:val="00DA787E"/>
    <w:rsid w:val="00DB274C"/>
    <w:rsid w:val="00DB3060"/>
    <w:rsid w:val="00DB4A84"/>
    <w:rsid w:val="00DB5E42"/>
    <w:rsid w:val="00DB77F0"/>
    <w:rsid w:val="00DC7365"/>
    <w:rsid w:val="00DC748D"/>
    <w:rsid w:val="00DD041B"/>
    <w:rsid w:val="00DD0DFF"/>
    <w:rsid w:val="00DD35AE"/>
    <w:rsid w:val="00DD40EA"/>
    <w:rsid w:val="00DE040E"/>
    <w:rsid w:val="00DE35C4"/>
    <w:rsid w:val="00DE4A6A"/>
    <w:rsid w:val="00DE6D09"/>
    <w:rsid w:val="00DE7307"/>
    <w:rsid w:val="00DF016E"/>
    <w:rsid w:val="00DF0534"/>
    <w:rsid w:val="00DF08F4"/>
    <w:rsid w:val="00DF1718"/>
    <w:rsid w:val="00DF67D7"/>
    <w:rsid w:val="00DF7C0A"/>
    <w:rsid w:val="00E04C34"/>
    <w:rsid w:val="00E06274"/>
    <w:rsid w:val="00E063A9"/>
    <w:rsid w:val="00E06BD1"/>
    <w:rsid w:val="00E10329"/>
    <w:rsid w:val="00E10949"/>
    <w:rsid w:val="00E11E31"/>
    <w:rsid w:val="00E14BB7"/>
    <w:rsid w:val="00E151B7"/>
    <w:rsid w:val="00E17D08"/>
    <w:rsid w:val="00E20B89"/>
    <w:rsid w:val="00E2155E"/>
    <w:rsid w:val="00E2158B"/>
    <w:rsid w:val="00E236F5"/>
    <w:rsid w:val="00E27B97"/>
    <w:rsid w:val="00E3066A"/>
    <w:rsid w:val="00E3468B"/>
    <w:rsid w:val="00E34C8E"/>
    <w:rsid w:val="00E36FEB"/>
    <w:rsid w:val="00E370FA"/>
    <w:rsid w:val="00E40640"/>
    <w:rsid w:val="00E46F72"/>
    <w:rsid w:val="00E473D8"/>
    <w:rsid w:val="00E517D9"/>
    <w:rsid w:val="00E51B6A"/>
    <w:rsid w:val="00E5249E"/>
    <w:rsid w:val="00E56712"/>
    <w:rsid w:val="00E56857"/>
    <w:rsid w:val="00E65132"/>
    <w:rsid w:val="00E67D3D"/>
    <w:rsid w:val="00E70525"/>
    <w:rsid w:val="00E70D6A"/>
    <w:rsid w:val="00E70EF4"/>
    <w:rsid w:val="00E73E45"/>
    <w:rsid w:val="00E815A0"/>
    <w:rsid w:val="00E82B6D"/>
    <w:rsid w:val="00E84567"/>
    <w:rsid w:val="00E84C2F"/>
    <w:rsid w:val="00E861F6"/>
    <w:rsid w:val="00E87B56"/>
    <w:rsid w:val="00E90B84"/>
    <w:rsid w:val="00E91EEE"/>
    <w:rsid w:val="00E93841"/>
    <w:rsid w:val="00E9384A"/>
    <w:rsid w:val="00E941AC"/>
    <w:rsid w:val="00EA0F15"/>
    <w:rsid w:val="00EA23C3"/>
    <w:rsid w:val="00EA4800"/>
    <w:rsid w:val="00EA5F72"/>
    <w:rsid w:val="00EA7559"/>
    <w:rsid w:val="00EB001A"/>
    <w:rsid w:val="00EB1123"/>
    <w:rsid w:val="00EB232C"/>
    <w:rsid w:val="00EB2679"/>
    <w:rsid w:val="00EB33CA"/>
    <w:rsid w:val="00EB3924"/>
    <w:rsid w:val="00EB4EE5"/>
    <w:rsid w:val="00EB558D"/>
    <w:rsid w:val="00EB56C9"/>
    <w:rsid w:val="00EB586A"/>
    <w:rsid w:val="00EB74E0"/>
    <w:rsid w:val="00EC08A7"/>
    <w:rsid w:val="00EC2E44"/>
    <w:rsid w:val="00EC3135"/>
    <w:rsid w:val="00EC4B3C"/>
    <w:rsid w:val="00EC5755"/>
    <w:rsid w:val="00EC7FDC"/>
    <w:rsid w:val="00ED0320"/>
    <w:rsid w:val="00ED080F"/>
    <w:rsid w:val="00ED132C"/>
    <w:rsid w:val="00ED208F"/>
    <w:rsid w:val="00ED2410"/>
    <w:rsid w:val="00ED34E9"/>
    <w:rsid w:val="00ED6BCD"/>
    <w:rsid w:val="00ED6ED5"/>
    <w:rsid w:val="00ED7104"/>
    <w:rsid w:val="00ED79EE"/>
    <w:rsid w:val="00EE1F56"/>
    <w:rsid w:val="00EE21AE"/>
    <w:rsid w:val="00EE2642"/>
    <w:rsid w:val="00EE33CF"/>
    <w:rsid w:val="00EE7EE4"/>
    <w:rsid w:val="00EF0212"/>
    <w:rsid w:val="00EF234B"/>
    <w:rsid w:val="00EF2719"/>
    <w:rsid w:val="00EF515A"/>
    <w:rsid w:val="00EF6091"/>
    <w:rsid w:val="00EF627B"/>
    <w:rsid w:val="00EF6F88"/>
    <w:rsid w:val="00EF6FDC"/>
    <w:rsid w:val="00EF71A8"/>
    <w:rsid w:val="00F00C0A"/>
    <w:rsid w:val="00F01A61"/>
    <w:rsid w:val="00F01EBA"/>
    <w:rsid w:val="00F07CC0"/>
    <w:rsid w:val="00F14732"/>
    <w:rsid w:val="00F15F95"/>
    <w:rsid w:val="00F22359"/>
    <w:rsid w:val="00F23F66"/>
    <w:rsid w:val="00F25071"/>
    <w:rsid w:val="00F2574C"/>
    <w:rsid w:val="00F257A2"/>
    <w:rsid w:val="00F267DD"/>
    <w:rsid w:val="00F271A3"/>
    <w:rsid w:val="00F27869"/>
    <w:rsid w:val="00F3066B"/>
    <w:rsid w:val="00F3102F"/>
    <w:rsid w:val="00F310E8"/>
    <w:rsid w:val="00F34630"/>
    <w:rsid w:val="00F34B48"/>
    <w:rsid w:val="00F35C1C"/>
    <w:rsid w:val="00F35F6D"/>
    <w:rsid w:val="00F37537"/>
    <w:rsid w:val="00F419D6"/>
    <w:rsid w:val="00F47B63"/>
    <w:rsid w:val="00F504AA"/>
    <w:rsid w:val="00F51EB8"/>
    <w:rsid w:val="00F53244"/>
    <w:rsid w:val="00F53FE3"/>
    <w:rsid w:val="00F54035"/>
    <w:rsid w:val="00F54045"/>
    <w:rsid w:val="00F5724F"/>
    <w:rsid w:val="00F57B9A"/>
    <w:rsid w:val="00F61AF8"/>
    <w:rsid w:val="00F62B66"/>
    <w:rsid w:val="00F63B28"/>
    <w:rsid w:val="00F648D3"/>
    <w:rsid w:val="00F65D75"/>
    <w:rsid w:val="00F65EE2"/>
    <w:rsid w:val="00F70901"/>
    <w:rsid w:val="00F7108F"/>
    <w:rsid w:val="00F71CC6"/>
    <w:rsid w:val="00F743F6"/>
    <w:rsid w:val="00F75255"/>
    <w:rsid w:val="00F757F1"/>
    <w:rsid w:val="00F75FCA"/>
    <w:rsid w:val="00F76E72"/>
    <w:rsid w:val="00F81210"/>
    <w:rsid w:val="00F8700F"/>
    <w:rsid w:val="00F875A5"/>
    <w:rsid w:val="00F87A0A"/>
    <w:rsid w:val="00F94DB1"/>
    <w:rsid w:val="00F950B0"/>
    <w:rsid w:val="00F975DC"/>
    <w:rsid w:val="00FA0CFE"/>
    <w:rsid w:val="00FA0FF8"/>
    <w:rsid w:val="00FA1A3A"/>
    <w:rsid w:val="00FA452B"/>
    <w:rsid w:val="00FA508B"/>
    <w:rsid w:val="00FA694A"/>
    <w:rsid w:val="00FA6F44"/>
    <w:rsid w:val="00FA719E"/>
    <w:rsid w:val="00FB037A"/>
    <w:rsid w:val="00FB0AB3"/>
    <w:rsid w:val="00FB2477"/>
    <w:rsid w:val="00FB5F5F"/>
    <w:rsid w:val="00FB70D7"/>
    <w:rsid w:val="00FC40CB"/>
    <w:rsid w:val="00FC424D"/>
    <w:rsid w:val="00FC4B61"/>
    <w:rsid w:val="00FC4D04"/>
    <w:rsid w:val="00FC6B4C"/>
    <w:rsid w:val="00FC78DF"/>
    <w:rsid w:val="00FC7E14"/>
    <w:rsid w:val="00FD0A27"/>
    <w:rsid w:val="00FD5A6D"/>
    <w:rsid w:val="00FD5DE7"/>
    <w:rsid w:val="00FE34FF"/>
    <w:rsid w:val="00FE45CB"/>
    <w:rsid w:val="00FE6043"/>
    <w:rsid w:val="00FE7841"/>
    <w:rsid w:val="00FF2466"/>
    <w:rsid w:val="00FF2537"/>
    <w:rsid w:val="00FF4786"/>
    <w:rsid w:val="00FF4F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A77F2"/>
  <w15:docId w15:val="{5433FDC1-9DFF-4886-BFE4-1A903258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DB"/>
    <w:pPr>
      <w:spacing w:after="0" w:line="240" w:lineRule="auto"/>
    </w:pPr>
    <w:rPr>
      <w:rFonts w:ascii="Arial" w:eastAsia="Times New Roman" w:hAnsi="Arial" w:cs="Times New Roman"/>
      <w:sz w:val="20"/>
      <w:szCs w:val="20"/>
    </w:rPr>
  </w:style>
  <w:style w:type="paragraph" w:styleId="Heading1">
    <w:name w:val="heading 1"/>
    <w:basedOn w:val="Heading2"/>
    <w:next w:val="BodyText"/>
    <w:link w:val="Heading1Char"/>
    <w:qFormat/>
    <w:rsid w:val="00453CC4"/>
    <w:pPr>
      <w:keepLines w:val="0"/>
      <w:spacing w:before="160" w:line="360" w:lineRule="atLeast"/>
      <w:outlineLvl w:val="0"/>
    </w:pPr>
    <w:rPr>
      <w:rFonts w:ascii="Times New Roman" w:eastAsia="Times New Roman" w:hAnsi="Times New Roman" w:cs="Times New Roman"/>
      <w:bCs w:val="0"/>
      <w:color w:val="auto"/>
      <w:sz w:val="32"/>
      <w:szCs w:val="20"/>
      <w:lang w:val="en-GB"/>
    </w:rPr>
  </w:style>
  <w:style w:type="paragraph" w:styleId="Heading2">
    <w:name w:val="heading 2"/>
    <w:basedOn w:val="Normal"/>
    <w:next w:val="Normal"/>
    <w:link w:val="Heading2Char"/>
    <w:uiPriority w:val="9"/>
    <w:unhideWhenUsed/>
    <w:qFormat/>
    <w:rsid w:val="00453C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6744F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CC4"/>
    <w:rPr>
      <w:rFonts w:ascii="Times New Roman" w:eastAsia="Times New Roman" w:hAnsi="Times New Roman" w:cs="Times New Roman"/>
      <w:b/>
      <w:sz w:val="32"/>
      <w:szCs w:val="20"/>
      <w:lang w:val="en-GB"/>
    </w:rPr>
  </w:style>
  <w:style w:type="paragraph" w:styleId="BodyText">
    <w:name w:val="Body Text"/>
    <w:basedOn w:val="Normal"/>
    <w:link w:val="BodyTextChar"/>
    <w:rsid w:val="00453CC4"/>
    <w:pPr>
      <w:jc w:val="both"/>
    </w:pPr>
  </w:style>
  <w:style w:type="character" w:customStyle="1" w:styleId="BodyTextChar">
    <w:name w:val="Body Text Char"/>
    <w:basedOn w:val="DefaultParagraphFont"/>
    <w:link w:val="BodyText"/>
    <w:rsid w:val="00453CC4"/>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453CC4"/>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806D2D"/>
    <w:pPr>
      <w:spacing w:after="120"/>
      <w:ind w:left="283"/>
    </w:pPr>
  </w:style>
  <w:style w:type="character" w:customStyle="1" w:styleId="BodyTextIndentChar">
    <w:name w:val="Body Text Indent Char"/>
    <w:basedOn w:val="DefaultParagraphFont"/>
    <w:link w:val="BodyTextIndent"/>
    <w:uiPriority w:val="99"/>
    <w:semiHidden/>
    <w:rsid w:val="00806D2D"/>
    <w:rPr>
      <w:rFonts w:ascii="Arial" w:eastAsia="Times New Roman" w:hAnsi="Arial" w:cs="Times New Roman"/>
      <w:sz w:val="20"/>
      <w:szCs w:val="20"/>
    </w:rPr>
  </w:style>
  <w:style w:type="paragraph" w:styleId="Title">
    <w:name w:val="Title"/>
    <w:basedOn w:val="Normal"/>
    <w:link w:val="TitleChar"/>
    <w:qFormat/>
    <w:rsid w:val="00806D2D"/>
    <w:pPr>
      <w:ind w:left="567"/>
      <w:jc w:val="center"/>
    </w:pPr>
    <w:rPr>
      <w:b/>
      <w:sz w:val="22"/>
    </w:rPr>
  </w:style>
  <w:style w:type="character" w:customStyle="1" w:styleId="TitleChar">
    <w:name w:val="Title Char"/>
    <w:basedOn w:val="DefaultParagraphFont"/>
    <w:link w:val="Title"/>
    <w:rsid w:val="00806D2D"/>
    <w:rPr>
      <w:rFonts w:ascii="Arial" w:eastAsia="Times New Roman" w:hAnsi="Arial" w:cs="Times New Roman"/>
      <w:b/>
      <w:szCs w:val="20"/>
    </w:rPr>
  </w:style>
  <w:style w:type="paragraph" w:styleId="ListParagraph">
    <w:name w:val="List Paragraph"/>
    <w:basedOn w:val="Normal"/>
    <w:uiPriority w:val="34"/>
    <w:qFormat/>
    <w:rsid w:val="00B46B0F"/>
    <w:pPr>
      <w:ind w:left="720"/>
      <w:contextualSpacing/>
    </w:pPr>
  </w:style>
  <w:style w:type="paragraph" w:styleId="BodyTextIndent2">
    <w:name w:val="Body Text Indent 2"/>
    <w:basedOn w:val="Normal"/>
    <w:link w:val="BodyTextIndent2Char"/>
    <w:uiPriority w:val="99"/>
    <w:semiHidden/>
    <w:unhideWhenUsed/>
    <w:rsid w:val="00C871C6"/>
    <w:pPr>
      <w:spacing w:after="120" w:line="480" w:lineRule="auto"/>
      <w:ind w:left="283"/>
    </w:pPr>
  </w:style>
  <w:style w:type="character" w:customStyle="1" w:styleId="BodyTextIndent2Char">
    <w:name w:val="Body Text Indent 2 Char"/>
    <w:basedOn w:val="DefaultParagraphFont"/>
    <w:link w:val="BodyTextIndent2"/>
    <w:uiPriority w:val="99"/>
    <w:semiHidden/>
    <w:rsid w:val="00C871C6"/>
    <w:rPr>
      <w:rFonts w:ascii="Arial" w:eastAsia="Times New Roman" w:hAnsi="Arial" w:cs="Times New Roman"/>
      <w:sz w:val="20"/>
      <w:szCs w:val="20"/>
    </w:rPr>
  </w:style>
  <w:style w:type="paragraph" w:styleId="NoSpacing">
    <w:name w:val="No Spacing"/>
    <w:link w:val="NoSpacingChar"/>
    <w:uiPriority w:val="1"/>
    <w:qFormat/>
    <w:rsid w:val="00C871C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871C6"/>
    <w:rPr>
      <w:rFonts w:ascii="Calibri" w:eastAsia="Calibri" w:hAnsi="Calibri" w:cs="Times New Roman"/>
    </w:rPr>
  </w:style>
  <w:style w:type="paragraph" w:customStyle="1" w:styleId="CM1">
    <w:name w:val="CM1"/>
    <w:basedOn w:val="Normal"/>
    <w:next w:val="Normal"/>
    <w:rsid w:val="000D4BA5"/>
    <w:pPr>
      <w:widowControl w:val="0"/>
      <w:autoSpaceDE w:val="0"/>
      <w:autoSpaceDN w:val="0"/>
      <w:adjustRightInd w:val="0"/>
    </w:pPr>
    <w:rPr>
      <w:rFonts w:ascii="Futura Condensed" w:hAnsi="Futura Condensed"/>
      <w:sz w:val="24"/>
      <w:szCs w:val="24"/>
      <w:lang w:val="en-US"/>
    </w:rPr>
  </w:style>
  <w:style w:type="paragraph" w:customStyle="1" w:styleId="Default">
    <w:name w:val="Default"/>
    <w:rsid w:val="000D4BA5"/>
    <w:pPr>
      <w:widowControl w:val="0"/>
      <w:autoSpaceDE w:val="0"/>
      <w:autoSpaceDN w:val="0"/>
      <w:adjustRightInd w:val="0"/>
      <w:spacing w:after="0" w:line="240" w:lineRule="auto"/>
    </w:pPr>
    <w:rPr>
      <w:rFonts w:ascii="Futura Condensed" w:eastAsia="Times New Roman" w:hAnsi="Futura Condensed" w:cs="Futura Condensed"/>
      <w:color w:val="000000"/>
      <w:sz w:val="24"/>
      <w:szCs w:val="24"/>
      <w:lang w:val="en-US"/>
    </w:rPr>
  </w:style>
  <w:style w:type="paragraph" w:customStyle="1" w:styleId="CM3">
    <w:name w:val="CM3"/>
    <w:basedOn w:val="Default"/>
    <w:next w:val="Default"/>
    <w:rsid w:val="000D4BA5"/>
    <w:pPr>
      <w:spacing w:line="240" w:lineRule="atLeast"/>
    </w:pPr>
    <w:rPr>
      <w:rFonts w:cs="Times New Roman"/>
      <w:color w:val="auto"/>
    </w:rPr>
  </w:style>
  <w:style w:type="paragraph" w:styleId="FootnoteText">
    <w:name w:val="footnote text"/>
    <w:basedOn w:val="Normal"/>
    <w:link w:val="FootnoteTextChar"/>
    <w:semiHidden/>
    <w:rsid w:val="00625B74"/>
  </w:style>
  <w:style w:type="character" w:customStyle="1" w:styleId="FootnoteTextChar">
    <w:name w:val="Footnote Text Char"/>
    <w:basedOn w:val="DefaultParagraphFont"/>
    <w:link w:val="FootnoteText"/>
    <w:semiHidden/>
    <w:rsid w:val="00625B74"/>
    <w:rPr>
      <w:rFonts w:ascii="Arial" w:eastAsia="Times New Roman" w:hAnsi="Arial" w:cs="Times New Roman"/>
      <w:sz w:val="20"/>
      <w:szCs w:val="20"/>
    </w:rPr>
  </w:style>
  <w:style w:type="table" w:styleId="TableGrid">
    <w:name w:val="Table Grid"/>
    <w:basedOn w:val="TableNormal"/>
    <w:uiPriority w:val="59"/>
    <w:rsid w:val="0086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57DD"/>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eastAsia="Times New Roman" w:hAnsi="Tahoma" w:cs="Tahoma"/>
      <w:sz w:val="16"/>
      <w:szCs w:val="16"/>
    </w:rPr>
  </w:style>
  <w:style w:type="paragraph" w:styleId="Header">
    <w:name w:val="header"/>
    <w:basedOn w:val="Normal"/>
    <w:link w:val="HeaderChar"/>
    <w:uiPriority w:val="99"/>
    <w:unhideWhenUsed/>
    <w:rsid w:val="00977162"/>
    <w:pPr>
      <w:tabs>
        <w:tab w:val="center" w:pos="4513"/>
        <w:tab w:val="right" w:pos="9026"/>
      </w:tabs>
    </w:pPr>
  </w:style>
  <w:style w:type="character" w:customStyle="1" w:styleId="HeaderChar">
    <w:name w:val="Header Char"/>
    <w:basedOn w:val="DefaultParagraphFont"/>
    <w:link w:val="Header"/>
    <w:uiPriority w:val="99"/>
    <w:rsid w:val="00977162"/>
    <w:rPr>
      <w:rFonts w:ascii="Arial" w:eastAsia="Times New Roman" w:hAnsi="Arial" w:cs="Times New Roman"/>
      <w:sz w:val="20"/>
      <w:szCs w:val="20"/>
    </w:rPr>
  </w:style>
  <w:style w:type="paragraph" w:styleId="Footer">
    <w:name w:val="footer"/>
    <w:basedOn w:val="Normal"/>
    <w:link w:val="FooterChar"/>
    <w:uiPriority w:val="99"/>
    <w:unhideWhenUsed/>
    <w:rsid w:val="00977162"/>
    <w:pPr>
      <w:tabs>
        <w:tab w:val="center" w:pos="4513"/>
        <w:tab w:val="right" w:pos="9026"/>
      </w:tabs>
    </w:pPr>
  </w:style>
  <w:style w:type="character" w:customStyle="1" w:styleId="FooterChar">
    <w:name w:val="Footer Char"/>
    <w:basedOn w:val="DefaultParagraphFont"/>
    <w:link w:val="Footer"/>
    <w:uiPriority w:val="99"/>
    <w:rsid w:val="00977162"/>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2B1F4A"/>
    <w:rPr>
      <w:sz w:val="16"/>
      <w:szCs w:val="16"/>
    </w:rPr>
  </w:style>
  <w:style w:type="paragraph" w:styleId="CommentText">
    <w:name w:val="annotation text"/>
    <w:basedOn w:val="Normal"/>
    <w:link w:val="CommentTextChar"/>
    <w:uiPriority w:val="99"/>
    <w:unhideWhenUsed/>
    <w:rsid w:val="002B1F4A"/>
  </w:style>
  <w:style w:type="character" w:customStyle="1" w:styleId="CommentTextChar">
    <w:name w:val="Comment Text Char"/>
    <w:basedOn w:val="DefaultParagraphFont"/>
    <w:link w:val="CommentText"/>
    <w:uiPriority w:val="99"/>
    <w:rsid w:val="002B1F4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B1F4A"/>
    <w:rPr>
      <w:b/>
      <w:bCs/>
    </w:rPr>
  </w:style>
  <w:style w:type="character" w:customStyle="1" w:styleId="CommentSubjectChar">
    <w:name w:val="Comment Subject Char"/>
    <w:basedOn w:val="CommentTextChar"/>
    <w:link w:val="CommentSubject"/>
    <w:uiPriority w:val="99"/>
    <w:semiHidden/>
    <w:rsid w:val="002B1F4A"/>
    <w:rPr>
      <w:rFonts w:ascii="Arial" w:eastAsia="Times New Roman" w:hAnsi="Arial" w:cs="Times New Roman"/>
      <w:b/>
      <w:bCs/>
      <w:sz w:val="20"/>
      <w:szCs w:val="20"/>
    </w:rPr>
  </w:style>
  <w:style w:type="paragraph" w:styleId="NormalWeb">
    <w:name w:val="Normal (Web)"/>
    <w:basedOn w:val="Normal"/>
    <w:uiPriority w:val="99"/>
    <w:unhideWhenUsed/>
    <w:rsid w:val="00626C4E"/>
    <w:pPr>
      <w:spacing w:before="100" w:beforeAutospacing="1" w:after="100" w:afterAutospacing="1"/>
    </w:pPr>
    <w:rPr>
      <w:rFonts w:ascii="Times New Roman" w:hAnsi="Times New Roman"/>
      <w:sz w:val="24"/>
      <w:szCs w:val="24"/>
      <w:lang w:eastAsia="en-ZA"/>
    </w:rPr>
  </w:style>
  <w:style w:type="paragraph" w:styleId="Revision">
    <w:name w:val="Revision"/>
    <w:hidden/>
    <w:uiPriority w:val="99"/>
    <w:semiHidden/>
    <w:rsid w:val="0044250F"/>
    <w:pPr>
      <w:spacing w:after="0" w:line="240" w:lineRule="auto"/>
    </w:pPr>
    <w:rPr>
      <w:rFonts w:ascii="Arial" w:eastAsia="Times New Roman" w:hAnsi="Arial" w:cs="Times New Roman"/>
      <w:sz w:val="20"/>
      <w:szCs w:val="20"/>
    </w:rPr>
  </w:style>
  <w:style w:type="character" w:customStyle="1" w:styleId="Heading7Char">
    <w:name w:val="Heading 7 Char"/>
    <w:basedOn w:val="DefaultParagraphFont"/>
    <w:link w:val="Heading7"/>
    <w:uiPriority w:val="9"/>
    <w:semiHidden/>
    <w:rsid w:val="006744F0"/>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57152">
      <w:bodyDiv w:val="1"/>
      <w:marLeft w:val="0"/>
      <w:marRight w:val="0"/>
      <w:marTop w:val="0"/>
      <w:marBottom w:val="0"/>
      <w:divBdr>
        <w:top w:val="none" w:sz="0" w:space="0" w:color="auto"/>
        <w:left w:val="none" w:sz="0" w:space="0" w:color="auto"/>
        <w:bottom w:val="none" w:sz="0" w:space="0" w:color="auto"/>
        <w:right w:val="none" w:sz="0" w:space="0" w:color="auto"/>
      </w:divBdr>
    </w:div>
    <w:div w:id="64377125">
      <w:bodyDiv w:val="1"/>
      <w:marLeft w:val="0"/>
      <w:marRight w:val="0"/>
      <w:marTop w:val="0"/>
      <w:marBottom w:val="0"/>
      <w:divBdr>
        <w:top w:val="none" w:sz="0" w:space="0" w:color="auto"/>
        <w:left w:val="none" w:sz="0" w:space="0" w:color="auto"/>
        <w:bottom w:val="none" w:sz="0" w:space="0" w:color="auto"/>
        <w:right w:val="none" w:sz="0" w:space="0" w:color="auto"/>
      </w:divBdr>
      <w:divsChild>
        <w:div w:id="2035499600">
          <w:marLeft w:val="274"/>
          <w:marRight w:val="0"/>
          <w:marTop w:val="0"/>
          <w:marBottom w:val="0"/>
          <w:divBdr>
            <w:top w:val="none" w:sz="0" w:space="0" w:color="auto"/>
            <w:left w:val="none" w:sz="0" w:space="0" w:color="auto"/>
            <w:bottom w:val="none" w:sz="0" w:space="0" w:color="auto"/>
            <w:right w:val="none" w:sz="0" w:space="0" w:color="auto"/>
          </w:divBdr>
        </w:div>
        <w:div w:id="539051890">
          <w:marLeft w:val="274"/>
          <w:marRight w:val="0"/>
          <w:marTop w:val="0"/>
          <w:marBottom w:val="0"/>
          <w:divBdr>
            <w:top w:val="none" w:sz="0" w:space="0" w:color="auto"/>
            <w:left w:val="none" w:sz="0" w:space="0" w:color="auto"/>
            <w:bottom w:val="none" w:sz="0" w:space="0" w:color="auto"/>
            <w:right w:val="none" w:sz="0" w:space="0" w:color="auto"/>
          </w:divBdr>
        </w:div>
        <w:div w:id="1454985478">
          <w:marLeft w:val="274"/>
          <w:marRight w:val="0"/>
          <w:marTop w:val="0"/>
          <w:marBottom w:val="0"/>
          <w:divBdr>
            <w:top w:val="none" w:sz="0" w:space="0" w:color="auto"/>
            <w:left w:val="none" w:sz="0" w:space="0" w:color="auto"/>
            <w:bottom w:val="none" w:sz="0" w:space="0" w:color="auto"/>
            <w:right w:val="none" w:sz="0" w:space="0" w:color="auto"/>
          </w:divBdr>
        </w:div>
      </w:divsChild>
    </w:div>
    <w:div w:id="253756419">
      <w:bodyDiv w:val="1"/>
      <w:marLeft w:val="0"/>
      <w:marRight w:val="0"/>
      <w:marTop w:val="0"/>
      <w:marBottom w:val="0"/>
      <w:divBdr>
        <w:top w:val="none" w:sz="0" w:space="0" w:color="auto"/>
        <w:left w:val="none" w:sz="0" w:space="0" w:color="auto"/>
        <w:bottom w:val="none" w:sz="0" w:space="0" w:color="auto"/>
        <w:right w:val="none" w:sz="0" w:space="0" w:color="auto"/>
      </w:divBdr>
    </w:div>
    <w:div w:id="267204016">
      <w:bodyDiv w:val="1"/>
      <w:marLeft w:val="0"/>
      <w:marRight w:val="0"/>
      <w:marTop w:val="0"/>
      <w:marBottom w:val="0"/>
      <w:divBdr>
        <w:top w:val="none" w:sz="0" w:space="0" w:color="auto"/>
        <w:left w:val="none" w:sz="0" w:space="0" w:color="auto"/>
        <w:bottom w:val="none" w:sz="0" w:space="0" w:color="auto"/>
        <w:right w:val="none" w:sz="0" w:space="0" w:color="auto"/>
      </w:divBdr>
      <w:divsChild>
        <w:div w:id="365759899">
          <w:marLeft w:val="547"/>
          <w:marRight w:val="0"/>
          <w:marTop w:val="86"/>
          <w:marBottom w:val="0"/>
          <w:divBdr>
            <w:top w:val="none" w:sz="0" w:space="0" w:color="auto"/>
            <w:left w:val="none" w:sz="0" w:space="0" w:color="auto"/>
            <w:bottom w:val="none" w:sz="0" w:space="0" w:color="auto"/>
            <w:right w:val="none" w:sz="0" w:space="0" w:color="auto"/>
          </w:divBdr>
        </w:div>
      </w:divsChild>
    </w:div>
    <w:div w:id="417288123">
      <w:bodyDiv w:val="1"/>
      <w:marLeft w:val="0"/>
      <w:marRight w:val="0"/>
      <w:marTop w:val="0"/>
      <w:marBottom w:val="0"/>
      <w:divBdr>
        <w:top w:val="none" w:sz="0" w:space="0" w:color="auto"/>
        <w:left w:val="none" w:sz="0" w:space="0" w:color="auto"/>
        <w:bottom w:val="none" w:sz="0" w:space="0" w:color="auto"/>
        <w:right w:val="none" w:sz="0" w:space="0" w:color="auto"/>
      </w:divBdr>
    </w:div>
    <w:div w:id="504366555">
      <w:bodyDiv w:val="1"/>
      <w:marLeft w:val="0"/>
      <w:marRight w:val="0"/>
      <w:marTop w:val="0"/>
      <w:marBottom w:val="0"/>
      <w:divBdr>
        <w:top w:val="none" w:sz="0" w:space="0" w:color="auto"/>
        <w:left w:val="none" w:sz="0" w:space="0" w:color="auto"/>
        <w:bottom w:val="none" w:sz="0" w:space="0" w:color="auto"/>
        <w:right w:val="none" w:sz="0" w:space="0" w:color="auto"/>
      </w:divBdr>
    </w:div>
    <w:div w:id="656955212">
      <w:bodyDiv w:val="1"/>
      <w:marLeft w:val="0"/>
      <w:marRight w:val="0"/>
      <w:marTop w:val="0"/>
      <w:marBottom w:val="0"/>
      <w:divBdr>
        <w:top w:val="none" w:sz="0" w:space="0" w:color="auto"/>
        <w:left w:val="none" w:sz="0" w:space="0" w:color="auto"/>
        <w:bottom w:val="none" w:sz="0" w:space="0" w:color="auto"/>
        <w:right w:val="none" w:sz="0" w:space="0" w:color="auto"/>
      </w:divBdr>
      <w:divsChild>
        <w:div w:id="648942644">
          <w:marLeft w:val="0"/>
          <w:marRight w:val="0"/>
          <w:marTop w:val="0"/>
          <w:marBottom w:val="0"/>
          <w:divBdr>
            <w:top w:val="none" w:sz="0" w:space="0" w:color="auto"/>
            <w:left w:val="none" w:sz="0" w:space="0" w:color="auto"/>
            <w:bottom w:val="none" w:sz="0" w:space="0" w:color="auto"/>
            <w:right w:val="none" w:sz="0" w:space="0" w:color="auto"/>
          </w:divBdr>
        </w:div>
      </w:divsChild>
    </w:div>
    <w:div w:id="673841301">
      <w:bodyDiv w:val="1"/>
      <w:marLeft w:val="0"/>
      <w:marRight w:val="0"/>
      <w:marTop w:val="0"/>
      <w:marBottom w:val="0"/>
      <w:divBdr>
        <w:top w:val="none" w:sz="0" w:space="0" w:color="auto"/>
        <w:left w:val="none" w:sz="0" w:space="0" w:color="auto"/>
        <w:bottom w:val="none" w:sz="0" w:space="0" w:color="auto"/>
        <w:right w:val="none" w:sz="0" w:space="0" w:color="auto"/>
      </w:divBdr>
    </w:div>
    <w:div w:id="754784378">
      <w:bodyDiv w:val="1"/>
      <w:marLeft w:val="0"/>
      <w:marRight w:val="0"/>
      <w:marTop w:val="0"/>
      <w:marBottom w:val="0"/>
      <w:divBdr>
        <w:top w:val="none" w:sz="0" w:space="0" w:color="auto"/>
        <w:left w:val="none" w:sz="0" w:space="0" w:color="auto"/>
        <w:bottom w:val="none" w:sz="0" w:space="0" w:color="auto"/>
        <w:right w:val="none" w:sz="0" w:space="0" w:color="auto"/>
      </w:divBdr>
    </w:div>
    <w:div w:id="773743674">
      <w:bodyDiv w:val="1"/>
      <w:marLeft w:val="0"/>
      <w:marRight w:val="0"/>
      <w:marTop w:val="0"/>
      <w:marBottom w:val="0"/>
      <w:divBdr>
        <w:top w:val="none" w:sz="0" w:space="0" w:color="auto"/>
        <w:left w:val="none" w:sz="0" w:space="0" w:color="auto"/>
        <w:bottom w:val="none" w:sz="0" w:space="0" w:color="auto"/>
        <w:right w:val="none" w:sz="0" w:space="0" w:color="auto"/>
      </w:divBdr>
    </w:div>
    <w:div w:id="790368512">
      <w:bodyDiv w:val="1"/>
      <w:marLeft w:val="0"/>
      <w:marRight w:val="0"/>
      <w:marTop w:val="0"/>
      <w:marBottom w:val="0"/>
      <w:divBdr>
        <w:top w:val="none" w:sz="0" w:space="0" w:color="auto"/>
        <w:left w:val="none" w:sz="0" w:space="0" w:color="auto"/>
        <w:bottom w:val="none" w:sz="0" w:space="0" w:color="auto"/>
        <w:right w:val="none" w:sz="0" w:space="0" w:color="auto"/>
      </w:divBdr>
    </w:div>
    <w:div w:id="808281954">
      <w:bodyDiv w:val="1"/>
      <w:marLeft w:val="0"/>
      <w:marRight w:val="0"/>
      <w:marTop w:val="0"/>
      <w:marBottom w:val="0"/>
      <w:divBdr>
        <w:top w:val="none" w:sz="0" w:space="0" w:color="auto"/>
        <w:left w:val="none" w:sz="0" w:space="0" w:color="auto"/>
        <w:bottom w:val="none" w:sz="0" w:space="0" w:color="auto"/>
        <w:right w:val="none" w:sz="0" w:space="0" w:color="auto"/>
      </w:divBdr>
    </w:div>
    <w:div w:id="822889383">
      <w:bodyDiv w:val="1"/>
      <w:marLeft w:val="0"/>
      <w:marRight w:val="0"/>
      <w:marTop w:val="0"/>
      <w:marBottom w:val="0"/>
      <w:divBdr>
        <w:top w:val="none" w:sz="0" w:space="0" w:color="auto"/>
        <w:left w:val="none" w:sz="0" w:space="0" w:color="auto"/>
        <w:bottom w:val="none" w:sz="0" w:space="0" w:color="auto"/>
        <w:right w:val="none" w:sz="0" w:space="0" w:color="auto"/>
      </w:divBdr>
    </w:div>
    <w:div w:id="922491366">
      <w:bodyDiv w:val="1"/>
      <w:marLeft w:val="0"/>
      <w:marRight w:val="0"/>
      <w:marTop w:val="0"/>
      <w:marBottom w:val="0"/>
      <w:divBdr>
        <w:top w:val="none" w:sz="0" w:space="0" w:color="auto"/>
        <w:left w:val="none" w:sz="0" w:space="0" w:color="auto"/>
        <w:bottom w:val="none" w:sz="0" w:space="0" w:color="auto"/>
        <w:right w:val="none" w:sz="0" w:space="0" w:color="auto"/>
      </w:divBdr>
    </w:div>
    <w:div w:id="1069380942">
      <w:bodyDiv w:val="1"/>
      <w:marLeft w:val="0"/>
      <w:marRight w:val="0"/>
      <w:marTop w:val="0"/>
      <w:marBottom w:val="0"/>
      <w:divBdr>
        <w:top w:val="none" w:sz="0" w:space="0" w:color="auto"/>
        <w:left w:val="none" w:sz="0" w:space="0" w:color="auto"/>
        <w:bottom w:val="none" w:sz="0" w:space="0" w:color="auto"/>
        <w:right w:val="none" w:sz="0" w:space="0" w:color="auto"/>
      </w:divBdr>
    </w:div>
    <w:div w:id="1107693818">
      <w:bodyDiv w:val="1"/>
      <w:marLeft w:val="0"/>
      <w:marRight w:val="0"/>
      <w:marTop w:val="0"/>
      <w:marBottom w:val="0"/>
      <w:divBdr>
        <w:top w:val="none" w:sz="0" w:space="0" w:color="auto"/>
        <w:left w:val="none" w:sz="0" w:space="0" w:color="auto"/>
        <w:bottom w:val="none" w:sz="0" w:space="0" w:color="auto"/>
        <w:right w:val="none" w:sz="0" w:space="0" w:color="auto"/>
      </w:divBdr>
      <w:divsChild>
        <w:div w:id="456989132">
          <w:marLeft w:val="446"/>
          <w:marRight w:val="0"/>
          <w:marTop w:val="0"/>
          <w:marBottom w:val="0"/>
          <w:divBdr>
            <w:top w:val="none" w:sz="0" w:space="0" w:color="auto"/>
            <w:left w:val="none" w:sz="0" w:space="0" w:color="auto"/>
            <w:bottom w:val="none" w:sz="0" w:space="0" w:color="auto"/>
            <w:right w:val="none" w:sz="0" w:space="0" w:color="auto"/>
          </w:divBdr>
        </w:div>
      </w:divsChild>
    </w:div>
    <w:div w:id="1387728402">
      <w:bodyDiv w:val="1"/>
      <w:marLeft w:val="0"/>
      <w:marRight w:val="0"/>
      <w:marTop w:val="0"/>
      <w:marBottom w:val="0"/>
      <w:divBdr>
        <w:top w:val="none" w:sz="0" w:space="0" w:color="auto"/>
        <w:left w:val="none" w:sz="0" w:space="0" w:color="auto"/>
        <w:bottom w:val="none" w:sz="0" w:space="0" w:color="auto"/>
        <w:right w:val="none" w:sz="0" w:space="0" w:color="auto"/>
      </w:divBdr>
      <w:divsChild>
        <w:div w:id="620376606">
          <w:marLeft w:val="0"/>
          <w:marRight w:val="0"/>
          <w:marTop w:val="0"/>
          <w:marBottom w:val="0"/>
          <w:divBdr>
            <w:top w:val="none" w:sz="0" w:space="0" w:color="auto"/>
            <w:left w:val="none" w:sz="0" w:space="0" w:color="auto"/>
            <w:bottom w:val="none" w:sz="0" w:space="0" w:color="auto"/>
            <w:right w:val="none" w:sz="0" w:space="0" w:color="auto"/>
          </w:divBdr>
        </w:div>
      </w:divsChild>
    </w:div>
    <w:div w:id="1451783855">
      <w:bodyDiv w:val="1"/>
      <w:marLeft w:val="0"/>
      <w:marRight w:val="0"/>
      <w:marTop w:val="0"/>
      <w:marBottom w:val="0"/>
      <w:divBdr>
        <w:top w:val="none" w:sz="0" w:space="0" w:color="auto"/>
        <w:left w:val="none" w:sz="0" w:space="0" w:color="auto"/>
        <w:bottom w:val="none" w:sz="0" w:space="0" w:color="auto"/>
        <w:right w:val="none" w:sz="0" w:space="0" w:color="auto"/>
      </w:divBdr>
    </w:div>
    <w:div w:id="1514759760">
      <w:bodyDiv w:val="1"/>
      <w:marLeft w:val="0"/>
      <w:marRight w:val="0"/>
      <w:marTop w:val="0"/>
      <w:marBottom w:val="0"/>
      <w:divBdr>
        <w:top w:val="none" w:sz="0" w:space="0" w:color="auto"/>
        <w:left w:val="none" w:sz="0" w:space="0" w:color="auto"/>
        <w:bottom w:val="none" w:sz="0" w:space="0" w:color="auto"/>
        <w:right w:val="none" w:sz="0" w:space="0" w:color="auto"/>
      </w:divBdr>
    </w:div>
    <w:div w:id="1524132131">
      <w:bodyDiv w:val="1"/>
      <w:marLeft w:val="0"/>
      <w:marRight w:val="0"/>
      <w:marTop w:val="0"/>
      <w:marBottom w:val="0"/>
      <w:divBdr>
        <w:top w:val="none" w:sz="0" w:space="0" w:color="auto"/>
        <w:left w:val="none" w:sz="0" w:space="0" w:color="auto"/>
        <w:bottom w:val="none" w:sz="0" w:space="0" w:color="auto"/>
        <w:right w:val="none" w:sz="0" w:space="0" w:color="auto"/>
      </w:divBdr>
      <w:divsChild>
        <w:div w:id="1159228856">
          <w:marLeft w:val="0"/>
          <w:marRight w:val="0"/>
          <w:marTop w:val="0"/>
          <w:marBottom w:val="0"/>
          <w:divBdr>
            <w:top w:val="none" w:sz="0" w:space="0" w:color="auto"/>
            <w:left w:val="none" w:sz="0" w:space="0" w:color="auto"/>
            <w:bottom w:val="none" w:sz="0" w:space="0" w:color="auto"/>
            <w:right w:val="none" w:sz="0" w:space="0" w:color="auto"/>
          </w:divBdr>
        </w:div>
      </w:divsChild>
    </w:div>
    <w:div w:id="1526362992">
      <w:bodyDiv w:val="1"/>
      <w:marLeft w:val="0"/>
      <w:marRight w:val="0"/>
      <w:marTop w:val="0"/>
      <w:marBottom w:val="0"/>
      <w:divBdr>
        <w:top w:val="none" w:sz="0" w:space="0" w:color="auto"/>
        <w:left w:val="none" w:sz="0" w:space="0" w:color="auto"/>
        <w:bottom w:val="none" w:sz="0" w:space="0" w:color="auto"/>
        <w:right w:val="none" w:sz="0" w:space="0" w:color="auto"/>
      </w:divBdr>
    </w:div>
    <w:div w:id="1544051348">
      <w:bodyDiv w:val="1"/>
      <w:marLeft w:val="0"/>
      <w:marRight w:val="0"/>
      <w:marTop w:val="0"/>
      <w:marBottom w:val="0"/>
      <w:divBdr>
        <w:top w:val="none" w:sz="0" w:space="0" w:color="auto"/>
        <w:left w:val="none" w:sz="0" w:space="0" w:color="auto"/>
        <w:bottom w:val="none" w:sz="0" w:space="0" w:color="auto"/>
        <w:right w:val="none" w:sz="0" w:space="0" w:color="auto"/>
      </w:divBdr>
    </w:div>
    <w:div w:id="1547645410">
      <w:bodyDiv w:val="1"/>
      <w:marLeft w:val="0"/>
      <w:marRight w:val="0"/>
      <w:marTop w:val="0"/>
      <w:marBottom w:val="0"/>
      <w:divBdr>
        <w:top w:val="none" w:sz="0" w:space="0" w:color="auto"/>
        <w:left w:val="none" w:sz="0" w:space="0" w:color="auto"/>
        <w:bottom w:val="none" w:sz="0" w:space="0" w:color="auto"/>
        <w:right w:val="none" w:sz="0" w:space="0" w:color="auto"/>
      </w:divBdr>
      <w:divsChild>
        <w:div w:id="1018192379">
          <w:marLeft w:val="547"/>
          <w:marRight w:val="0"/>
          <w:marTop w:val="115"/>
          <w:marBottom w:val="0"/>
          <w:divBdr>
            <w:top w:val="none" w:sz="0" w:space="0" w:color="auto"/>
            <w:left w:val="none" w:sz="0" w:space="0" w:color="auto"/>
            <w:bottom w:val="none" w:sz="0" w:space="0" w:color="auto"/>
            <w:right w:val="none" w:sz="0" w:space="0" w:color="auto"/>
          </w:divBdr>
        </w:div>
        <w:div w:id="1605185849">
          <w:marLeft w:val="547"/>
          <w:marRight w:val="0"/>
          <w:marTop w:val="115"/>
          <w:marBottom w:val="0"/>
          <w:divBdr>
            <w:top w:val="none" w:sz="0" w:space="0" w:color="auto"/>
            <w:left w:val="none" w:sz="0" w:space="0" w:color="auto"/>
            <w:bottom w:val="none" w:sz="0" w:space="0" w:color="auto"/>
            <w:right w:val="none" w:sz="0" w:space="0" w:color="auto"/>
          </w:divBdr>
        </w:div>
      </w:divsChild>
    </w:div>
    <w:div w:id="1559128064">
      <w:bodyDiv w:val="1"/>
      <w:marLeft w:val="0"/>
      <w:marRight w:val="0"/>
      <w:marTop w:val="0"/>
      <w:marBottom w:val="0"/>
      <w:divBdr>
        <w:top w:val="none" w:sz="0" w:space="0" w:color="auto"/>
        <w:left w:val="none" w:sz="0" w:space="0" w:color="auto"/>
        <w:bottom w:val="none" w:sz="0" w:space="0" w:color="auto"/>
        <w:right w:val="none" w:sz="0" w:space="0" w:color="auto"/>
      </w:divBdr>
    </w:div>
    <w:div w:id="1598707212">
      <w:bodyDiv w:val="1"/>
      <w:marLeft w:val="0"/>
      <w:marRight w:val="0"/>
      <w:marTop w:val="0"/>
      <w:marBottom w:val="0"/>
      <w:divBdr>
        <w:top w:val="none" w:sz="0" w:space="0" w:color="auto"/>
        <w:left w:val="none" w:sz="0" w:space="0" w:color="auto"/>
        <w:bottom w:val="none" w:sz="0" w:space="0" w:color="auto"/>
        <w:right w:val="none" w:sz="0" w:space="0" w:color="auto"/>
      </w:divBdr>
    </w:div>
    <w:div w:id="1616597248">
      <w:bodyDiv w:val="1"/>
      <w:marLeft w:val="0"/>
      <w:marRight w:val="0"/>
      <w:marTop w:val="0"/>
      <w:marBottom w:val="0"/>
      <w:divBdr>
        <w:top w:val="none" w:sz="0" w:space="0" w:color="auto"/>
        <w:left w:val="none" w:sz="0" w:space="0" w:color="auto"/>
        <w:bottom w:val="none" w:sz="0" w:space="0" w:color="auto"/>
        <w:right w:val="none" w:sz="0" w:space="0" w:color="auto"/>
      </w:divBdr>
    </w:div>
    <w:div w:id="1678847493">
      <w:bodyDiv w:val="1"/>
      <w:marLeft w:val="0"/>
      <w:marRight w:val="0"/>
      <w:marTop w:val="0"/>
      <w:marBottom w:val="0"/>
      <w:divBdr>
        <w:top w:val="none" w:sz="0" w:space="0" w:color="auto"/>
        <w:left w:val="none" w:sz="0" w:space="0" w:color="auto"/>
        <w:bottom w:val="none" w:sz="0" w:space="0" w:color="auto"/>
        <w:right w:val="none" w:sz="0" w:space="0" w:color="auto"/>
      </w:divBdr>
      <w:divsChild>
        <w:div w:id="1106660280">
          <w:marLeft w:val="547"/>
          <w:marRight w:val="0"/>
          <w:marTop w:val="86"/>
          <w:marBottom w:val="0"/>
          <w:divBdr>
            <w:top w:val="none" w:sz="0" w:space="0" w:color="auto"/>
            <w:left w:val="none" w:sz="0" w:space="0" w:color="auto"/>
            <w:bottom w:val="none" w:sz="0" w:space="0" w:color="auto"/>
            <w:right w:val="none" w:sz="0" w:space="0" w:color="auto"/>
          </w:divBdr>
        </w:div>
      </w:divsChild>
    </w:div>
    <w:div w:id="1773549211">
      <w:bodyDiv w:val="1"/>
      <w:marLeft w:val="0"/>
      <w:marRight w:val="0"/>
      <w:marTop w:val="0"/>
      <w:marBottom w:val="0"/>
      <w:divBdr>
        <w:top w:val="none" w:sz="0" w:space="0" w:color="auto"/>
        <w:left w:val="none" w:sz="0" w:space="0" w:color="auto"/>
        <w:bottom w:val="none" w:sz="0" w:space="0" w:color="auto"/>
        <w:right w:val="none" w:sz="0" w:space="0" w:color="auto"/>
      </w:divBdr>
    </w:div>
    <w:div w:id="1790120080">
      <w:bodyDiv w:val="1"/>
      <w:marLeft w:val="0"/>
      <w:marRight w:val="0"/>
      <w:marTop w:val="0"/>
      <w:marBottom w:val="0"/>
      <w:divBdr>
        <w:top w:val="none" w:sz="0" w:space="0" w:color="auto"/>
        <w:left w:val="none" w:sz="0" w:space="0" w:color="auto"/>
        <w:bottom w:val="none" w:sz="0" w:space="0" w:color="auto"/>
        <w:right w:val="none" w:sz="0" w:space="0" w:color="auto"/>
      </w:divBdr>
      <w:divsChild>
        <w:div w:id="1622685843">
          <w:marLeft w:val="1267"/>
          <w:marRight w:val="0"/>
          <w:marTop w:val="96"/>
          <w:marBottom w:val="0"/>
          <w:divBdr>
            <w:top w:val="none" w:sz="0" w:space="0" w:color="auto"/>
            <w:left w:val="none" w:sz="0" w:space="0" w:color="auto"/>
            <w:bottom w:val="none" w:sz="0" w:space="0" w:color="auto"/>
            <w:right w:val="none" w:sz="0" w:space="0" w:color="auto"/>
          </w:divBdr>
        </w:div>
      </w:divsChild>
    </w:div>
    <w:div w:id="1838180812">
      <w:bodyDiv w:val="1"/>
      <w:marLeft w:val="0"/>
      <w:marRight w:val="0"/>
      <w:marTop w:val="0"/>
      <w:marBottom w:val="0"/>
      <w:divBdr>
        <w:top w:val="none" w:sz="0" w:space="0" w:color="auto"/>
        <w:left w:val="none" w:sz="0" w:space="0" w:color="auto"/>
        <w:bottom w:val="none" w:sz="0" w:space="0" w:color="auto"/>
        <w:right w:val="none" w:sz="0" w:space="0" w:color="auto"/>
      </w:divBdr>
    </w:div>
    <w:div w:id="1865094880">
      <w:bodyDiv w:val="1"/>
      <w:marLeft w:val="0"/>
      <w:marRight w:val="0"/>
      <w:marTop w:val="0"/>
      <w:marBottom w:val="0"/>
      <w:divBdr>
        <w:top w:val="none" w:sz="0" w:space="0" w:color="auto"/>
        <w:left w:val="none" w:sz="0" w:space="0" w:color="auto"/>
        <w:bottom w:val="none" w:sz="0" w:space="0" w:color="auto"/>
        <w:right w:val="none" w:sz="0" w:space="0" w:color="auto"/>
      </w:divBdr>
    </w:div>
    <w:div w:id="1901330937">
      <w:bodyDiv w:val="1"/>
      <w:marLeft w:val="0"/>
      <w:marRight w:val="0"/>
      <w:marTop w:val="0"/>
      <w:marBottom w:val="0"/>
      <w:divBdr>
        <w:top w:val="none" w:sz="0" w:space="0" w:color="auto"/>
        <w:left w:val="none" w:sz="0" w:space="0" w:color="auto"/>
        <w:bottom w:val="none" w:sz="0" w:space="0" w:color="auto"/>
        <w:right w:val="none" w:sz="0" w:space="0" w:color="auto"/>
      </w:divBdr>
    </w:div>
    <w:div w:id="1929851175">
      <w:bodyDiv w:val="1"/>
      <w:marLeft w:val="0"/>
      <w:marRight w:val="0"/>
      <w:marTop w:val="0"/>
      <w:marBottom w:val="0"/>
      <w:divBdr>
        <w:top w:val="none" w:sz="0" w:space="0" w:color="auto"/>
        <w:left w:val="none" w:sz="0" w:space="0" w:color="auto"/>
        <w:bottom w:val="none" w:sz="0" w:space="0" w:color="auto"/>
        <w:right w:val="none" w:sz="0" w:space="0" w:color="auto"/>
      </w:divBdr>
      <w:divsChild>
        <w:div w:id="769394057">
          <w:marLeft w:val="547"/>
          <w:marRight w:val="0"/>
          <w:marTop w:val="101"/>
          <w:marBottom w:val="0"/>
          <w:divBdr>
            <w:top w:val="none" w:sz="0" w:space="0" w:color="auto"/>
            <w:left w:val="none" w:sz="0" w:space="0" w:color="auto"/>
            <w:bottom w:val="none" w:sz="0" w:space="0" w:color="auto"/>
            <w:right w:val="none" w:sz="0" w:space="0" w:color="auto"/>
          </w:divBdr>
        </w:div>
      </w:divsChild>
    </w:div>
    <w:div w:id="20208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1C08F8C7C58419A5D2E2ED37678D2" ma:contentTypeVersion="12" ma:contentTypeDescription="Create a new document." ma:contentTypeScope="" ma:versionID="80f2052720464a27f8ec1627047e5e87">
  <xsd:schema xmlns:xsd="http://www.w3.org/2001/XMLSchema" xmlns:xs="http://www.w3.org/2001/XMLSchema" xmlns:p="http://schemas.microsoft.com/office/2006/metadata/properties" xmlns:ns2="1a2926b3-ddcd-4750-a3b3-58b498407954" xmlns:ns3="26da355e-c01a-469a-83a3-c3fcceb833ce" targetNamespace="http://schemas.microsoft.com/office/2006/metadata/properties" ma:root="true" ma:fieldsID="7c1b15f580121656a898b97d49cc15ec" ns2:_="" ns3:_="">
    <xsd:import namespace="1a2926b3-ddcd-4750-a3b3-58b498407954"/>
    <xsd:import namespace="26da355e-c01a-469a-83a3-c3fcceb833c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926b3-ddcd-4750-a3b3-58b4984079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a355e-c01a-469a-83a3-c3fcceb833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8D033-0085-4C23-A105-F201CACDB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318B49-C559-4FF5-B882-02DEAE6C9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926b3-ddcd-4750-a3b3-58b498407954"/>
    <ds:schemaRef ds:uri="26da355e-c01a-469a-83a3-c3fcceb83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03F26-F809-4AB7-9430-1142F04D913B}">
  <ds:schemaRefs>
    <ds:schemaRef ds:uri="http://schemas.microsoft.com/sharepoint/events"/>
  </ds:schemaRefs>
</ds:datastoreItem>
</file>

<file path=customXml/itemProps4.xml><?xml version="1.0" encoding="utf-8"?>
<ds:datastoreItem xmlns:ds="http://schemas.openxmlformats.org/officeDocument/2006/customXml" ds:itemID="{C6F986B4-64A1-4BBC-946A-D969715863CB}">
  <ds:schemaRefs>
    <ds:schemaRef ds:uri="http://schemas.openxmlformats.org/officeDocument/2006/bibliography"/>
  </ds:schemaRefs>
</ds:datastoreItem>
</file>

<file path=customXml/itemProps5.xml><?xml version="1.0" encoding="utf-8"?>
<ds:datastoreItem xmlns:ds="http://schemas.openxmlformats.org/officeDocument/2006/customXml" ds:itemID="{3D04309B-8F40-4E5E-8FB5-DDBCBDE78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5304</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MMojapelo</dc:creator>
  <cp:lastModifiedBy>Charmaine Leso</cp:lastModifiedBy>
  <cp:revision>2</cp:revision>
  <cp:lastPrinted>2014-07-16T12:39:00Z</cp:lastPrinted>
  <dcterms:created xsi:type="dcterms:W3CDTF">2022-05-19T06:04:00Z</dcterms:created>
  <dcterms:modified xsi:type="dcterms:W3CDTF">2022-05-19T06:04:00Z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0x010100ACB1C08F8C7C58419A5D2E2ED37678D2</vt:lpwstr>
  </property>
  <property fmtid="{D5CDD505-2E9C-101B-9397-08002B2CF9AE}" pid="4" name="Order">
    <vt:r8>100</vt:r8>
  </property>
</Properties>
</file>